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52467"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68523C10"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35D717F1"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17BE4222"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78FBD40F" w14:textId="1BC04172" w:rsidR="00E30288" w:rsidRPr="00DA3766" w:rsidRDefault="00E74C2F">
      <w:pPr>
        <w:spacing w:before="120" w:after="120"/>
        <w:ind w:firstLineChars="0" w:firstLine="0"/>
        <w:jc w:val="center"/>
        <w:rPr>
          <w:rFonts w:ascii="Times New Roman" w:eastAsia="黑体" w:hAnsi="Times New Roman" w:cs="Times New Roman"/>
          <w:b/>
          <w:color w:val="000000"/>
          <w:sz w:val="36"/>
          <w:szCs w:val="36"/>
        </w:rPr>
      </w:pPr>
      <w:r w:rsidRPr="00E74C2F">
        <w:rPr>
          <w:rFonts w:ascii="Times New Roman" w:eastAsia="黑体" w:hAnsi="Times New Roman" w:cs="Times New Roman"/>
          <w:b/>
          <w:color w:val="000000"/>
          <w:sz w:val="36"/>
          <w:szCs w:val="36"/>
        </w:rPr>
        <w:t>广东天亿马信息产业股份有限公</w:t>
      </w:r>
      <w:r w:rsidR="009D619E" w:rsidRPr="00DA3766">
        <w:rPr>
          <w:rFonts w:ascii="Times New Roman" w:eastAsia="黑体" w:hAnsi="Times New Roman" w:cs="Times New Roman"/>
          <w:b/>
          <w:color w:val="000000"/>
          <w:sz w:val="36"/>
          <w:szCs w:val="36"/>
        </w:rPr>
        <w:t>司</w:t>
      </w:r>
    </w:p>
    <w:p w14:paraId="70034F1D" w14:textId="77777777" w:rsidR="00E30288" w:rsidRPr="00DA3766" w:rsidRDefault="009D619E">
      <w:pPr>
        <w:spacing w:before="120" w:after="120"/>
        <w:ind w:firstLineChars="0" w:firstLine="0"/>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关于深圳证券交易所</w:t>
      </w:r>
    </w:p>
    <w:p w14:paraId="49FEFB8D" w14:textId="36AE8A4D" w:rsidR="00E30288" w:rsidRPr="00DA3766" w:rsidRDefault="009D619E">
      <w:pPr>
        <w:spacing w:before="120" w:after="120"/>
        <w:ind w:firstLineChars="0" w:firstLine="0"/>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w:t>
      </w:r>
      <w:bookmarkStart w:id="0" w:name="_Hlk217741866"/>
      <w:r w:rsidRPr="00DA3766">
        <w:rPr>
          <w:rFonts w:ascii="Times New Roman" w:eastAsia="黑体" w:hAnsi="Times New Roman" w:cs="Times New Roman"/>
          <w:b/>
          <w:color w:val="000000"/>
          <w:sz w:val="36"/>
          <w:szCs w:val="36"/>
        </w:rPr>
        <w:t>关于</w:t>
      </w:r>
      <w:r w:rsidR="0051320C" w:rsidRPr="00DA3766">
        <w:rPr>
          <w:rFonts w:ascii="Times New Roman" w:eastAsia="黑体" w:hAnsi="Times New Roman" w:cs="Times New Roman"/>
          <w:b/>
          <w:color w:val="000000"/>
          <w:sz w:val="36"/>
          <w:szCs w:val="36"/>
        </w:rPr>
        <w:t>广东天亿马信息产业股份有限公司</w:t>
      </w:r>
      <w:r w:rsidRPr="00DA3766">
        <w:rPr>
          <w:rFonts w:ascii="Times New Roman" w:eastAsia="黑体" w:hAnsi="Times New Roman" w:cs="Times New Roman"/>
          <w:b/>
          <w:color w:val="000000"/>
          <w:sz w:val="36"/>
          <w:szCs w:val="36"/>
        </w:rPr>
        <w:t>发行股份</w:t>
      </w:r>
      <w:r w:rsidR="0051320C" w:rsidRPr="00DA3766">
        <w:rPr>
          <w:rFonts w:ascii="Times New Roman" w:eastAsia="黑体" w:hAnsi="Times New Roman" w:cs="Times New Roman"/>
          <w:b/>
          <w:color w:val="000000"/>
          <w:sz w:val="36"/>
          <w:szCs w:val="36"/>
        </w:rPr>
        <w:t>及支付现金</w:t>
      </w:r>
      <w:r w:rsidRPr="00DA3766">
        <w:rPr>
          <w:rFonts w:ascii="Times New Roman" w:eastAsia="黑体" w:hAnsi="Times New Roman" w:cs="Times New Roman"/>
          <w:b/>
          <w:color w:val="000000"/>
          <w:sz w:val="36"/>
          <w:szCs w:val="36"/>
        </w:rPr>
        <w:t>购买资产并募集配套资金申请的审核问询函</w:t>
      </w:r>
      <w:bookmarkEnd w:id="0"/>
      <w:r w:rsidRPr="00DA3766">
        <w:rPr>
          <w:rFonts w:ascii="Times New Roman" w:eastAsia="黑体" w:hAnsi="Times New Roman" w:cs="Times New Roman"/>
          <w:b/>
          <w:color w:val="000000"/>
          <w:sz w:val="36"/>
          <w:szCs w:val="36"/>
        </w:rPr>
        <w:t>》</w:t>
      </w:r>
      <w:r w:rsidR="00E74C2F">
        <w:rPr>
          <w:rFonts w:ascii="Times New Roman" w:eastAsia="黑体" w:hAnsi="Times New Roman" w:cs="Times New Roman" w:hint="eastAsia"/>
          <w:b/>
          <w:color w:val="000000"/>
          <w:sz w:val="36"/>
          <w:szCs w:val="36"/>
        </w:rPr>
        <w:t>之</w:t>
      </w:r>
      <w:r w:rsidRPr="00DA3766">
        <w:rPr>
          <w:rFonts w:ascii="Times New Roman" w:eastAsia="黑体" w:hAnsi="Times New Roman" w:cs="Times New Roman"/>
          <w:b/>
          <w:color w:val="000000"/>
          <w:sz w:val="36"/>
          <w:szCs w:val="36"/>
        </w:rPr>
        <w:t>回复</w:t>
      </w:r>
    </w:p>
    <w:p w14:paraId="56053F57"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225BD4C2"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37FDDC63"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69D64FAC" w14:textId="28BD8A79" w:rsidR="00E30288" w:rsidRDefault="00E30288">
      <w:pPr>
        <w:spacing w:before="120" w:after="120"/>
        <w:ind w:firstLine="723"/>
        <w:jc w:val="center"/>
        <w:rPr>
          <w:rFonts w:ascii="Times New Roman" w:eastAsia="黑体" w:hAnsi="Times New Roman" w:cs="Times New Roman"/>
          <w:b/>
          <w:color w:val="000000"/>
          <w:sz w:val="36"/>
          <w:szCs w:val="36"/>
        </w:rPr>
      </w:pPr>
    </w:p>
    <w:p w14:paraId="6B1809B1" w14:textId="77777777" w:rsidR="00E74C2F" w:rsidRDefault="00E74C2F">
      <w:pPr>
        <w:spacing w:before="120" w:after="120"/>
        <w:ind w:firstLine="723"/>
        <w:jc w:val="center"/>
        <w:rPr>
          <w:rFonts w:ascii="Times New Roman" w:eastAsia="黑体" w:hAnsi="Times New Roman" w:cs="Times New Roman"/>
          <w:b/>
          <w:color w:val="000000"/>
          <w:sz w:val="36"/>
          <w:szCs w:val="36"/>
        </w:rPr>
      </w:pPr>
    </w:p>
    <w:p w14:paraId="5F7FA13B" w14:textId="77777777" w:rsidR="00E74C2F" w:rsidRPr="00DA3766" w:rsidRDefault="00E74C2F">
      <w:pPr>
        <w:spacing w:before="120" w:after="120"/>
        <w:ind w:firstLine="562"/>
        <w:jc w:val="center"/>
        <w:rPr>
          <w:rFonts w:ascii="Times New Roman" w:eastAsia="黑体" w:hAnsi="Times New Roman" w:cs="Times New Roman"/>
          <w:b/>
          <w:color w:val="000000"/>
          <w:sz w:val="28"/>
          <w:szCs w:val="22"/>
        </w:rPr>
      </w:pPr>
    </w:p>
    <w:p w14:paraId="5DBB66E1" w14:textId="77777777" w:rsidR="00E30288" w:rsidRPr="00DA3766" w:rsidRDefault="00E30288">
      <w:pPr>
        <w:snapToGrid w:val="0"/>
        <w:spacing w:before="120" w:after="120" w:line="240" w:lineRule="auto"/>
        <w:ind w:firstLine="482"/>
        <w:jc w:val="center"/>
        <w:rPr>
          <w:rFonts w:ascii="Times New Roman" w:hAnsi="Times New Roman" w:cs="Times New Roman"/>
          <w:b/>
          <w:color w:val="000000"/>
        </w:rPr>
      </w:pPr>
    </w:p>
    <w:p w14:paraId="7966A711" w14:textId="77777777" w:rsidR="00E30288" w:rsidRPr="00DA3766" w:rsidRDefault="00E30288">
      <w:pPr>
        <w:spacing w:before="120" w:after="120" w:line="240" w:lineRule="auto"/>
        <w:ind w:firstLine="422"/>
        <w:rPr>
          <w:rFonts w:ascii="Times New Roman" w:hAnsi="Times New Roman" w:cs="Times New Roman"/>
          <w:b/>
          <w:bCs/>
          <w:color w:val="000000"/>
          <w:sz w:val="21"/>
        </w:rPr>
      </w:pPr>
    </w:p>
    <w:p w14:paraId="72243581" w14:textId="77777777" w:rsidR="00E30288" w:rsidRPr="00DA3766" w:rsidRDefault="00E30288">
      <w:pPr>
        <w:spacing w:before="120" w:after="120" w:line="240" w:lineRule="auto"/>
        <w:ind w:firstLine="422"/>
        <w:rPr>
          <w:rFonts w:ascii="Times New Roman" w:hAnsi="Times New Roman" w:cs="Times New Roman"/>
          <w:b/>
          <w:bCs/>
          <w:color w:val="000000"/>
          <w:sz w:val="21"/>
        </w:rPr>
      </w:pPr>
    </w:p>
    <w:p w14:paraId="7225794A" w14:textId="271BB53B" w:rsidR="00E30288" w:rsidRPr="00DA3766" w:rsidRDefault="009D619E" w:rsidP="00C879A1">
      <w:pPr>
        <w:adjustRightInd w:val="0"/>
        <w:snapToGrid w:val="0"/>
        <w:spacing w:before="120" w:after="120"/>
        <w:ind w:firstLineChars="0" w:firstLine="0"/>
        <w:jc w:val="center"/>
        <w:rPr>
          <w:rFonts w:ascii="Times New Roman" w:hAnsi="Times New Roman" w:cs="Times New Roman"/>
          <w:color w:val="000000"/>
        </w:rPr>
        <w:sectPr w:rsidR="00E30288" w:rsidRPr="00DA3766">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425"/>
          <w:docGrid w:linePitch="312"/>
        </w:sectPr>
      </w:pPr>
      <w:r w:rsidRPr="00DA3766">
        <w:rPr>
          <w:rFonts w:ascii="Times New Roman" w:eastAsia="黑体" w:hAnsi="Times New Roman" w:cs="Times New Roman"/>
          <w:b/>
          <w:bCs/>
          <w:color w:val="000000"/>
          <w:sz w:val="28"/>
        </w:rPr>
        <w:t>二〇二</w:t>
      </w:r>
      <w:r w:rsidR="0051320C" w:rsidRPr="00DA3766">
        <w:rPr>
          <w:rFonts w:ascii="Times New Roman" w:eastAsia="黑体" w:hAnsi="Times New Roman" w:cs="Times New Roman"/>
          <w:b/>
          <w:bCs/>
          <w:color w:val="000000"/>
          <w:sz w:val="28"/>
        </w:rPr>
        <w:t>六</w:t>
      </w:r>
      <w:r w:rsidRPr="00DA3766">
        <w:rPr>
          <w:rFonts w:ascii="Times New Roman" w:eastAsia="黑体" w:hAnsi="Times New Roman" w:cs="Times New Roman"/>
          <w:b/>
          <w:bCs/>
          <w:color w:val="000000"/>
          <w:sz w:val="28"/>
        </w:rPr>
        <w:t>年</w:t>
      </w:r>
      <w:r w:rsidR="0051320C" w:rsidRPr="00DA3766">
        <w:rPr>
          <w:rFonts w:ascii="Times New Roman" w:eastAsia="黑体" w:hAnsi="Times New Roman" w:cs="Times New Roman"/>
          <w:b/>
          <w:bCs/>
          <w:color w:val="000000"/>
          <w:sz w:val="28"/>
        </w:rPr>
        <w:t>一</w:t>
      </w:r>
      <w:r w:rsidRPr="00DA3766">
        <w:rPr>
          <w:rFonts w:ascii="Times New Roman" w:eastAsia="黑体" w:hAnsi="Times New Roman" w:cs="Times New Roman"/>
          <w:b/>
          <w:bCs/>
          <w:color w:val="000000"/>
          <w:sz w:val="28"/>
        </w:rPr>
        <w:t>月</w:t>
      </w:r>
    </w:p>
    <w:p w14:paraId="22AB0D96" w14:textId="77777777" w:rsidR="00E30288" w:rsidRPr="00DA3766" w:rsidRDefault="009D619E">
      <w:pPr>
        <w:pStyle w:val="005"/>
        <w:spacing w:before="120" w:after="120"/>
        <w:ind w:firstLineChars="0" w:firstLine="0"/>
        <w:rPr>
          <w:rFonts w:eastAsia="黑体"/>
          <w:b/>
        </w:rPr>
      </w:pPr>
      <w:r w:rsidRPr="00DA3766">
        <w:rPr>
          <w:rFonts w:eastAsia="黑体"/>
          <w:b/>
        </w:rPr>
        <w:lastRenderedPageBreak/>
        <w:t>深圳证券交易所：</w:t>
      </w:r>
    </w:p>
    <w:p w14:paraId="1734F728" w14:textId="0E528A4C" w:rsidR="00E30288" w:rsidRPr="00DA3766" w:rsidRDefault="009D619E">
      <w:pPr>
        <w:pStyle w:val="005"/>
        <w:spacing w:before="120" w:after="120"/>
        <w:ind w:firstLine="480"/>
      </w:pPr>
      <w:r w:rsidRPr="00DA3766">
        <w:t>根据深圳证券交易所</w:t>
      </w:r>
      <w:r w:rsidRPr="00DA3766">
        <w:t>2025</w:t>
      </w:r>
      <w:r w:rsidRPr="00DA3766">
        <w:t>年</w:t>
      </w:r>
      <w:r w:rsidR="0051320C" w:rsidRPr="00DA3766">
        <w:t>12</w:t>
      </w:r>
      <w:r w:rsidRPr="00DA3766">
        <w:t>月</w:t>
      </w:r>
      <w:r w:rsidR="0051320C" w:rsidRPr="00DA3766">
        <w:t>26</w:t>
      </w:r>
      <w:r w:rsidRPr="00DA3766">
        <w:t>日出具的《</w:t>
      </w:r>
      <w:r w:rsidR="0051320C" w:rsidRPr="00DA3766">
        <w:t>关于广东天亿马信息产业股份有限公司发行股份及支付现金购买资产并募集配套资金申请的审核问询函</w:t>
      </w:r>
      <w:r w:rsidRPr="00DA3766">
        <w:t>》（审核函〔</w:t>
      </w:r>
      <w:r w:rsidRPr="00DA3766">
        <w:t>2025</w:t>
      </w:r>
      <w:r w:rsidRPr="00DA3766">
        <w:t>〕</w:t>
      </w:r>
      <w:r w:rsidRPr="00DA3766">
        <w:t>0300</w:t>
      </w:r>
      <w:r w:rsidR="0051320C" w:rsidRPr="00DA3766">
        <w:t>21</w:t>
      </w:r>
      <w:r w:rsidRPr="00DA3766">
        <w:t>号）（以下简称</w:t>
      </w:r>
      <w:r w:rsidRPr="00DA3766">
        <w:rPr>
          <w:rFonts w:ascii="宋体" w:hAnsi="宋体"/>
        </w:rPr>
        <w:t>“</w:t>
      </w:r>
      <w:r w:rsidRPr="00DA3766">
        <w:t>问询函</w:t>
      </w:r>
      <w:r w:rsidRPr="00DA3766">
        <w:rPr>
          <w:rFonts w:ascii="宋体" w:hAnsi="宋体"/>
        </w:rPr>
        <w:t>”</w:t>
      </w:r>
      <w:r w:rsidRPr="00DA3766">
        <w:t>）的要求，</w:t>
      </w:r>
      <w:r w:rsidR="0051320C" w:rsidRPr="00DA3766">
        <w:t>广东天亿马信息产业股份有限公司</w:t>
      </w:r>
      <w:r w:rsidRPr="00DA3766">
        <w:t>（以下简称</w:t>
      </w:r>
      <w:r w:rsidRPr="00DA3766">
        <w:rPr>
          <w:rFonts w:ascii="宋体" w:hAnsi="宋体"/>
        </w:rPr>
        <w:t>“</w:t>
      </w:r>
      <w:r w:rsidR="0051320C" w:rsidRPr="00DA3766">
        <w:t>天亿马</w:t>
      </w:r>
      <w:r w:rsidRPr="00DA3766">
        <w:rPr>
          <w:rFonts w:ascii="宋体" w:hAnsi="宋体"/>
        </w:rPr>
        <w:t>”</w:t>
      </w:r>
      <w:r w:rsidRPr="00DA3766">
        <w:t>、</w:t>
      </w:r>
      <w:r w:rsidRPr="00DA3766">
        <w:rPr>
          <w:rFonts w:ascii="宋体" w:hAnsi="宋体"/>
        </w:rPr>
        <w:t>“</w:t>
      </w:r>
      <w:r w:rsidRPr="00DA3766">
        <w:t>上市公司</w:t>
      </w:r>
      <w:r w:rsidRPr="00DA3766">
        <w:rPr>
          <w:rFonts w:ascii="宋体" w:hAnsi="宋体"/>
        </w:rPr>
        <w:t>”</w:t>
      </w:r>
      <w:r w:rsidRPr="00DA3766">
        <w:t>或</w:t>
      </w:r>
      <w:r w:rsidRPr="00DA3766">
        <w:rPr>
          <w:rFonts w:ascii="宋体" w:hAnsi="宋体"/>
        </w:rPr>
        <w:t>“</w:t>
      </w:r>
      <w:r w:rsidRPr="00DA3766">
        <w:t>公司</w:t>
      </w:r>
      <w:r w:rsidRPr="00DA3766">
        <w:rPr>
          <w:rFonts w:ascii="宋体" w:hAnsi="宋体"/>
        </w:rPr>
        <w:t>”</w:t>
      </w:r>
      <w:r w:rsidRPr="00DA3766">
        <w:t>）已会同国泰海通证券股份有限公司（以下简称</w:t>
      </w:r>
      <w:r w:rsidRPr="00DA3766">
        <w:rPr>
          <w:rFonts w:ascii="宋体" w:hAnsi="宋体"/>
        </w:rPr>
        <w:t>“</w:t>
      </w:r>
      <w:r w:rsidRPr="00DA3766">
        <w:t>独立财务顾问</w:t>
      </w:r>
      <w:r w:rsidRPr="00DA3766">
        <w:rPr>
          <w:rFonts w:ascii="宋体" w:hAnsi="宋体"/>
        </w:rPr>
        <w:t>”</w:t>
      </w:r>
      <w:r w:rsidRPr="00DA3766">
        <w:t>或</w:t>
      </w:r>
      <w:r w:rsidRPr="00DA3766">
        <w:rPr>
          <w:rFonts w:ascii="宋体" w:hAnsi="宋体"/>
        </w:rPr>
        <w:t>“</w:t>
      </w:r>
      <w:r w:rsidRPr="00DA3766">
        <w:t>国泰海通</w:t>
      </w:r>
      <w:r w:rsidRPr="00DA3766">
        <w:rPr>
          <w:rFonts w:ascii="宋体" w:hAnsi="宋体"/>
        </w:rPr>
        <w:t>”</w:t>
      </w:r>
      <w:r w:rsidRPr="00DA3766">
        <w:t>）、</w:t>
      </w:r>
      <w:r w:rsidR="0051320C" w:rsidRPr="00DA3766">
        <w:t>湖南启元律师事务所</w:t>
      </w:r>
      <w:r w:rsidRPr="00DA3766">
        <w:t>（以下简称</w:t>
      </w:r>
      <w:r w:rsidRPr="00DA3766">
        <w:rPr>
          <w:rFonts w:ascii="宋体" w:hAnsi="宋体"/>
        </w:rPr>
        <w:t>“</w:t>
      </w:r>
      <w:r w:rsidR="0051320C" w:rsidRPr="00DA3766">
        <w:t>湖南启元</w:t>
      </w:r>
      <w:r w:rsidRPr="00DA3766">
        <w:rPr>
          <w:rFonts w:ascii="宋体" w:hAnsi="宋体"/>
        </w:rPr>
        <w:t>”</w:t>
      </w:r>
      <w:r w:rsidRPr="00DA3766">
        <w:t>或</w:t>
      </w:r>
      <w:r w:rsidRPr="00DA3766">
        <w:rPr>
          <w:rFonts w:ascii="宋体" w:hAnsi="宋体"/>
        </w:rPr>
        <w:t>“</w:t>
      </w:r>
      <w:r w:rsidRPr="00DA3766">
        <w:t>律师</w:t>
      </w:r>
      <w:r w:rsidRPr="00DA3766">
        <w:rPr>
          <w:rFonts w:ascii="宋体" w:hAnsi="宋体"/>
        </w:rPr>
        <w:t>”</w:t>
      </w:r>
      <w:r w:rsidRPr="00DA3766">
        <w:t>）、</w:t>
      </w:r>
      <w:r w:rsidR="0051320C" w:rsidRPr="00DA3766">
        <w:t>中审亚太会计师事务所（特殊普通合伙）</w:t>
      </w:r>
      <w:r w:rsidRPr="00DA3766">
        <w:t>（以下简称</w:t>
      </w:r>
      <w:r w:rsidRPr="00DA3766">
        <w:rPr>
          <w:rFonts w:ascii="宋体" w:hAnsi="宋体"/>
        </w:rPr>
        <w:t>“</w:t>
      </w:r>
      <w:r w:rsidR="0051320C" w:rsidRPr="00DA3766">
        <w:t>中审亚太</w:t>
      </w:r>
      <w:r w:rsidRPr="00DA3766">
        <w:rPr>
          <w:rFonts w:ascii="宋体" w:hAnsi="宋体"/>
        </w:rPr>
        <w:t>”</w:t>
      </w:r>
      <w:r w:rsidRPr="00DA3766">
        <w:t>或</w:t>
      </w:r>
      <w:r w:rsidRPr="00DA3766">
        <w:rPr>
          <w:rFonts w:ascii="宋体" w:hAnsi="宋体"/>
        </w:rPr>
        <w:t>“</w:t>
      </w:r>
      <w:r w:rsidRPr="00DA3766">
        <w:t>会计师</w:t>
      </w:r>
      <w:r w:rsidRPr="00DA3766">
        <w:rPr>
          <w:rFonts w:ascii="宋体" w:hAnsi="宋体"/>
        </w:rPr>
        <w:t>”</w:t>
      </w:r>
      <w:r w:rsidRPr="00DA3766">
        <w:t>）以及</w:t>
      </w:r>
      <w:r w:rsidR="0051320C" w:rsidRPr="00DA3766">
        <w:t>金证（上海）资产评估有限公司</w:t>
      </w:r>
      <w:r w:rsidRPr="00DA3766">
        <w:t>（以下简称</w:t>
      </w:r>
      <w:r w:rsidRPr="00DA3766">
        <w:rPr>
          <w:rFonts w:ascii="宋体" w:hAnsi="宋体"/>
        </w:rPr>
        <w:t>“</w:t>
      </w:r>
      <w:r w:rsidR="0051320C" w:rsidRPr="00DA3766">
        <w:t>金证评估</w:t>
      </w:r>
      <w:r w:rsidRPr="00DA3766">
        <w:rPr>
          <w:rFonts w:ascii="宋体" w:hAnsi="宋体"/>
        </w:rPr>
        <w:t>”</w:t>
      </w:r>
      <w:r w:rsidRPr="00DA3766">
        <w:t>或</w:t>
      </w:r>
      <w:r w:rsidRPr="00DA3766">
        <w:rPr>
          <w:rFonts w:ascii="宋体" w:hAnsi="宋体"/>
        </w:rPr>
        <w:t>“</w:t>
      </w:r>
      <w:r w:rsidRPr="00DA3766">
        <w:t>评估师</w:t>
      </w:r>
      <w:r w:rsidRPr="00DA3766">
        <w:rPr>
          <w:rFonts w:ascii="宋体" w:hAnsi="宋体"/>
        </w:rPr>
        <w:t>”</w:t>
      </w:r>
      <w:r w:rsidRPr="00DA3766">
        <w:t>）等中介机构本着勤勉尽责、诚实守信的原则，对问询函所提出的问题进行了逐项落实，并按照要求在《</w:t>
      </w:r>
      <w:r w:rsidR="0051320C" w:rsidRPr="00DA3766">
        <w:t>广东天亿马信息产业股份有限公司</w:t>
      </w:r>
      <w:r w:rsidRPr="00DA3766">
        <w:t>发行股份及支付现金购买资产并募集配套资金暨关联交易报告书（草案）》（以下简称</w:t>
      </w:r>
      <w:r w:rsidRPr="00DA3766">
        <w:rPr>
          <w:rFonts w:ascii="宋体" w:hAnsi="宋体"/>
        </w:rPr>
        <w:t>“</w:t>
      </w:r>
      <w:r w:rsidRPr="00DA3766">
        <w:t>重组报告书</w:t>
      </w:r>
      <w:r w:rsidRPr="00DA3766">
        <w:rPr>
          <w:rFonts w:ascii="宋体" w:hAnsi="宋体"/>
        </w:rPr>
        <w:t>”</w:t>
      </w:r>
      <w:r w:rsidRPr="00DA3766">
        <w:t>）中进行了相应的修订和补充披露。</w:t>
      </w:r>
      <w:r w:rsidR="00E74C2F" w:rsidRPr="00E74C2F">
        <w:t>现将相关回复说明如下</w:t>
      </w:r>
      <w:r w:rsidRPr="00DA3766">
        <w:t>。</w:t>
      </w:r>
    </w:p>
    <w:p w14:paraId="65FA6DD4" w14:textId="77777777" w:rsidR="00E30288" w:rsidRPr="00DA3766" w:rsidRDefault="009D619E">
      <w:pPr>
        <w:pStyle w:val="005"/>
        <w:spacing w:before="120" w:after="120"/>
        <w:ind w:firstLine="480"/>
      </w:pPr>
      <w:r w:rsidRPr="00DA3766">
        <w:t>说明：</w:t>
      </w:r>
    </w:p>
    <w:p w14:paraId="535455FA" w14:textId="77777777" w:rsidR="00E30288" w:rsidRPr="00DA3766" w:rsidRDefault="009D619E">
      <w:pPr>
        <w:pStyle w:val="005"/>
        <w:spacing w:before="120" w:after="120"/>
        <w:ind w:firstLine="480"/>
        <w:rPr>
          <w:szCs w:val="28"/>
        </w:rPr>
      </w:pPr>
      <w:r w:rsidRPr="00DA3766">
        <w:rPr>
          <w:szCs w:val="28"/>
        </w:rPr>
        <w:t>除非文义另有所指，本回复中的简称或名词释义与《重组报告书》具有相同含义。</w:t>
      </w:r>
    </w:p>
    <w:p w14:paraId="65732A3D" w14:textId="77777777" w:rsidR="00E30288" w:rsidRPr="00DA3766" w:rsidRDefault="009D619E">
      <w:pPr>
        <w:pStyle w:val="005"/>
        <w:spacing w:before="120" w:after="120"/>
        <w:ind w:firstLine="480"/>
      </w:pPr>
      <w:r w:rsidRPr="00DA3766">
        <w:t>本回复报告的字体代表以下含义：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4"/>
        <w:gridCol w:w="4744"/>
      </w:tblGrid>
      <w:tr w:rsidR="00E30288" w:rsidRPr="00DA3766" w14:paraId="640137D3" w14:textId="77777777" w:rsidTr="00DA3766">
        <w:trPr>
          <w:trHeight w:val="397"/>
          <w:jc w:val="center"/>
        </w:trPr>
        <w:tc>
          <w:tcPr>
            <w:tcW w:w="3678" w:type="dxa"/>
            <w:tcMar>
              <w:top w:w="0" w:type="dxa"/>
              <w:left w:w="108" w:type="dxa"/>
              <w:bottom w:w="0" w:type="dxa"/>
              <w:right w:w="108" w:type="dxa"/>
            </w:tcMar>
            <w:vAlign w:val="center"/>
          </w:tcPr>
          <w:p w14:paraId="0E285EDF"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eastAsia="黑体" w:hAnsi="Times New Roman" w:cs="Times New Roman"/>
                <w:bCs/>
                <w:color w:val="000000"/>
                <w:sz w:val="21"/>
                <w:szCs w:val="21"/>
              </w:rPr>
            </w:pPr>
            <w:r w:rsidRPr="00DA3766">
              <w:rPr>
                <w:rFonts w:ascii="Times New Roman" w:eastAsia="黑体" w:hAnsi="Times New Roman" w:cs="Times New Roman"/>
                <w:bCs/>
                <w:color w:val="000000"/>
                <w:sz w:val="21"/>
                <w:szCs w:val="21"/>
              </w:rPr>
              <w:t>黑体（不加粗）</w:t>
            </w:r>
          </w:p>
        </w:tc>
        <w:tc>
          <w:tcPr>
            <w:tcW w:w="4612" w:type="dxa"/>
            <w:tcMar>
              <w:top w:w="0" w:type="dxa"/>
              <w:left w:w="108" w:type="dxa"/>
              <w:bottom w:w="0" w:type="dxa"/>
              <w:right w:w="108" w:type="dxa"/>
            </w:tcMar>
            <w:vAlign w:val="center"/>
          </w:tcPr>
          <w:p w14:paraId="3DCC5C64"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eastAsia="黑体" w:hAnsi="Times New Roman" w:cs="Times New Roman"/>
                <w:bCs/>
                <w:color w:val="000000"/>
                <w:sz w:val="21"/>
                <w:szCs w:val="21"/>
              </w:rPr>
            </w:pPr>
            <w:r w:rsidRPr="00DA3766">
              <w:rPr>
                <w:rFonts w:ascii="Times New Roman" w:eastAsia="黑体" w:hAnsi="Times New Roman" w:cs="Times New Roman"/>
                <w:bCs/>
                <w:color w:val="000000"/>
                <w:sz w:val="21"/>
                <w:szCs w:val="21"/>
              </w:rPr>
              <w:t>问询函所列问题</w:t>
            </w:r>
          </w:p>
        </w:tc>
      </w:tr>
      <w:tr w:rsidR="00E30288" w:rsidRPr="00DA3766" w14:paraId="0C32E276" w14:textId="77777777" w:rsidTr="00DA3766">
        <w:trPr>
          <w:trHeight w:val="397"/>
          <w:jc w:val="center"/>
        </w:trPr>
        <w:tc>
          <w:tcPr>
            <w:tcW w:w="3678" w:type="dxa"/>
            <w:tcMar>
              <w:top w:w="0" w:type="dxa"/>
              <w:left w:w="108" w:type="dxa"/>
              <w:bottom w:w="0" w:type="dxa"/>
              <w:right w:w="108" w:type="dxa"/>
            </w:tcMar>
            <w:vAlign w:val="center"/>
          </w:tcPr>
          <w:p w14:paraId="1DC78F24"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宋体（不加粗）</w:t>
            </w:r>
          </w:p>
        </w:tc>
        <w:tc>
          <w:tcPr>
            <w:tcW w:w="4612" w:type="dxa"/>
            <w:tcMar>
              <w:top w:w="0" w:type="dxa"/>
              <w:left w:w="108" w:type="dxa"/>
              <w:bottom w:w="0" w:type="dxa"/>
              <w:right w:w="108" w:type="dxa"/>
            </w:tcMar>
            <w:vAlign w:val="center"/>
          </w:tcPr>
          <w:p w14:paraId="0BCB2ABA"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对问询函所列问题的回复</w:t>
            </w:r>
          </w:p>
        </w:tc>
      </w:tr>
    </w:tbl>
    <w:p w14:paraId="172687E2" w14:textId="77777777" w:rsidR="00E30288" w:rsidRPr="00DA3766" w:rsidRDefault="009D619E">
      <w:pPr>
        <w:pStyle w:val="005"/>
        <w:spacing w:before="120" w:after="120"/>
        <w:ind w:firstLine="480"/>
      </w:pPr>
      <w:r w:rsidRPr="00DA3766">
        <w:t>本回复报告中部分合计数与各加数直接相加之和在尾数上有差异，系由四舍五入造成。</w:t>
      </w:r>
    </w:p>
    <w:p w14:paraId="3C37B9BA" w14:textId="668DC8FD" w:rsidR="00E30288" w:rsidRPr="00DA3766" w:rsidRDefault="009D619E" w:rsidP="004019AB">
      <w:pPr>
        <w:pStyle w:val="001"/>
        <w:spacing w:before="120" w:after="120"/>
        <w:ind w:firstLineChars="0" w:firstLine="0"/>
        <w:jc w:val="center"/>
      </w:pPr>
      <w:bookmarkStart w:id="1" w:name="_Toc220344115"/>
      <w:r w:rsidRPr="00DA3766">
        <w:lastRenderedPageBreak/>
        <w:t>目</w:t>
      </w:r>
      <w:r w:rsidRPr="00DA3766">
        <w:t xml:space="preserve">  </w:t>
      </w:r>
      <w:r w:rsidRPr="00DA3766">
        <w:t>录</w:t>
      </w:r>
      <w:bookmarkEnd w:id="1"/>
    </w:p>
    <w:p w14:paraId="69953CFC" w14:textId="0B551DBD" w:rsidR="000C4294" w:rsidRDefault="009D619E">
      <w:pPr>
        <w:pStyle w:val="TOC1"/>
        <w:tabs>
          <w:tab w:val="right" w:leader="dot" w:pos="8302"/>
        </w:tabs>
        <w:rPr>
          <w:rFonts w:asciiTheme="minorHAnsi" w:eastAsiaTheme="minorEastAsia" w:hAnsiTheme="minorHAnsi" w:hint="eastAsia"/>
          <w:b w:val="0"/>
          <w:noProof/>
          <w:sz w:val="21"/>
          <w:szCs w:val="22"/>
          <w14:ligatures w14:val="none"/>
        </w:rPr>
      </w:pPr>
      <w:r w:rsidRPr="00DA3766">
        <w:rPr>
          <w:rFonts w:cs="Times New Roman"/>
          <w:b w:val="0"/>
        </w:rPr>
        <w:fldChar w:fldCharType="begin"/>
      </w:r>
      <w:r w:rsidRPr="00DA3766">
        <w:rPr>
          <w:rFonts w:cs="Times New Roman"/>
          <w:b w:val="0"/>
        </w:rPr>
        <w:instrText xml:space="preserve"> TOC \o "1-1" \h \z \u </w:instrText>
      </w:r>
      <w:r w:rsidRPr="00DA3766">
        <w:rPr>
          <w:rFonts w:cs="Times New Roman"/>
          <w:b w:val="0"/>
        </w:rPr>
        <w:fldChar w:fldCharType="separate"/>
      </w:r>
      <w:hyperlink w:anchor="_Toc220344115" w:history="1">
        <w:r w:rsidR="000C4294" w:rsidRPr="00392084">
          <w:rPr>
            <w:rStyle w:val="aff0"/>
            <w:rFonts w:hint="eastAsia"/>
            <w:noProof/>
          </w:rPr>
          <w:t>目</w:t>
        </w:r>
        <w:r w:rsidR="000C4294" w:rsidRPr="00392084">
          <w:rPr>
            <w:rStyle w:val="aff0"/>
            <w:noProof/>
          </w:rPr>
          <w:t xml:space="preserve">  </w:t>
        </w:r>
        <w:r w:rsidR="000C4294" w:rsidRPr="00392084">
          <w:rPr>
            <w:rStyle w:val="aff0"/>
            <w:rFonts w:hint="eastAsia"/>
            <w:noProof/>
          </w:rPr>
          <w:t>录</w:t>
        </w:r>
        <w:r w:rsidR="000C4294">
          <w:rPr>
            <w:noProof/>
            <w:webHidden/>
          </w:rPr>
          <w:tab/>
        </w:r>
        <w:r w:rsidR="000C4294">
          <w:rPr>
            <w:noProof/>
            <w:webHidden/>
          </w:rPr>
          <w:fldChar w:fldCharType="begin"/>
        </w:r>
        <w:r w:rsidR="000C4294">
          <w:rPr>
            <w:noProof/>
            <w:webHidden/>
          </w:rPr>
          <w:instrText xml:space="preserve"> PAGEREF _Toc220344115 \h </w:instrText>
        </w:r>
        <w:r w:rsidR="000C4294">
          <w:rPr>
            <w:noProof/>
            <w:webHidden/>
          </w:rPr>
        </w:r>
        <w:r w:rsidR="000C4294">
          <w:rPr>
            <w:noProof/>
            <w:webHidden/>
          </w:rPr>
          <w:fldChar w:fldCharType="separate"/>
        </w:r>
        <w:r w:rsidR="00E97B1C">
          <w:rPr>
            <w:noProof/>
            <w:webHidden/>
          </w:rPr>
          <w:t>2</w:t>
        </w:r>
        <w:r w:rsidR="000C4294">
          <w:rPr>
            <w:noProof/>
            <w:webHidden/>
          </w:rPr>
          <w:fldChar w:fldCharType="end"/>
        </w:r>
      </w:hyperlink>
    </w:p>
    <w:p w14:paraId="1D5180E1" w14:textId="20CCFC99"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6" w:history="1">
        <w:r w:rsidRPr="00392084">
          <w:rPr>
            <w:rStyle w:val="aff0"/>
            <w:rFonts w:hint="eastAsia"/>
            <w:noProof/>
          </w:rPr>
          <w:t>问题</w:t>
        </w:r>
        <w:r w:rsidRPr="00392084">
          <w:rPr>
            <w:rStyle w:val="aff0"/>
            <w:noProof/>
          </w:rPr>
          <w:t>1</w:t>
        </w:r>
        <w:r w:rsidRPr="00392084">
          <w:rPr>
            <w:rStyle w:val="aff0"/>
            <w:rFonts w:hint="eastAsia"/>
            <w:noProof/>
          </w:rPr>
          <w:t>、关于本次交易是否符合相关产业政策，标的资产是否符合创业板定位或与上市公司处于同行业或者上下游</w:t>
        </w:r>
        <w:r>
          <w:rPr>
            <w:noProof/>
            <w:webHidden/>
          </w:rPr>
          <w:tab/>
        </w:r>
        <w:r>
          <w:rPr>
            <w:noProof/>
            <w:webHidden/>
          </w:rPr>
          <w:fldChar w:fldCharType="begin"/>
        </w:r>
        <w:r>
          <w:rPr>
            <w:noProof/>
            <w:webHidden/>
          </w:rPr>
          <w:instrText xml:space="preserve"> PAGEREF _Toc220344116 \h </w:instrText>
        </w:r>
        <w:r>
          <w:rPr>
            <w:noProof/>
            <w:webHidden/>
          </w:rPr>
        </w:r>
        <w:r>
          <w:rPr>
            <w:noProof/>
            <w:webHidden/>
          </w:rPr>
          <w:fldChar w:fldCharType="separate"/>
        </w:r>
        <w:r w:rsidR="00E97B1C">
          <w:rPr>
            <w:noProof/>
            <w:webHidden/>
          </w:rPr>
          <w:t>3</w:t>
        </w:r>
        <w:r>
          <w:rPr>
            <w:noProof/>
            <w:webHidden/>
          </w:rPr>
          <w:fldChar w:fldCharType="end"/>
        </w:r>
      </w:hyperlink>
    </w:p>
    <w:p w14:paraId="5AC9F421" w14:textId="06229E5F"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7" w:history="1">
        <w:r w:rsidRPr="00392084">
          <w:rPr>
            <w:rStyle w:val="aff0"/>
            <w:rFonts w:hint="eastAsia"/>
            <w:noProof/>
          </w:rPr>
          <w:t>问题</w:t>
        </w:r>
        <w:r w:rsidRPr="00392084">
          <w:rPr>
            <w:rStyle w:val="aff0"/>
            <w:noProof/>
          </w:rPr>
          <w:t>2</w:t>
        </w:r>
        <w:r w:rsidRPr="00392084">
          <w:rPr>
            <w:rStyle w:val="aff0"/>
            <w:rFonts w:hint="eastAsia"/>
            <w:noProof/>
          </w:rPr>
          <w:t>、关于标的资产的经营业绩</w:t>
        </w:r>
        <w:r>
          <w:rPr>
            <w:noProof/>
            <w:webHidden/>
          </w:rPr>
          <w:tab/>
        </w:r>
        <w:r>
          <w:rPr>
            <w:noProof/>
            <w:webHidden/>
          </w:rPr>
          <w:fldChar w:fldCharType="begin"/>
        </w:r>
        <w:r>
          <w:rPr>
            <w:noProof/>
            <w:webHidden/>
          </w:rPr>
          <w:instrText xml:space="preserve"> PAGEREF _Toc220344117 \h </w:instrText>
        </w:r>
        <w:r>
          <w:rPr>
            <w:noProof/>
            <w:webHidden/>
          </w:rPr>
        </w:r>
        <w:r>
          <w:rPr>
            <w:noProof/>
            <w:webHidden/>
          </w:rPr>
          <w:fldChar w:fldCharType="separate"/>
        </w:r>
        <w:r w:rsidR="00E97B1C">
          <w:rPr>
            <w:noProof/>
            <w:webHidden/>
          </w:rPr>
          <w:t>24</w:t>
        </w:r>
        <w:r>
          <w:rPr>
            <w:noProof/>
            <w:webHidden/>
          </w:rPr>
          <w:fldChar w:fldCharType="end"/>
        </w:r>
      </w:hyperlink>
    </w:p>
    <w:p w14:paraId="10A77F44" w14:textId="565772C2"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8" w:history="1">
        <w:r w:rsidRPr="00392084">
          <w:rPr>
            <w:rStyle w:val="aff0"/>
            <w:rFonts w:hint="eastAsia"/>
            <w:noProof/>
          </w:rPr>
          <w:t>问题</w:t>
        </w:r>
        <w:r w:rsidRPr="00392084">
          <w:rPr>
            <w:rStyle w:val="aff0"/>
            <w:noProof/>
          </w:rPr>
          <w:t>3</w:t>
        </w:r>
        <w:r w:rsidRPr="00392084">
          <w:rPr>
            <w:rStyle w:val="aff0"/>
            <w:rFonts w:hint="eastAsia"/>
            <w:noProof/>
          </w:rPr>
          <w:t>、关于标的资产的资产负债及现金流量</w:t>
        </w:r>
        <w:r>
          <w:rPr>
            <w:noProof/>
            <w:webHidden/>
          </w:rPr>
          <w:tab/>
        </w:r>
        <w:r>
          <w:rPr>
            <w:noProof/>
            <w:webHidden/>
          </w:rPr>
          <w:fldChar w:fldCharType="begin"/>
        </w:r>
        <w:r>
          <w:rPr>
            <w:noProof/>
            <w:webHidden/>
          </w:rPr>
          <w:instrText xml:space="preserve"> PAGEREF _Toc220344118 \h </w:instrText>
        </w:r>
        <w:r>
          <w:rPr>
            <w:noProof/>
            <w:webHidden/>
          </w:rPr>
        </w:r>
        <w:r>
          <w:rPr>
            <w:noProof/>
            <w:webHidden/>
          </w:rPr>
          <w:fldChar w:fldCharType="separate"/>
        </w:r>
        <w:r w:rsidR="00E97B1C">
          <w:rPr>
            <w:noProof/>
            <w:webHidden/>
          </w:rPr>
          <w:t>54</w:t>
        </w:r>
        <w:r>
          <w:rPr>
            <w:noProof/>
            <w:webHidden/>
          </w:rPr>
          <w:fldChar w:fldCharType="end"/>
        </w:r>
      </w:hyperlink>
    </w:p>
    <w:p w14:paraId="04CA0F0D" w14:textId="2EC6BBD9"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9" w:history="1">
        <w:r w:rsidRPr="00392084">
          <w:rPr>
            <w:rStyle w:val="aff0"/>
            <w:rFonts w:hint="eastAsia"/>
            <w:noProof/>
          </w:rPr>
          <w:t>问题</w:t>
        </w:r>
        <w:r w:rsidRPr="00392084">
          <w:rPr>
            <w:rStyle w:val="aff0"/>
            <w:noProof/>
          </w:rPr>
          <w:t>4</w:t>
        </w:r>
        <w:r w:rsidRPr="00392084">
          <w:rPr>
            <w:rStyle w:val="aff0"/>
            <w:rFonts w:hint="eastAsia"/>
            <w:noProof/>
          </w:rPr>
          <w:t>、关于收益法评估</w:t>
        </w:r>
        <w:r>
          <w:rPr>
            <w:noProof/>
            <w:webHidden/>
          </w:rPr>
          <w:tab/>
        </w:r>
        <w:r>
          <w:rPr>
            <w:noProof/>
            <w:webHidden/>
          </w:rPr>
          <w:fldChar w:fldCharType="begin"/>
        </w:r>
        <w:r>
          <w:rPr>
            <w:noProof/>
            <w:webHidden/>
          </w:rPr>
          <w:instrText xml:space="preserve"> PAGEREF _Toc220344119 \h </w:instrText>
        </w:r>
        <w:r>
          <w:rPr>
            <w:noProof/>
            <w:webHidden/>
          </w:rPr>
        </w:r>
        <w:r>
          <w:rPr>
            <w:noProof/>
            <w:webHidden/>
          </w:rPr>
          <w:fldChar w:fldCharType="separate"/>
        </w:r>
        <w:r w:rsidR="00E97B1C">
          <w:rPr>
            <w:noProof/>
            <w:webHidden/>
          </w:rPr>
          <w:t>80</w:t>
        </w:r>
        <w:r>
          <w:rPr>
            <w:noProof/>
            <w:webHidden/>
          </w:rPr>
          <w:fldChar w:fldCharType="end"/>
        </w:r>
      </w:hyperlink>
    </w:p>
    <w:p w14:paraId="56B013CD" w14:textId="5B131FE2"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0" w:history="1">
        <w:r w:rsidRPr="00392084">
          <w:rPr>
            <w:rStyle w:val="aff0"/>
            <w:rFonts w:hint="eastAsia"/>
            <w:noProof/>
          </w:rPr>
          <w:t>问题</w:t>
        </w:r>
        <w:r w:rsidRPr="00392084">
          <w:rPr>
            <w:rStyle w:val="aff0"/>
            <w:noProof/>
          </w:rPr>
          <w:t>5</w:t>
        </w:r>
        <w:r w:rsidRPr="00392084">
          <w:rPr>
            <w:rStyle w:val="aff0"/>
            <w:rFonts w:hint="eastAsia"/>
            <w:noProof/>
          </w:rPr>
          <w:t>、关于市场法评估</w:t>
        </w:r>
        <w:r>
          <w:rPr>
            <w:noProof/>
            <w:webHidden/>
          </w:rPr>
          <w:tab/>
        </w:r>
        <w:r>
          <w:rPr>
            <w:noProof/>
            <w:webHidden/>
          </w:rPr>
          <w:fldChar w:fldCharType="begin"/>
        </w:r>
        <w:r>
          <w:rPr>
            <w:noProof/>
            <w:webHidden/>
          </w:rPr>
          <w:instrText xml:space="preserve"> PAGEREF _Toc220344120 \h </w:instrText>
        </w:r>
        <w:r>
          <w:rPr>
            <w:noProof/>
            <w:webHidden/>
          </w:rPr>
        </w:r>
        <w:r>
          <w:rPr>
            <w:noProof/>
            <w:webHidden/>
          </w:rPr>
          <w:fldChar w:fldCharType="separate"/>
        </w:r>
        <w:r w:rsidR="00E97B1C">
          <w:rPr>
            <w:noProof/>
            <w:webHidden/>
          </w:rPr>
          <w:t>144</w:t>
        </w:r>
        <w:r>
          <w:rPr>
            <w:noProof/>
            <w:webHidden/>
          </w:rPr>
          <w:fldChar w:fldCharType="end"/>
        </w:r>
      </w:hyperlink>
    </w:p>
    <w:p w14:paraId="3BF49483" w14:textId="6B4A2CD0"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1" w:history="1">
        <w:r w:rsidRPr="00392084">
          <w:rPr>
            <w:rStyle w:val="aff0"/>
            <w:rFonts w:hint="eastAsia"/>
            <w:noProof/>
          </w:rPr>
          <w:t>问题</w:t>
        </w:r>
        <w:r w:rsidRPr="00392084">
          <w:rPr>
            <w:rStyle w:val="aff0"/>
            <w:noProof/>
          </w:rPr>
          <w:t>6</w:t>
        </w:r>
        <w:r w:rsidRPr="00392084">
          <w:rPr>
            <w:rStyle w:val="aff0"/>
            <w:rFonts w:hint="eastAsia"/>
            <w:noProof/>
          </w:rPr>
          <w:t>、关于交易方案</w:t>
        </w:r>
        <w:r>
          <w:rPr>
            <w:noProof/>
            <w:webHidden/>
          </w:rPr>
          <w:tab/>
        </w:r>
        <w:r>
          <w:rPr>
            <w:noProof/>
            <w:webHidden/>
          </w:rPr>
          <w:fldChar w:fldCharType="begin"/>
        </w:r>
        <w:r>
          <w:rPr>
            <w:noProof/>
            <w:webHidden/>
          </w:rPr>
          <w:instrText xml:space="preserve"> PAGEREF _Toc220344121 \h </w:instrText>
        </w:r>
        <w:r>
          <w:rPr>
            <w:noProof/>
            <w:webHidden/>
          </w:rPr>
        </w:r>
        <w:r>
          <w:rPr>
            <w:noProof/>
            <w:webHidden/>
          </w:rPr>
          <w:fldChar w:fldCharType="separate"/>
        </w:r>
        <w:r w:rsidR="00E97B1C">
          <w:rPr>
            <w:noProof/>
            <w:webHidden/>
          </w:rPr>
          <w:t>169</w:t>
        </w:r>
        <w:r>
          <w:rPr>
            <w:noProof/>
            <w:webHidden/>
          </w:rPr>
          <w:fldChar w:fldCharType="end"/>
        </w:r>
      </w:hyperlink>
    </w:p>
    <w:p w14:paraId="30F234CA" w14:textId="5B931AD8"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2" w:history="1">
        <w:r w:rsidRPr="00392084">
          <w:rPr>
            <w:rStyle w:val="aff0"/>
            <w:rFonts w:hint="eastAsia"/>
            <w:noProof/>
          </w:rPr>
          <w:t>问题</w:t>
        </w:r>
        <w:r w:rsidRPr="00392084">
          <w:rPr>
            <w:rStyle w:val="aff0"/>
            <w:noProof/>
          </w:rPr>
          <w:t>7</w:t>
        </w:r>
        <w:r w:rsidRPr="00392084">
          <w:rPr>
            <w:rStyle w:val="aff0"/>
            <w:rFonts w:hint="eastAsia"/>
            <w:noProof/>
          </w:rPr>
          <w:t>、关于交易对方</w:t>
        </w:r>
        <w:r>
          <w:rPr>
            <w:noProof/>
            <w:webHidden/>
          </w:rPr>
          <w:tab/>
        </w:r>
        <w:r>
          <w:rPr>
            <w:noProof/>
            <w:webHidden/>
          </w:rPr>
          <w:fldChar w:fldCharType="begin"/>
        </w:r>
        <w:r>
          <w:rPr>
            <w:noProof/>
            <w:webHidden/>
          </w:rPr>
          <w:instrText xml:space="preserve"> PAGEREF _Toc220344122 \h </w:instrText>
        </w:r>
        <w:r>
          <w:rPr>
            <w:noProof/>
            <w:webHidden/>
          </w:rPr>
        </w:r>
        <w:r>
          <w:rPr>
            <w:noProof/>
            <w:webHidden/>
          </w:rPr>
          <w:fldChar w:fldCharType="separate"/>
        </w:r>
        <w:r w:rsidR="00E97B1C">
          <w:rPr>
            <w:noProof/>
            <w:webHidden/>
          </w:rPr>
          <w:t>217</w:t>
        </w:r>
        <w:r>
          <w:rPr>
            <w:noProof/>
            <w:webHidden/>
          </w:rPr>
          <w:fldChar w:fldCharType="end"/>
        </w:r>
      </w:hyperlink>
    </w:p>
    <w:p w14:paraId="56E002FF" w14:textId="4A472B9B"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3" w:history="1">
        <w:r w:rsidRPr="00392084">
          <w:rPr>
            <w:rStyle w:val="aff0"/>
            <w:rFonts w:hint="eastAsia"/>
            <w:noProof/>
          </w:rPr>
          <w:t>问题</w:t>
        </w:r>
        <w:r w:rsidRPr="00392084">
          <w:rPr>
            <w:rStyle w:val="aff0"/>
            <w:noProof/>
          </w:rPr>
          <w:t>8</w:t>
        </w:r>
        <w:r w:rsidRPr="00392084">
          <w:rPr>
            <w:rStyle w:val="aff0"/>
            <w:rFonts w:hint="eastAsia"/>
            <w:noProof/>
          </w:rPr>
          <w:t>、关于标的资产的历史沿革</w:t>
        </w:r>
        <w:r>
          <w:rPr>
            <w:noProof/>
            <w:webHidden/>
          </w:rPr>
          <w:tab/>
        </w:r>
        <w:r>
          <w:rPr>
            <w:noProof/>
            <w:webHidden/>
          </w:rPr>
          <w:fldChar w:fldCharType="begin"/>
        </w:r>
        <w:r>
          <w:rPr>
            <w:noProof/>
            <w:webHidden/>
          </w:rPr>
          <w:instrText xml:space="preserve"> PAGEREF _Toc220344123 \h </w:instrText>
        </w:r>
        <w:r>
          <w:rPr>
            <w:noProof/>
            <w:webHidden/>
          </w:rPr>
        </w:r>
        <w:r>
          <w:rPr>
            <w:noProof/>
            <w:webHidden/>
          </w:rPr>
          <w:fldChar w:fldCharType="separate"/>
        </w:r>
        <w:r w:rsidR="00E97B1C">
          <w:rPr>
            <w:noProof/>
            <w:webHidden/>
          </w:rPr>
          <w:t>265</w:t>
        </w:r>
        <w:r>
          <w:rPr>
            <w:noProof/>
            <w:webHidden/>
          </w:rPr>
          <w:fldChar w:fldCharType="end"/>
        </w:r>
      </w:hyperlink>
    </w:p>
    <w:p w14:paraId="6ADFD3C4" w14:textId="0A526333"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4" w:history="1">
        <w:r w:rsidRPr="00392084">
          <w:rPr>
            <w:rStyle w:val="aff0"/>
            <w:rFonts w:hint="eastAsia"/>
            <w:noProof/>
          </w:rPr>
          <w:t>问题</w:t>
        </w:r>
        <w:r w:rsidRPr="00392084">
          <w:rPr>
            <w:rStyle w:val="aff0"/>
            <w:noProof/>
          </w:rPr>
          <w:t>9</w:t>
        </w:r>
        <w:r w:rsidRPr="00392084">
          <w:rPr>
            <w:rStyle w:val="aff0"/>
            <w:rFonts w:hint="eastAsia"/>
            <w:noProof/>
          </w:rPr>
          <w:t>、关于协同效应与整合管控</w:t>
        </w:r>
        <w:r>
          <w:rPr>
            <w:noProof/>
            <w:webHidden/>
          </w:rPr>
          <w:tab/>
        </w:r>
        <w:r>
          <w:rPr>
            <w:noProof/>
            <w:webHidden/>
          </w:rPr>
          <w:fldChar w:fldCharType="begin"/>
        </w:r>
        <w:r>
          <w:rPr>
            <w:noProof/>
            <w:webHidden/>
          </w:rPr>
          <w:instrText xml:space="preserve"> PAGEREF _Toc220344124 \h </w:instrText>
        </w:r>
        <w:r>
          <w:rPr>
            <w:noProof/>
            <w:webHidden/>
          </w:rPr>
        </w:r>
        <w:r>
          <w:rPr>
            <w:noProof/>
            <w:webHidden/>
          </w:rPr>
          <w:fldChar w:fldCharType="separate"/>
        </w:r>
        <w:r w:rsidR="00E97B1C">
          <w:rPr>
            <w:noProof/>
            <w:webHidden/>
          </w:rPr>
          <w:t>305</w:t>
        </w:r>
        <w:r>
          <w:rPr>
            <w:noProof/>
            <w:webHidden/>
          </w:rPr>
          <w:fldChar w:fldCharType="end"/>
        </w:r>
      </w:hyperlink>
    </w:p>
    <w:p w14:paraId="27CBEBF5" w14:textId="0707DAC1"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5" w:history="1">
        <w:r w:rsidRPr="00392084">
          <w:rPr>
            <w:rStyle w:val="aff0"/>
            <w:rFonts w:hint="eastAsia"/>
            <w:noProof/>
          </w:rPr>
          <w:t>问题</w:t>
        </w:r>
        <w:r w:rsidRPr="00392084">
          <w:rPr>
            <w:rStyle w:val="aff0"/>
            <w:noProof/>
          </w:rPr>
          <w:t>10</w:t>
        </w:r>
        <w:r w:rsidRPr="00392084">
          <w:rPr>
            <w:rStyle w:val="aff0"/>
            <w:rFonts w:hint="eastAsia"/>
            <w:noProof/>
          </w:rPr>
          <w:t>、关于上市公司的生产经营与财务数据</w:t>
        </w:r>
        <w:r>
          <w:rPr>
            <w:noProof/>
            <w:webHidden/>
          </w:rPr>
          <w:tab/>
        </w:r>
        <w:r>
          <w:rPr>
            <w:noProof/>
            <w:webHidden/>
          </w:rPr>
          <w:fldChar w:fldCharType="begin"/>
        </w:r>
        <w:r>
          <w:rPr>
            <w:noProof/>
            <w:webHidden/>
          </w:rPr>
          <w:instrText xml:space="preserve"> PAGEREF _Toc220344125 \h </w:instrText>
        </w:r>
        <w:r>
          <w:rPr>
            <w:noProof/>
            <w:webHidden/>
          </w:rPr>
        </w:r>
        <w:r>
          <w:rPr>
            <w:noProof/>
            <w:webHidden/>
          </w:rPr>
          <w:fldChar w:fldCharType="separate"/>
        </w:r>
        <w:r w:rsidR="00E97B1C">
          <w:rPr>
            <w:noProof/>
            <w:webHidden/>
          </w:rPr>
          <w:t>319</w:t>
        </w:r>
        <w:r>
          <w:rPr>
            <w:noProof/>
            <w:webHidden/>
          </w:rPr>
          <w:fldChar w:fldCharType="end"/>
        </w:r>
      </w:hyperlink>
    </w:p>
    <w:p w14:paraId="5527E31B" w14:textId="339BC506"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6" w:history="1">
        <w:r w:rsidRPr="00392084">
          <w:rPr>
            <w:rStyle w:val="aff0"/>
            <w:rFonts w:hint="eastAsia"/>
            <w:noProof/>
          </w:rPr>
          <w:t>问题</w:t>
        </w:r>
        <w:r w:rsidRPr="00392084">
          <w:rPr>
            <w:rStyle w:val="aff0"/>
            <w:noProof/>
          </w:rPr>
          <w:t>11</w:t>
        </w:r>
        <w:r w:rsidRPr="00392084">
          <w:rPr>
            <w:rStyle w:val="aff0"/>
            <w:rFonts w:hint="eastAsia"/>
            <w:noProof/>
          </w:rPr>
          <w:t>、关于信息披露的完整性与充分性</w:t>
        </w:r>
        <w:r>
          <w:rPr>
            <w:noProof/>
            <w:webHidden/>
          </w:rPr>
          <w:tab/>
        </w:r>
        <w:r>
          <w:rPr>
            <w:noProof/>
            <w:webHidden/>
          </w:rPr>
          <w:fldChar w:fldCharType="begin"/>
        </w:r>
        <w:r>
          <w:rPr>
            <w:noProof/>
            <w:webHidden/>
          </w:rPr>
          <w:instrText xml:space="preserve"> PAGEREF _Toc220344126 \h </w:instrText>
        </w:r>
        <w:r>
          <w:rPr>
            <w:noProof/>
            <w:webHidden/>
          </w:rPr>
        </w:r>
        <w:r>
          <w:rPr>
            <w:noProof/>
            <w:webHidden/>
          </w:rPr>
          <w:fldChar w:fldCharType="separate"/>
        </w:r>
        <w:r w:rsidR="00E97B1C">
          <w:rPr>
            <w:noProof/>
            <w:webHidden/>
          </w:rPr>
          <w:t>385</w:t>
        </w:r>
        <w:r>
          <w:rPr>
            <w:noProof/>
            <w:webHidden/>
          </w:rPr>
          <w:fldChar w:fldCharType="end"/>
        </w:r>
      </w:hyperlink>
    </w:p>
    <w:p w14:paraId="7640591F" w14:textId="0757A07B"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7" w:history="1">
        <w:r w:rsidRPr="00392084">
          <w:rPr>
            <w:rStyle w:val="aff0"/>
            <w:rFonts w:hint="eastAsia"/>
            <w:noProof/>
          </w:rPr>
          <w:t>问题</w:t>
        </w:r>
        <w:r w:rsidRPr="00392084">
          <w:rPr>
            <w:rStyle w:val="aff0"/>
            <w:noProof/>
          </w:rPr>
          <w:t>12</w:t>
        </w:r>
        <w:r w:rsidRPr="00392084">
          <w:rPr>
            <w:rStyle w:val="aff0"/>
            <w:rFonts w:hint="eastAsia"/>
            <w:noProof/>
          </w:rPr>
          <w:t>、其他</w:t>
        </w:r>
        <w:r>
          <w:rPr>
            <w:noProof/>
            <w:webHidden/>
          </w:rPr>
          <w:tab/>
        </w:r>
        <w:r>
          <w:rPr>
            <w:noProof/>
            <w:webHidden/>
          </w:rPr>
          <w:fldChar w:fldCharType="begin"/>
        </w:r>
        <w:r>
          <w:rPr>
            <w:noProof/>
            <w:webHidden/>
          </w:rPr>
          <w:instrText xml:space="preserve"> PAGEREF _Toc220344127 \h </w:instrText>
        </w:r>
        <w:r>
          <w:rPr>
            <w:noProof/>
            <w:webHidden/>
          </w:rPr>
        </w:r>
        <w:r>
          <w:rPr>
            <w:noProof/>
            <w:webHidden/>
          </w:rPr>
          <w:fldChar w:fldCharType="separate"/>
        </w:r>
        <w:r w:rsidR="00E97B1C">
          <w:rPr>
            <w:noProof/>
            <w:webHidden/>
          </w:rPr>
          <w:t>413</w:t>
        </w:r>
        <w:r>
          <w:rPr>
            <w:noProof/>
            <w:webHidden/>
          </w:rPr>
          <w:fldChar w:fldCharType="end"/>
        </w:r>
      </w:hyperlink>
    </w:p>
    <w:p w14:paraId="68A3AAFB" w14:textId="0C41C921" w:rsidR="00E30288" w:rsidRPr="00DA3766" w:rsidRDefault="009D619E" w:rsidP="004019AB">
      <w:pPr>
        <w:pStyle w:val="005"/>
        <w:spacing w:before="120" w:after="120"/>
        <w:ind w:firstLineChars="0" w:firstLine="0"/>
      </w:pPr>
      <w:r w:rsidRPr="00DA3766">
        <w:fldChar w:fldCharType="end"/>
      </w:r>
    </w:p>
    <w:p w14:paraId="69E3557E" w14:textId="3B0CFF1A" w:rsidR="00E30288" w:rsidRPr="00DA3766" w:rsidRDefault="009D619E" w:rsidP="00A81CC2">
      <w:pPr>
        <w:pStyle w:val="001"/>
        <w:spacing w:before="120" w:after="120"/>
        <w:ind w:firstLine="480"/>
      </w:pPr>
      <w:bookmarkStart w:id="2" w:name="_Toc220344116"/>
      <w:r w:rsidRPr="00DA3766">
        <w:lastRenderedPageBreak/>
        <w:t>问题</w:t>
      </w:r>
      <w:r w:rsidRPr="00DA3766">
        <w:t>1</w:t>
      </w:r>
      <w:r w:rsidRPr="00DA3766">
        <w:t>、</w:t>
      </w:r>
      <w:r w:rsidR="00BD5E78" w:rsidRPr="00DA3766">
        <w:t>关于本次交易是否符合相关产业政策，标的资产是否符合创业板定位或与上市公司处于同行业或者上下游</w:t>
      </w:r>
      <w:bookmarkEnd w:id="2"/>
    </w:p>
    <w:p w14:paraId="5153BBB5" w14:textId="048CDFAC" w:rsidR="00E30288" w:rsidRPr="00DA3766" w:rsidRDefault="009D619E">
      <w:pPr>
        <w:pStyle w:val="0050"/>
        <w:spacing w:before="120" w:after="120"/>
        <w:ind w:firstLine="480"/>
      </w:pPr>
      <w:r w:rsidRPr="00DA3766">
        <w:t>申请文件显示：</w:t>
      </w:r>
      <w:r w:rsidR="00BD5E78" w:rsidRPr="00DA3766">
        <w:t>（</w:t>
      </w:r>
      <w:r w:rsidR="00BD5E78" w:rsidRPr="00DA3766">
        <w:t>1</w:t>
      </w:r>
      <w:r w:rsidR="00BD5E78" w:rsidRPr="00DA3766">
        <w:t>）上市公司本次拟通过发行股份及支付现金的方式购买其合计持有的广东星云开物科技股份有限公司（以下简称星云开物或标的资产）</w:t>
      </w:r>
      <w:r w:rsidR="00BD5E78" w:rsidRPr="00DA3766">
        <w:t>98.5632%</w:t>
      </w:r>
      <w:r w:rsidR="00BD5E78" w:rsidRPr="00DA3766">
        <w:t>的股权。标的资产符合《深圳证券交易所创业板企业发行上市申报及推荐暂行规定（</w:t>
      </w:r>
      <w:r w:rsidR="00BD5E78" w:rsidRPr="00DA3766">
        <w:t>2024</w:t>
      </w:r>
      <w:r w:rsidR="00BD5E78" w:rsidRPr="00DA3766">
        <w:t>年修订）》的相关规定，符合创业板定位。上市公司与标的资产同属于同行业。（</w:t>
      </w:r>
      <w:r w:rsidR="00BD5E78" w:rsidRPr="00DA3766">
        <w:t>2</w:t>
      </w:r>
      <w:r w:rsidR="00BD5E78" w:rsidRPr="00DA3766">
        <w:t>）标的资产基于智能自助设备开展</w:t>
      </w:r>
      <w:r w:rsidR="00BD5E78" w:rsidRPr="00DA3766">
        <w:t>IoT</w:t>
      </w:r>
      <w:r w:rsidR="00BD5E78" w:rsidRPr="00DA3766">
        <w:t>智能硬件、</w:t>
      </w:r>
      <w:r w:rsidR="007A44DA" w:rsidRPr="00DA3766">
        <w:t>SaaS</w:t>
      </w:r>
      <w:r w:rsidR="00BD5E78" w:rsidRPr="00DA3766">
        <w:t>云平台等业务，其中</w:t>
      </w:r>
      <w:r w:rsidR="007A44DA" w:rsidRPr="00DA3766">
        <w:t>SaaS</w:t>
      </w:r>
      <w:r w:rsidR="00BD5E78" w:rsidRPr="00DA3766">
        <w:t>云平台业务包括收单外包业务。收单外包服务面向第三方持牌支付机构客户群体，主要提供特约商户引荐、交易信息转接服务等服务。公开信息显示，标的资产第一大客户汇付天下有限公司（以下简称汇付天下）曾被中国人民银行处罚，有媒体报道称汇付天下正持续缩减部分境内银行卡收单业务。（</w:t>
      </w:r>
      <w:r w:rsidR="00BD5E78" w:rsidRPr="00DA3766">
        <w:t>3</w:t>
      </w:r>
      <w:r w:rsidR="00BD5E78" w:rsidRPr="00DA3766">
        <w:t>）</w:t>
      </w:r>
      <w:r w:rsidR="00BD5E78" w:rsidRPr="00DA3766">
        <w:t>2024</w:t>
      </w:r>
      <w:r w:rsidR="00BD5E78" w:rsidRPr="00DA3766">
        <w:t>年度，标的资产全平台在线智能自助设备总数超</w:t>
      </w:r>
      <w:r w:rsidR="00BD5E78" w:rsidRPr="00DA3766">
        <w:t>300</w:t>
      </w:r>
      <w:r w:rsidR="00BD5E78" w:rsidRPr="00DA3766">
        <w:t>万台，报告期内全部终端设备单日支付笔数峰值超</w:t>
      </w:r>
      <w:r w:rsidR="00BD5E78" w:rsidRPr="00DA3766">
        <w:t>700</w:t>
      </w:r>
      <w:r w:rsidR="00BD5E78" w:rsidRPr="00DA3766">
        <w:t>万笔。标的资产官网显示服务用户数</w:t>
      </w:r>
      <w:r w:rsidR="00BD5E78" w:rsidRPr="00DA3766">
        <w:t>4.5</w:t>
      </w:r>
      <w:r w:rsidR="00BD5E78" w:rsidRPr="00DA3766">
        <w:t>亿（去重）。（</w:t>
      </w:r>
      <w:r w:rsidR="00BD5E78" w:rsidRPr="00DA3766">
        <w:t>4</w:t>
      </w:r>
      <w:r w:rsidR="00BD5E78" w:rsidRPr="00DA3766">
        <w:t>）标的资产部分子公司的经营范围包括演出经纪等</w:t>
      </w:r>
      <w:r w:rsidRPr="00DA3766">
        <w:t>。</w:t>
      </w:r>
    </w:p>
    <w:p w14:paraId="1454EF0A" w14:textId="14DED7D9" w:rsidR="00E30288" w:rsidRPr="00DA3766" w:rsidRDefault="009D619E">
      <w:pPr>
        <w:pStyle w:val="0050"/>
        <w:spacing w:before="120" w:after="120"/>
        <w:ind w:firstLine="480"/>
      </w:pPr>
      <w:r w:rsidRPr="00DA3766">
        <w:t>请上市公司补充披露：</w:t>
      </w:r>
      <w:r w:rsidR="00BD5E78" w:rsidRPr="00DA3766">
        <w:t>（</w:t>
      </w:r>
      <w:r w:rsidR="00BD5E78" w:rsidRPr="00DA3766">
        <w:t>1</w:t>
      </w:r>
      <w:r w:rsidR="00BD5E78" w:rsidRPr="00DA3766">
        <w:t>）结合标的资产的业务、所处行业、具体应用领域、核心技术、技术先进性及具体表征等补充披露认定符合《深圳证券交易所创业板企业发行上市申报及推荐暂行规定（</w:t>
      </w:r>
      <w:r w:rsidR="00BD5E78" w:rsidRPr="00DA3766">
        <w:t>2024</w:t>
      </w:r>
      <w:r w:rsidR="00BD5E78" w:rsidRPr="00DA3766">
        <w:t>年修订）》相关规定的依据是否充分。（</w:t>
      </w:r>
      <w:r w:rsidR="00BD5E78" w:rsidRPr="00DA3766">
        <w:t>2</w:t>
      </w:r>
      <w:r w:rsidR="00BD5E78" w:rsidRPr="00DA3766">
        <w:t>）结合上市公司与标的资产的具体经营业务、服务应用领域、客户及供应商等，说明认定标的资产与上市公司处于同行业的依据是否充分</w:t>
      </w:r>
      <w:r w:rsidRPr="00DA3766">
        <w:t>。</w:t>
      </w:r>
    </w:p>
    <w:p w14:paraId="196315C5" w14:textId="5716FFF1" w:rsidR="00E30288" w:rsidRPr="00DA3766" w:rsidRDefault="009D619E">
      <w:pPr>
        <w:pStyle w:val="0050"/>
        <w:spacing w:before="120" w:after="120"/>
        <w:ind w:firstLine="480"/>
      </w:pPr>
      <w:r w:rsidRPr="00DA3766">
        <w:t>请上市公司补充说明：</w:t>
      </w:r>
      <w:r w:rsidR="00BD5E78" w:rsidRPr="00DA3766">
        <w:t>（</w:t>
      </w:r>
      <w:r w:rsidR="00BD5E78" w:rsidRPr="00DA3766">
        <w:t>1</w:t>
      </w:r>
      <w:r w:rsidR="00BD5E78" w:rsidRPr="00DA3766">
        <w:t>）标的资产开展业务是否存在收集用户个人信息的情形，并补充说明标的资产互联网相关业务的经营合规性、用户个人信息收集使用的合规性。（</w:t>
      </w:r>
      <w:r w:rsidR="00BD5E78" w:rsidRPr="00DA3766">
        <w:t>2</w:t>
      </w:r>
      <w:r w:rsidR="00BD5E78" w:rsidRPr="00DA3766">
        <w:t>）演出经纪业务的业务模式、运营开展情况及经营业绩。（</w:t>
      </w:r>
      <w:r w:rsidR="00BD5E78" w:rsidRPr="00DA3766">
        <w:t>3</w:t>
      </w:r>
      <w:r w:rsidR="00BD5E78" w:rsidRPr="00DA3766">
        <w:t>）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r w:rsidRPr="00DA3766">
        <w:t>。</w:t>
      </w:r>
    </w:p>
    <w:p w14:paraId="0946F6D1" w14:textId="7A276734" w:rsidR="00E30288" w:rsidRPr="00DA3766" w:rsidRDefault="00BD5E78">
      <w:pPr>
        <w:pStyle w:val="0050"/>
        <w:spacing w:before="120" w:after="120"/>
        <w:ind w:firstLine="480"/>
      </w:pPr>
      <w:r w:rsidRPr="00DA3766">
        <w:t>请独立财务顾问和律师核查并发表明确意见。</w:t>
      </w:r>
    </w:p>
    <w:p w14:paraId="02777803" w14:textId="77777777" w:rsidR="00E30288" w:rsidRPr="00DA3766" w:rsidRDefault="009D619E">
      <w:pPr>
        <w:pStyle w:val="005"/>
        <w:spacing w:before="120" w:after="120"/>
        <w:ind w:firstLine="480"/>
      </w:pPr>
      <w:r w:rsidRPr="00DA3766">
        <w:t>【回复】</w:t>
      </w:r>
    </w:p>
    <w:p w14:paraId="45F42A65"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lastRenderedPageBreak/>
        <w:t>一、结合标的资产的业务、所处行业、具体应用领域、核心技术、技术先进性及具体表征等补充披露认定符合《深圳证券交易所创业板企业发行上市申报及推荐暂行规定（</w:t>
      </w:r>
      <w:r w:rsidRPr="00DA3766">
        <w:rPr>
          <w:rFonts w:ascii="Times New Roman" w:hAnsi="Times New Roman" w:cs="Times New Roman"/>
          <w:b/>
          <w:bCs/>
          <w:szCs w:val="28"/>
        </w:rPr>
        <w:t>2024</w:t>
      </w:r>
      <w:r w:rsidRPr="00DA3766">
        <w:rPr>
          <w:rFonts w:ascii="Times New Roman" w:hAnsi="Times New Roman" w:cs="Times New Roman"/>
          <w:b/>
          <w:bCs/>
          <w:szCs w:val="28"/>
        </w:rPr>
        <w:t>年修订）》相关规定的依据是否充分</w:t>
      </w:r>
    </w:p>
    <w:p w14:paraId="430B33E4"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（一）标的资产的业务、所处行业及具体应用领域</w:t>
      </w:r>
    </w:p>
    <w:p w14:paraId="1FD28B72" w14:textId="2106CA8F" w:rsidR="00A661C3" w:rsidRPr="00DA3766" w:rsidRDefault="00A661C3" w:rsidP="007E30A6">
      <w:pPr>
        <w:pStyle w:val="005"/>
        <w:spacing w:before="120" w:after="120"/>
        <w:ind w:firstLine="480"/>
        <w:rPr>
          <w:shd w:val="clear" w:color="auto" w:fill="FFFFFF"/>
        </w:rPr>
      </w:pPr>
      <w:bookmarkStart w:id="3" w:name="_Hlk211438560"/>
      <w:bookmarkStart w:id="4" w:name="_Hlk201656901"/>
      <w:bookmarkStart w:id="5" w:name="_Hlk206947153"/>
      <w:r w:rsidRPr="00DA3766">
        <w:rPr>
          <w:shd w:val="clear" w:color="auto" w:fill="FFFFFF"/>
        </w:rPr>
        <w:t>标的公司是一家智能自助设备数字化服务提供商，主要业务系提供</w:t>
      </w:r>
      <w:r w:rsidRPr="00DA3766">
        <w:rPr>
          <w:rFonts w:ascii="宋体" w:hAnsi="宋体"/>
          <w:shd w:val="clear" w:color="auto" w:fill="FFFFFF"/>
        </w:rPr>
        <w:t>“</w:t>
      </w:r>
      <w:r w:rsidRPr="00DA3766">
        <w:rPr>
          <w:shd w:val="clear" w:color="auto" w:fill="FFFFFF"/>
        </w:rPr>
        <w:t>IoT</w:t>
      </w:r>
      <w:r w:rsidRPr="00DA3766">
        <w:rPr>
          <w:shd w:val="clear" w:color="auto" w:fill="FFFFFF"/>
        </w:rPr>
        <w:t>智能硬件</w:t>
      </w:r>
      <w:r w:rsidRPr="00DA3766">
        <w:rPr>
          <w:shd w:val="clear" w:color="auto" w:fill="FFFFFF"/>
        </w:rPr>
        <w:t>+</w:t>
      </w:r>
      <w:r w:rsidR="007A44DA" w:rsidRPr="00DA3766">
        <w:rPr>
          <w:shd w:val="clear" w:color="auto" w:fill="FFFFFF"/>
        </w:rPr>
        <w:t>SaaS</w:t>
      </w:r>
      <w:r w:rsidRPr="00DA3766">
        <w:rPr>
          <w:shd w:val="clear" w:color="auto" w:fill="FFFFFF"/>
        </w:rPr>
        <w:t>云平台</w:t>
      </w:r>
      <w:r w:rsidRPr="00DA3766">
        <w:rPr>
          <w:rFonts w:ascii="宋体" w:hAnsi="宋体"/>
          <w:shd w:val="clear" w:color="auto" w:fill="FFFFFF"/>
        </w:rPr>
        <w:t>”</w:t>
      </w:r>
      <w:r w:rsidRPr="00DA3766">
        <w:rPr>
          <w:shd w:val="clear" w:color="auto" w:fill="FFFFFF"/>
        </w:rPr>
        <w:t>一体化解决方案</w:t>
      </w:r>
      <w:r w:rsidRPr="00DA3766">
        <w:t>，致力于实现自助设备产业的数字化升级</w:t>
      </w:r>
      <w:r w:rsidRPr="00DA3766">
        <w:rPr>
          <w:shd w:val="clear" w:color="auto" w:fill="FFFFFF"/>
        </w:rPr>
        <w:t>。截至报告期末，标的公司已形成相对完善的智能自助设备业务布局，业务覆盖数字经济产业链中的智慧生活、智慧出行、智慧零售三大终端应用领域，广泛服务于交通枢纽、商业消费、居民生活、校园生活、公共服务、商务办公等细分应用场景。基于软硬件一体化解决方案的自主研发和产业化应用能力，标的公司在国内自助设备物联网赛道细分市场中具备较强的竞争优势。</w:t>
      </w:r>
    </w:p>
    <w:p w14:paraId="6B3C512E"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根据《国民经济行业分类》（</w:t>
      </w:r>
      <w:r w:rsidRPr="00DA3766">
        <w:rPr>
          <w:shd w:val="clear" w:color="auto" w:fill="FFFFFF"/>
        </w:rPr>
        <w:t>GB/T4754-2017</w:t>
      </w:r>
      <w:r w:rsidRPr="00DA3766">
        <w:rPr>
          <w:shd w:val="clear" w:color="auto" w:fill="FFFFFF"/>
        </w:rPr>
        <w:t>），标的公司所属行业为</w:t>
      </w:r>
      <w:r w:rsidRPr="00DA3766">
        <w:rPr>
          <w:rFonts w:ascii="宋体" w:hAnsi="宋体"/>
          <w:shd w:val="clear" w:color="auto" w:fill="FFFFFF"/>
        </w:rPr>
        <w:t>“</w:t>
      </w:r>
      <w:r w:rsidRPr="00DA3766">
        <w:rPr>
          <w:shd w:val="clear" w:color="auto" w:fill="FFFFFF"/>
        </w:rPr>
        <w:t>信息传输、软件和信息技术服务业</w:t>
      </w:r>
      <w:r w:rsidRPr="00DA3766">
        <w:rPr>
          <w:rFonts w:ascii="宋体" w:hAnsi="宋体"/>
          <w:shd w:val="clear" w:color="auto" w:fill="FFFFFF"/>
        </w:rPr>
        <w:t>”</w:t>
      </w:r>
      <w:r w:rsidRPr="00DA3766">
        <w:rPr>
          <w:shd w:val="clear" w:color="auto" w:fill="FFFFFF"/>
        </w:rPr>
        <w:t>下的</w:t>
      </w:r>
      <w:r w:rsidRPr="00DA3766">
        <w:rPr>
          <w:rFonts w:ascii="宋体" w:hAnsi="宋体"/>
          <w:shd w:val="clear" w:color="auto" w:fill="FFFFFF"/>
        </w:rPr>
        <w:t>“</w:t>
      </w:r>
      <w:r w:rsidRPr="00DA3766">
        <w:rPr>
          <w:shd w:val="clear" w:color="auto" w:fill="FFFFFF"/>
        </w:rPr>
        <w:t>信息系统集成和物联网技术服务</w:t>
      </w:r>
      <w:r w:rsidRPr="00DA3766">
        <w:rPr>
          <w:rFonts w:ascii="宋体" w:hAnsi="宋体"/>
          <w:shd w:val="clear" w:color="auto" w:fill="FFFFFF"/>
        </w:rPr>
        <w:t>”</w:t>
      </w:r>
      <w:r w:rsidRPr="00DA3766">
        <w:rPr>
          <w:shd w:val="clear" w:color="auto" w:fill="FFFFFF"/>
        </w:rPr>
        <w:t>（</w:t>
      </w:r>
      <w:r w:rsidRPr="00DA3766">
        <w:rPr>
          <w:shd w:val="clear" w:color="auto" w:fill="FFFFFF"/>
        </w:rPr>
        <w:t>I653</w:t>
      </w:r>
      <w:r w:rsidRPr="00DA3766">
        <w:rPr>
          <w:shd w:val="clear" w:color="auto" w:fill="FFFFFF"/>
        </w:rPr>
        <w:t>）。</w:t>
      </w:r>
    </w:p>
    <w:p w14:paraId="04033778"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根据《深圳证券交易所创业板企业发行上市申报及推荐暂行规定》（</w:t>
      </w:r>
      <w:r w:rsidRPr="00DA3766">
        <w:rPr>
          <w:shd w:val="clear" w:color="auto" w:fill="FFFFFF"/>
        </w:rPr>
        <w:t>2024</w:t>
      </w:r>
      <w:r w:rsidRPr="00DA3766">
        <w:rPr>
          <w:shd w:val="clear" w:color="auto" w:fill="FFFFFF"/>
        </w:rPr>
        <w:t>年修订）第五条的规定：属于上市公司行业分类相关规定中下列行业的企业，原则上不支持其申报在创业板发行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bookmarkEnd w:id="3"/>
    <w:p w14:paraId="0A739D7C"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综上所述，标的公司所处行业不属于《深圳证券交易所创业板企业发行上市申报及推荐暂行规定（</w:t>
      </w:r>
      <w:r w:rsidRPr="00DA3766">
        <w:rPr>
          <w:shd w:val="clear" w:color="auto" w:fill="FFFFFF"/>
        </w:rPr>
        <w:t>2024</w:t>
      </w:r>
      <w:r w:rsidRPr="00DA3766">
        <w:rPr>
          <w:shd w:val="clear" w:color="auto" w:fill="FFFFFF"/>
        </w:rPr>
        <w:t>年修订）》第五条规定的原则上不支持申报的行业类别，符合创业板行业范围。</w:t>
      </w:r>
    </w:p>
    <w:p w14:paraId="106D5BF1"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（二）标的资产的核心技术、技术先进性及具体表征</w:t>
      </w:r>
    </w:p>
    <w:p w14:paraId="4E6CE160" w14:textId="0C5B6856" w:rsidR="00A661C3" w:rsidRPr="00DA3766" w:rsidRDefault="00A661C3" w:rsidP="007E30A6">
      <w:pPr>
        <w:pStyle w:val="005"/>
        <w:spacing w:before="120" w:after="120"/>
        <w:ind w:firstLine="480"/>
      </w:pPr>
      <w:r w:rsidRPr="00DA3766">
        <w:t>自设立以来，标的公司坚持以自主研发为核心发展方向，于</w:t>
      </w:r>
      <w:r w:rsidRPr="00DA3766">
        <w:t>2018</w:t>
      </w:r>
      <w:r w:rsidRPr="00DA3766">
        <w:t>年设立研究中心，并在</w:t>
      </w:r>
      <w:r w:rsidRPr="00DA3766">
        <w:t>2020</w:t>
      </w:r>
      <w:r w:rsidRPr="00DA3766">
        <w:t>年基于业务发展需要将其战略升级为科技应用及产业革新技</w:t>
      </w:r>
      <w:r w:rsidRPr="00DA3766">
        <w:lastRenderedPageBreak/>
        <w:t>术研究院。</w:t>
      </w:r>
      <w:r w:rsidRPr="00DA3766">
        <w:t>2024</w:t>
      </w:r>
      <w:r w:rsidRPr="00DA3766">
        <w:t>年，标的公司研发中心经相关主管部门审核认定，荣获</w:t>
      </w:r>
      <w:r w:rsidRPr="00DA3766">
        <w:rPr>
          <w:rFonts w:ascii="宋体" w:hAnsi="宋体"/>
        </w:rPr>
        <w:t>“</w:t>
      </w:r>
      <w:r w:rsidRPr="00DA3766">
        <w:t>2023</w:t>
      </w:r>
      <w:r w:rsidRPr="00DA3766">
        <w:t>年度广东省工程技术研究中心</w:t>
      </w:r>
      <w:r w:rsidRPr="00DA3766">
        <w:rPr>
          <w:rFonts w:ascii="宋体" w:hAnsi="宋体"/>
        </w:rPr>
        <w:t>”</w:t>
      </w:r>
      <w:r w:rsidRPr="00DA3766">
        <w:t>资格认定，并正式更名为广东省自助设备产业链数字化应用工程技术研究中心。该项资质认定从侧面印证了标的公司的自主研发能力、科技创新能力及综合技术实力已获得行业及主管部门的认可。</w:t>
      </w:r>
    </w:p>
    <w:p w14:paraId="420EFBE3" w14:textId="77777777" w:rsidR="00A661C3" w:rsidRPr="00DA3766" w:rsidRDefault="00A661C3" w:rsidP="007E30A6">
      <w:pPr>
        <w:pStyle w:val="005"/>
        <w:spacing w:before="120" w:after="120"/>
        <w:ind w:firstLine="480"/>
      </w:pPr>
      <w:bookmarkStart w:id="6" w:name="_Hlk199075852"/>
      <w:r w:rsidRPr="00DA3766">
        <w:t>标的公司的主要核心技术包括智能通讯硬件设计技术、物联网平台技术、高可用支付服务技术、低代码平台技术、云原生架构技术和大数据架构技术等，具有一定先进性，均来源于自主研发并应用于主要产品和服务，且均处于产业化应用阶段</w:t>
      </w:r>
      <w:bookmarkEnd w:id="6"/>
      <w:r w:rsidRPr="00DA3766">
        <w:t>，具体情况如下表：</w:t>
      </w:r>
    </w:p>
    <w:tbl>
      <w:tblPr>
        <w:tblStyle w:val="afc"/>
        <w:tblW w:w="5138" w:type="pct"/>
        <w:jc w:val="center"/>
        <w:tblBorders>
          <w:top w:val="thinThickSmallGap" w:sz="24" w:space="0" w:color="auto"/>
          <w:bottom w:val="thickThinSmallGap" w:sz="24" w:space="0" w:color="auto"/>
        </w:tblBorders>
        <w:tblLook w:val="04A0" w:firstRow="1" w:lastRow="0" w:firstColumn="1" w:lastColumn="0" w:noHBand="0" w:noVBand="1"/>
      </w:tblPr>
      <w:tblGrid>
        <w:gridCol w:w="585"/>
        <w:gridCol w:w="1321"/>
        <w:gridCol w:w="3635"/>
        <w:gridCol w:w="790"/>
        <w:gridCol w:w="1097"/>
        <w:gridCol w:w="1335"/>
      </w:tblGrid>
      <w:tr w:rsidR="00A661C3" w:rsidRPr="00DA3766" w14:paraId="584D40A6" w14:textId="77777777" w:rsidTr="004C2193">
        <w:trPr>
          <w:trHeight w:val="397"/>
          <w:tblHeader/>
          <w:jc w:val="center"/>
        </w:trPr>
        <w:tc>
          <w:tcPr>
            <w:tcW w:w="333" w:type="pct"/>
            <w:tcMar>
              <w:top w:w="0" w:type="dxa"/>
              <w:left w:w="108" w:type="dxa"/>
              <w:bottom w:w="0" w:type="dxa"/>
              <w:right w:w="108" w:type="dxa"/>
            </w:tcMar>
            <w:vAlign w:val="center"/>
          </w:tcPr>
          <w:p w14:paraId="53E20F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7" w:name="_Hlk219303306"/>
            <w:r w:rsidRPr="00DA3766">
              <w:rPr>
                <w:rFonts w:ascii="Times New Roman" w:hAnsi="Times New Roman" w:cs="Times New Roman"/>
                <w:b/>
                <w:bCs/>
                <w:sz w:val="21"/>
                <w:szCs w:val="21"/>
              </w:rPr>
              <w:t>序号</w:t>
            </w:r>
          </w:p>
        </w:tc>
        <w:tc>
          <w:tcPr>
            <w:tcW w:w="754" w:type="pct"/>
            <w:tcMar>
              <w:top w:w="0" w:type="dxa"/>
              <w:left w:w="108" w:type="dxa"/>
              <w:bottom w:w="0" w:type="dxa"/>
              <w:right w:w="108" w:type="dxa"/>
            </w:tcMar>
            <w:vAlign w:val="center"/>
          </w:tcPr>
          <w:p w14:paraId="2275B76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核心技术</w:t>
            </w:r>
          </w:p>
          <w:p w14:paraId="19092A0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名称</w:t>
            </w:r>
          </w:p>
        </w:tc>
        <w:tc>
          <w:tcPr>
            <w:tcW w:w="2074" w:type="pct"/>
            <w:tcMar>
              <w:top w:w="0" w:type="dxa"/>
              <w:left w:w="108" w:type="dxa"/>
              <w:bottom w:w="0" w:type="dxa"/>
              <w:right w:w="108" w:type="dxa"/>
            </w:tcMar>
            <w:vAlign w:val="center"/>
          </w:tcPr>
          <w:p w14:paraId="0F9F33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技术先进性与具体表征</w:t>
            </w:r>
          </w:p>
        </w:tc>
        <w:tc>
          <w:tcPr>
            <w:tcW w:w="451" w:type="pct"/>
            <w:tcMar>
              <w:top w:w="0" w:type="dxa"/>
              <w:left w:w="108" w:type="dxa"/>
              <w:bottom w:w="0" w:type="dxa"/>
              <w:right w:w="108" w:type="dxa"/>
            </w:tcMar>
            <w:vAlign w:val="center"/>
          </w:tcPr>
          <w:p w14:paraId="69931B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技术来源</w:t>
            </w:r>
          </w:p>
        </w:tc>
        <w:tc>
          <w:tcPr>
            <w:tcW w:w="626" w:type="pct"/>
            <w:tcMar>
              <w:top w:w="0" w:type="dxa"/>
              <w:left w:w="108" w:type="dxa"/>
              <w:bottom w:w="0" w:type="dxa"/>
              <w:right w:w="108" w:type="dxa"/>
            </w:tcMar>
            <w:vAlign w:val="center"/>
          </w:tcPr>
          <w:p w14:paraId="4B9ADF9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是否应用于主要产品和服务</w:t>
            </w:r>
          </w:p>
        </w:tc>
        <w:tc>
          <w:tcPr>
            <w:tcW w:w="762" w:type="pct"/>
            <w:tcMar>
              <w:top w:w="0" w:type="dxa"/>
              <w:bottom w:w="0" w:type="dxa"/>
            </w:tcMar>
            <w:vAlign w:val="center"/>
          </w:tcPr>
          <w:p w14:paraId="0F80B93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主要产品生产技术所处的阶段</w:t>
            </w:r>
          </w:p>
        </w:tc>
      </w:tr>
      <w:tr w:rsidR="00A661C3" w:rsidRPr="00DA3766" w14:paraId="68EABCFE" w14:textId="77777777" w:rsidTr="004C2193">
        <w:trPr>
          <w:trHeight w:val="397"/>
          <w:jc w:val="center"/>
        </w:trPr>
        <w:tc>
          <w:tcPr>
            <w:tcW w:w="333" w:type="pct"/>
            <w:vMerge w:val="restart"/>
            <w:tcMar>
              <w:top w:w="0" w:type="dxa"/>
              <w:left w:w="108" w:type="dxa"/>
              <w:bottom w:w="0" w:type="dxa"/>
              <w:right w:w="108" w:type="dxa"/>
            </w:tcMar>
            <w:vAlign w:val="center"/>
          </w:tcPr>
          <w:p w14:paraId="26B614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754" w:type="pct"/>
            <w:vMerge w:val="restart"/>
            <w:tcMar>
              <w:top w:w="0" w:type="dxa"/>
              <w:left w:w="108" w:type="dxa"/>
              <w:bottom w:w="0" w:type="dxa"/>
              <w:right w:w="108" w:type="dxa"/>
            </w:tcMar>
            <w:vAlign w:val="center"/>
          </w:tcPr>
          <w:p w14:paraId="3249811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智能通讯硬件设计</w:t>
            </w:r>
          </w:p>
        </w:tc>
        <w:tc>
          <w:tcPr>
            <w:tcW w:w="2074" w:type="pct"/>
            <w:tcMar>
              <w:top w:w="0" w:type="dxa"/>
              <w:left w:w="108" w:type="dxa"/>
              <w:bottom w:w="0" w:type="dxa"/>
              <w:right w:w="108" w:type="dxa"/>
            </w:tcMar>
            <w:vAlign w:val="center"/>
          </w:tcPr>
          <w:p w14:paraId="48E98600"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传统设备互联依赖私有协议，导致跨平台兼容性差。本技术通过标准化设计，突破了设备生态壁垒，显著降低系统集成复杂度</w:t>
            </w:r>
          </w:p>
        </w:tc>
        <w:tc>
          <w:tcPr>
            <w:tcW w:w="451" w:type="pct"/>
            <w:vMerge w:val="restart"/>
            <w:tcMar>
              <w:top w:w="0" w:type="dxa"/>
              <w:left w:w="108" w:type="dxa"/>
              <w:bottom w:w="0" w:type="dxa"/>
              <w:right w:w="108" w:type="dxa"/>
            </w:tcMar>
            <w:vAlign w:val="center"/>
          </w:tcPr>
          <w:p w14:paraId="41C68E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26" w:type="pct"/>
            <w:vMerge w:val="restart"/>
            <w:tcMar>
              <w:top w:w="0" w:type="dxa"/>
              <w:left w:w="108" w:type="dxa"/>
              <w:bottom w:w="0" w:type="dxa"/>
              <w:right w:w="108" w:type="dxa"/>
            </w:tcMar>
            <w:vAlign w:val="center"/>
          </w:tcPr>
          <w:p w14:paraId="7955E94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6FE2BF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5671BC8B" w14:textId="77777777" w:rsidTr="004C2193">
        <w:trPr>
          <w:trHeight w:val="397"/>
          <w:jc w:val="center"/>
        </w:trPr>
        <w:tc>
          <w:tcPr>
            <w:tcW w:w="333" w:type="pct"/>
            <w:vMerge/>
            <w:tcMar>
              <w:top w:w="0" w:type="dxa"/>
              <w:left w:w="108" w:type="dxa"/>
              <w:bottom w:w="0" w:type="dxa"/>
              <w:right w:w="108" w:type="dxa"/>
            </w:tcMar>
            <w:vAlign w:val="center"/>
          </w:tcPr>
          <w:p w14:paraId="71550F6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673D51F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367E3F55"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D0D0D"/>
                <w:sz w:val="21"/>
                <w:szCs w:val="21"/>
              </w:rPr>
              <w:t>传统硬件方案需外置独立模块并手动配置，导致体积大、成本高。本技术通过大幅简化硬件部署流程，降低终端设备设计门槛</w:t>
            </w:r>
          </w:p>
        </w:tc>
        <w:tc>
          <w:tcPr>
            <w:tcW w:w="451" w:type="pct"/>
            <w:vMerge/>
            <w:tcMar>
              <w:top w:w="0" w:type="dxa"/>
              <w:left w:w="108" w:type="dxa"/>
              <w:bottom w:w="0" w:type="dxa"/>
              <w:right w:w="108" w:type="dxa"/>
            </w:tcMar>
            <w:vAlign w:val="center"/>
          </w:tcPr>
          <w:p w14:paraId="245068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3BB6D7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7085C2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2E24DA50" w14:textId="77777777" w:rsidTr="004C2193">
        <w:trPr>
          <w:trHeight w:val="397"/>
          <w:jc w:val="center"/>
        </w:trPr>
        <w:tc>
          <w:tcPr>
            <w:tcW w:w="333" w:type="pct"/>
            <w:vMerge w:val="restart"/>
            <w:tcMar>
              <w:top w:w="0" w:type="dxa"/>
              <w:left w:w="108" w:type="dxa"/>
              <w:bottom w:w="0" w:type="dxa"/>
              <w:right w:w="108" w:type="dxa"/>
            </w:tcMar>
            <w:vAlign w:val="center"/>
          </w:tcPr>
          <w:p w14:paraId="645B024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754" w:type="pct"/>
            <w:vMerge w:val="restart"/>
            <w:tcMar>
              <w:top w:w="0" w:type="dxa"/>
              <w:left w:w="108" w:type="dxa"/>
              <w:bottom w:w="0" w:type="dxa"/>
              <w:right w:w="108" w:type="dxa"/>
            </w:tcMar>
            <w:vAlign w:val="center"/>
          </w:tcPr>
          <w:p w14:paraId="12733935"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物联网平台</w:t>
            </w:r>
          </w:p>
        </w:tc>
        <w:tc>
          <w:tcPr>
            <w:tcW w:w="2074" w:type="pct"/>
            <w:tcMar>
              <w:top w:w="0" w:type="dxa"/>
              <w:left w:w="108" w:type="dxa"/>
              <w:bottom w:w="0" w:type="dxa"/>
              <w:right w:w="108" w:type="dxa"/>
            </w:tcMar>
            <w:vAlign w:val="center"/>
          </w:tcPr>
          <w:p w14:paraId="696670C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）多协议兼容：突破传统平台协议局限，覆盖主流物联网通讯协议及定制化协议适配，可快速接入不同设备，提升平台通用性与拓展性；</w:t>
            </w:r>
          </w:p>
          <w:p w14:paraId="1A0284C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）配置化解析：反向协议配置化设计，无需深度编码开发，大幅缩短对接周期。相比传统硬编码解析方式，可灵活应对第三方协议变更，降低适配成本</w:t>
            </w:r>
          </w:p>
        </w:tc>
        <w:tc>
          <w:tcPr>
            <w:tcW w:w="451" w:type="pct"/>
            <w:vMerge w:val="restart"/>
            <w:tcMar>
              <w:top w:w="0" w:type="dxa"/>
              <w:left w:w="108" w:type="dxa"/>
              <w:bottom w:w="0" w:type="dxa"/>
              <w:right w:w="108" w:type="dxa"/>
            </w:tcMar>
            <w:vAlign w:val="center"/>
          </w:tcPr>
          <w:p w14:paraId="6DAC760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26" w:type="pct"/>
            <w:vMerge w:val="restart"/>
            <w:tcMar>
              <w:top w:w="0" w:type="dxa"/>
              <w:left w:w="108" w:type="dxa"/>
              <w:bottom w:w="0" w:type="dxa"/>
              <w:right w:w="108" w:type="dxa"/>
            </w:tcMar>
            <w:vAlign w:val="center"/>
          </w:tcPr>
          <w:p w14:paraId="0C3892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7160EB0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7E1159A3" w14:textId="77777777" w:rsidTr="004C2193">
        <w:trPr>
          <w:trHeight w:val="397"/>
          <w:jc w:val="center"/>
        </w:trPr>
        <w:tc>
          <w:tcPr>
            <w:tcW w:w="333" w:type="pct"/>
            <w:vMerge/>
            <w:tcMar>
              <w:top w:w="0" w:type="dxa"/>
              <w:left w:w="108" w:type="dxa"/>
              <w:bottom w:w="0" w:type="dxa"/>
              <w:right w:w="108" w:type="dxa"/>
            </w:tcMar>
            <w:vAlign w:val="center"/>
          </w:tcPr>
          <w:p w14:paraId="56D7EB3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34680AC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1673488C"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高并发与高可用：分布式部署保障平台在海量设备并发连接与稳定运行，单个业务节点故障不影响整体服务，支持动态扩容，根据设备接入量、数据处理压力，灵活增加服务节点，应对业务峰值</w:t>
            </w:r>
          </w:p>
        </w:tc>
        <w:tc>
          <w:tcPr>
            <w:tcW w:w="451" w:type="pct"/>
            <w:vMerge/>
            <w:tcMar>
              <w:top w:w="0" w:type="dxa"/>
              <w:left w:w="108" w:type="dxa"/>
              <w:bottom w:w="0" w:type="dxa"/>
              <w:right w:w="108" w:type="dxa"/>
            </w:tcMar>
            <w:vAlign w:val="center"/>
          </w:tcPr>
          <w:p w14:paraId="5FB2CF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69DB5E2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1FB857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FAE6DF2" w14:textId="77777777" w:rsidTr="004C2193">
        <w:trPr>
          <w:trHeight w:val="397"/>
          <w:jc w:val="center"/>
        </w:trPr>
        <w:tc>
          <w:tcPr>
            <w:tcW w:w="333" w:type="pct"/>
            <w:vMerge/>
            <w:tcMar>
              <w:top w:w="0" w:type="dxa"/>
              <w:left w:w="108" w:type="dxa"/>
              <w:bottom w:w="0" w:type="dxa"/>
              <w:right w:w="108" w:type="dxa"/>
            </w:tcMar>
            <w:vAlign w:val="center"/>
          </w:tcPr>
          <w:p w14:paraId="7AA8B3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3506CDC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61108948"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高效读写：</w:t>
            </w:r>
            <w:r w:rsidRPr="00DA3766">
              <w:rPr>
                <w:rFonts w:ascii="Times New Roman" w:hAnsi="Times New Roman" w:cs="Times New Roman"/>
                <w:color w:val="000000"/>
                <w:sz w:val="21"/>
                <w:szCs w:val="21"/>
              </w:rPr>
              <w:t>Redis</w:t>
            </w:r>
            <w:r w:rsidRPr="00DA3766">
              <w:rPr>
                <w:rFonts w:ascii="Times New Roman" w:hAnsi="Times New Roman" w:cs="Times New Roman"/>
                <w:color w:val="000000"/>
                <w:sz w:val="21"/>
                <w:szCs w:val="21"/>
              </w:rPr>
              <w:t>缓存加速高频数据访问，设备数据查询等操作响应时间；时序数据库针对物联网时序数据优化存储与查询，写入吞吐量高、按时间范围查询效率优，支撑历史数据长期存储与快速分析</w:t>
            </w:r>
          </w:p>
        </w:tc>
        <w:tc>
          <w:tcPr>
            <w:tcW w:w="451" w:type="pct"/>
            <w:vMerge/>
            <w:tcMar>
              <w:top w:w="0" w:type="dxa"/>
              <w:left w:w="108" w:type="dxa"/>
              <w:bottom w:w="0" w:type="dxa"/>
              <w:right w:w="108" w:type="dxa"/>
            </w:tcMar>
            <w:vAlign w:val="center"/>
          </w:tcPr>
          <w:p w14:paraId="526F680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16F671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077FDF8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19B90AEC" w14:textId="77777777" w:rsidTr="004C2193">
        <w:trPr>
          <w:trHeight w:val="397"/>
          <w:jc w:val="center"/>
        </w:trPr>
        <w:tc>
          <w:tcPr>
            <w:tcW w:w="333" w:type="pct"/>
            <w:vMerge w:val="restart"/>
            <w:tcMar>
              <w:top w:w="0" w:type="dxa"/>
              <w:left w:w="108" w:type="dxa"/>
              <w:bottom w:w="0" w:type="dxa"/>
              <w:right w:w="108" w:type="dxa"/>
            </w:tcMar>
            <w:vAlign w:val="center"/>
          </w:tcPr>
          <w:p w14:paraId="71BCB01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754" w:type="pct"/>
            <w:vMerge w:val="restart"/>
            <w:tcMar>
              <w:top w:w="0" w:type="dxa"/>
              <w:left w:w="108" w:type="dxa"/>
              <w:bottom w:w="0" w:type="dxa"/>
              <w:right w:w="108" w:type="dxa"/>
            </w:tcMar>
            <w:vAlign w:val="center"/>
          </w:tcPr>
          <w:p w14:paraId="6EBC074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高可用支付服务</w:t>
            </w:r>
          </w:p>
        </w:tc>
        <w:tc>
          <w:tcPr>
            <w:tcW w:w="2074" w:type="pct"/>
            <w:tcMar>
              <w:top w:w="0" w:type="dxa"/>
              <w:left w:w="108" w:type="dxa"/>
              <w:bottom w:w="0" w:type="dxa"/>
              <w:right w:w="108" w:type="dxa"/>
            </w:tcMar>
            <w:vAlign w:val="center"/>
          </w:tcPr>
          <w:p w14:paraId="3E70B73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秒级故障切换：突破传统静态配置模式，采用实时检测</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切换机制，在商户渠道异常发生时即可触发路由调整</w:t>
            </w:r>
          </w:p>
        </w:tc>
        <w:tc>
          <w:tcPr>
            <w:tcW w:w="451" w:type="pct"/>
            <w:vMerge w:val="restart"/>
            <w:tcMar>
              <w:top w:w="0" w:type="dxa"/>
              <w:left w:w="108" w:type="dxa"/>
              <w:bottom w:w="0" w:type="dxa"/>
              <w:right w:w="108" w:type="dxa"/>
            </w:tcMar>
            <w:vAlign w:val="center"/>
          </w:tcPr>
          <w:p w14:paraId="053193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26" w:type="pct"/>
            <w:vMerge w:val="restart"/>
            <w:tcMar>
              <w:top w:w="0" w:type="dxa"/>
              <w:left w:w="108" w:type="dxa"/>
              <w:bottom w:w="0" w:type="dxa"/>
              <w:right w:w="108" w:type="dxa"/>
            </w:tcMar>
            <w:vAlign w:val="center"/>
          </w:tcPr>
          <w:p w14:paraId="59EB93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3D7A591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1EC6C2CA" w14:textId="77777777" w:rsidTr="004C2193">
        <w:trPr>
          <w:trHeight w:val="397"/>
          <w:jc w:val="center"/>
        </w:trPr>
        <w:tc>
          <w:tcPr>
            <w:tcW w:w="333" w:type="pct"/>
            <w:vMerge/>
            <w:tcMar>
              <w:top w:w="0" w:type="dxa"/>
              <w:left w:w="108" w:type="dxa"/>
              <w:bottom w:w="0" w:type="dxa"/>
              <w:right w:w="108" w:type="dxa"/>
            </w:tcMar>
            <w:vAlign w:val="center"/>
          </w:tcPr>
          <w:p w14:paraId="6AE4B65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6334AAD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768B7FAD"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全链路可追溯：将日志数据与业务指标关联分析，实现</w:t>
            </w:r>
            <w:r w:rsidRPr="00DA3766">
              <w:rPr>
                <w:rFonts w:cs="Times New Roman"/>
                <w:color w:val="000000"/>
                <w:sz w:val="21"/>
                <w:szCs w:val="21"/>
              </w:rPr>
              <w:t>“</w:t>
            </w:r>
            <w:r w:rsidRPr="00DA3766">
              <w:rPr>
                <w:rFonts w:ascii="Times New Roman" w:hAnsi="Times New Roman" w:cs="Times New Roman"/>
                <w:color w:val="000000"/>
                <w:sz w:val="21"/>
                <w:szCs w:val="21"/>
              </w:rPr>
              <w:t>异常订单</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渠道交互</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系统节点</w:t>
            </w:r>
            <w:r w:rsidRPr="00DA3766">
              <w:rPr>
                <w:rFonts w:cs="Times New Roman"/>
                <w:color w:val="000000"/>
                <w:sz w:val="21"/>
                <w:szCs w:val="21"/>
              </w:rPr>
              <w:t>”</w:t>
            </w:r>
            <w:r w:rsidRPr="00DA3766">
              <w:rPr>
                <w:rFonts w:ascii="Times New Roman" w:hAnsi="Times New Roman" w:cs="Times New Roman"/>
                <w:color w:val="000000"/>
                <w:sz w:val="21"/>
                <w:szCs w:val="21"/>
              </w:rPr>
              <w:t>的穿透式溯源，定位问题环节</w:t>
            </w:r>
          </w:p>
        </w:tc>
        <w:tc>
          <w:tcPr>
            <w:tcW w:w="451" w:type="pct"/>
            <w:vMerge/>
            <w:tcMar>
              <w:top w:w="0" w:type="dxa"/>
              <w:left w:w="108" w:type="dxa"/>
              <w:bottom w:w="0" w:type="dxa"/>
              <w:right w:w="108" w:type="dxa"/>
            </w:tcMar>
            <w:vAlign w:val="center"/>
          </w:tcPr>
          <w:p w14:paraId="60AE142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1148AD6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2C323FC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3BBEF75" w14:textId="77777777" w:rsidTr="004C2193">
        <w:trPr>
          <w:trHeight w:val="397"/>
          <w:jc w:val="center"/>
        </w:trPr>
        <w:tc>
          <w:tcPr>
            <w:tcW w:w="333" w:type="pct"/>
            <w:vMerge/>
            <w:tcMar>
              <w:top w:w="0" w:type="dxa"/>
              <w:left w:w="108" w:type="dxa"/>
              <w:bottom w:w="0" w:type="dxa"/>
              <w:right w:w="108" w:type="dxa"/>
            </w:tcMar>
            <w:vAlign w:val="center"/>
          </w:tcPr>
          <w:p w14:paraId="4A2B8A0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035A6BA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3EDFF7D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开放能力的标准化与扩展性：通过</w:t>
            </w:r>
            <w:r w:rsidRPr="00DA3766">
              <w:rPr>
                <w:rFonts w:ascii="Times New Roman" w:hAnsi="Times New Roman" w:cs="Times New Roman"/>
                <w:color w:val="000000"/>
                <w:sz w:val="21"/>
                <w:szCs w:val="21"/>
              </w:rPr>
              <w:t>API</w:t>
            </w:r>
            <w:r w:rsidRPr="00DA3766">
              <w:rPr>
                <w:rFonts w:ascii="Times New Roman" w:hAnsi="Times New Roman" w:cs="Times New Roman"/>
                <w:color w:val="000000"/>
                <w:sz w:val="21"/>
                <w:szCs w:val="21"/>
              </w:rPr>
              <w:t>网关屏蔽渠道底层差异，子平台无需关注各渠道接口细节，实现</w:t>
            </w:r>
            <w:r w:rsidRPr="00DA3766">
              <w:rPr>
                <w:rFonts w:cs="Times New Roman"/>
                <w:color w:val="000000"/>
                <w:sz w:val="21"/>
                <w:szCs w:val="21"/>
              </w:rPr>
              <w:t>“</w:t>
            </w:r>
            <w:r w:rsidRPr="00DA3766">
              <w:rPr>
                <w:rFonts w:ascii="Times New Roman" w:hAnsi="Times New Roman" w:cs="Times New Roman"/>
                <w:color w:val="000000"/>
                <w:sz w:val="21"/>
                <w:szCs w:val="21"/>
              </w:rPr>
              <w:t>一次接入，全渠道可用</w:t>
            </w:r>
            <w:r w:rsidRPr="00DA3766">
              <w:rPr>
                <w:rFonts w:cs="Times New Roman"/>
                <w:color w:val="000000"/>
                <w:sz w:val="21"/>
                <w:szCs w:val="21"/>
              </w:rPr>
              <w:t>”</w:t>
            </w:r>
          </w:p>
        </w:tc>
        <w:tc>
          <w:tcPr>
            <w:tcW w:w="451" w:type="pct"/>
            <w:vMerge/>
            <w:tcMar>
              <w:top w:w="0" w:type="dxa"/>
              <w:left w:w="108" w:type="dxa"/>
              <w:bottom w:w="0" w:type="dxa"/>
              <w:right w:w="108" w:type="dxa"/>
            </w:tcMar>
            <w:vAlign w:val="center"/>
          </w:tcPr>
          <w:p w14:paraId="3133288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12A78D5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40E59C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6E0B409E" w14:textId="77777777" w:rsidTr="004C2193">
        <w:trPr>
          <w:trHeight w:val="397"/>
          <w:jc w:val="center"/>
        </w:trPr>
        <w:tc>
          <w:tcPr>
            <w:tcW w:w="333" w:type="pct"/>
            <w:vMerge/>
            <w:tcMar>
              <w:top w:w="0" w:type="dxa"/>
              <w:left w:w="108" w:type="dxa"/>
              <w:bottom w:w="0" w:type="dxa"/>
              <w:right w:w="108" w:type="dxa"/>
            </w:tcMar>
            <w:vAlign w:val="center"/>
          </w:tcPr>
          <w:p w14:paraId="1BDE36B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36E50050"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0A49D90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订单处理的自动化与准确性：采用订单自动回查，解决订单状态同步问题，通过文件解析引擎</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规则引擎实现对账自动化</w:t>
            </w:r>
          </w:p>
        </w:tc>
        <w:tc>
          <w:tcPr>
            <w:tcW w:w="451" w:type="pct"/>
            <w:vMerge/>
            <w:tcMar>
              <w:top w:w="0" w:type="dxa"/>
              <w:left w:w="108" w:type="dxa"/>
              <w:bottom w:w="0" w:type="dxa"/>
              <w:right w:w="108" w:type="dxa"/>
            </w:tcMar>
            <w:vAlign w:val="center"/>
          </w:tcPr>
          <w:p w14:paraId="4E16A9F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568368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0A40AB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09520270" w14:textId="77777777" w:rsidTr="004C2193">
        <w:trPr>
          <w:trHeight w:val="397"/>
          <w:jc w:val="center"/>
        </w:trPr>
        <w:tc>
          <w:tcPr>
            <w:tcW w:w="333" w:type="pct"/>
            <w:vMerge w:val="restart"/>
            <w:tcMar>
              <w:top w:w="0" w:type="dxa"/>
              <w:left w:w="108" w:type="dxa"/>
              <w:bottom w:w="0" w:type="dxa"/>
              <w:right w:w="108" w:type="dxa"/>
            </w:tcMar>
            <w:vAlign w:val="center"/>
          </w:tcPr>
          <w:p w14:paraId="40BADE3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754" w:type="pct"/>
            <w:vMerge w:val="restart"/>
            <w:tcMar>
              <w:top w:w="0" w:type="dxa"/>
              <w:left w:w="108" w:type="dxa"/>
              <w:bottom w:w="0" w:type="dxa"/>
              <w:right w:w="108" w:type="dxa"/>
            </w:tcMar>
            <w:vAlign w:val="center"/>
          </w:tcPr>
          <w:p w14:paraId="5BECB94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低代码平台</w:t>
            </w:r>
          </w:p>
        </w:tc>
        <w:tc>
          <w:tcPr>
            <w:tcW w:w="2074" w:type="pct"/>
            <w:tcMar>
              <w:top w:w="0" w:type="dxa"/>
              <w:left w:w="108" w:type="dxa"/>
              <w:bottom w:w="0" w:type="dxa"/>
              <w:right w:w="108" w:type="dxa"/>
            </w:tcMar>
            <w:vAlign w:val="center"/>
          </w:tcPr>
          <w:p w14:paraId="238CC0F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多端适配的高效性：突破传统开发需为</w:t>
            </w:r>
            <w:r w:rsidRPr="00DA3766">
              <w:rPr>
                <w:rFonts w:ascii="Times New Roman" w:hAnsi="Times New Roman" w:cs="Times New Roman"/>
                <w:color w:val="000000"/>
                <w:sz w:val="21"/>
                <w:szCs w:val="21"/>
              </w:rPr>
              <w:t>PC</w:t>
            </w:r>
            <w:r w:rsidRPr="00DA3766">
              <w:rPr>
                <w:rFonts w:ascii="Times New Roman" w:hAnsi="Times New Roman" w:cs="Times New Roman"/>
                <w:color w:val="000000"/>
                <w:sz w:val="21"/>
                <w:szCs w:val="21"/>
              </w:rPr>
              <w:t>、移动端分别编码的模式，通过跨端组件体系与自适应渲染技术，实现</w:t>
            </w:r>
            <w:r w:rsidRPr="00DA3766">
              <w:rPr>
                <w:rFonts w:cs="Times New Roman"/>
                <w:color w:val="000000"/>
                <w:sz w:val="21"/>
                <w:szCs w:val="21"/>
              </w:rPr>
              <w:t>“</w:t>
            </w:r>
            <w:r w:rsidRPr="00DA3766">
              <w:rPr>
                <w:rFonts w:ascii="Times New Roman" w:hAnsi="Times New Roman" w:cs="Times New Roman"/>
                <w:color w:val="000000"/>
                <w:sz w:val="21"/>
                <w:szCs w:val="21"/>
              </w:rPr>
              <w:t>一次搭建，多端运行</w:t>
            </w:r>
            <w:r w:rsidRPr="00DA3766">
              <w:rPr>
                <w:rFonts w:cs="Times New Roman"/>
                <w:color w:val="000000"/>
                <w:sz w:val="21"/>
                <w:szCs w:val="21"/>
              </w:rPr>
              <w:t>”</w:t>
            </w:r>
            <w:r w:rsidRPr="00DA3766">
              <w:rPr>
                <w:rFonts w:ascii="Times New Roman" w:hAnsi="Times New Roman" w:cs="Times New Roman"/>
                <w:color w:val="000000"/>
                <w:sz w:val="21"/>
                <w:szCs w:val="21"/>
              </w:rPr>
              <w:t>，大幅减少开发人力与时间投入</w:t>
            </w:r>
          </w:p>
        </w:tc>
        <w:tc>
          <w:tcPr>
            <w:tcW w:w="451" w:type="pct"/>
            <w:vMerge w:val="restart"/>
            <w:tcMar>
              <w:top w:w="0" w:type="dxa"/>
              <w:left w:w="108" w:type="dxa"/>
              <w:bottom w:w="0" w:type="dxa"/>
              <w:right w:w="108" w:type="dxa"/>
            </w:tcMar>
            <w:vAlign w:val="center"/>
          </w:tcPr>
          <w:p w14:paraId="69D2C9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26" w:type="pct"/>
            <w:vMerge w:val="restart"/>
            <w:tcMar>
              <w:top w:w="0" w:type="dxa"/>
              <w:left w:w="108" w:type="dxa"/>
              <w:bottom w:w="0" w:type="dxa"/>
              <w:right w:w="108" w:type="dxa"/>
            </w:tcMar>
            <w:vAlign w:val="center"/>
          </w:tcPr>
          <w:p w14:paraId="569569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3CF11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2F68CA25" w14:textId="77777777" w:rsidTr="004C2193">
        <w:trPr>
          <w:trHeight w:val="397"/>
          <w:jc w:val="center"/>
        </w:trPr>
        <w:tc>
          <w:tcPr>
            <w:tcW w:w="333" w:type="pct"/>
            <w:vMerge/>
            <w:tcMar>
              <w:top w:w="0" w:type="dxa"/>
              <w:left w:w="108" w:type="dxa"/>
              <w:bottom w:w="0" w:type="dxa"/>
              <w:right w:w="108" w:type="dxa"/>
            </w:tcMar>
            <w:vAlign w:val="center"/>
          </w:tcPr>
          <w:p w14:paraId="2A3438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3059779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734CD70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业务逻辑编排的灵活性：将复杂业务逻辑转化为可视化、配置化的流程节点，降低开发门槛，让非前端人员也能参与应用逻辑搭建，提高开发效率</w:t>
            </w:r>
          </w:p>
        </w:tc>
        <w:tc>
          <w:tcPr>
            <w:tcW w:w="451" w:type="pct"/>
            <w:vMerge/>
            <w:tcMar>
              <w:top w:w="0" w:type="dxa"/>
              <w:left w:w="108" w:type="dxa"/>
              <w:bottom w:w="0" w:type="dxa"/>
              <w:right w:w="108" w:type="dxa"/>
            </w:tcMar>
            <w:vAlign w:val="center"/>
          </w:tcPr>
          <w:p w14:paraId="65E13F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0D554C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1C6D7D3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06A85A84" w14:textId="77777777" w:rsidTr="004C2193">
        <w:trPr>
          <w:trHeight w:val="397"/>
          <w:jc w:val="center"/>
        </w:trPr>
        <w:tc>
          <w:tcPr>
            <w:tcW w:w="333" w:type="pct"/>
            <w:vMerge/>
            <w:tcMar>
              <w:top w:w="0" w:type="dxa"/>
              <w:left w:w="108" w:type="dxa"/>
              <w:bottom w:w="0" w:type="dxa"/>
              <w:right w:w="108" w:type="dxa"/>
            </w:tcMar>
            <w:vAlign w:val="center"/>
          </w:tcPr>
          <w:p w14:paraId="621FC54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77DF4A5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4C33015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开发全流程的便捷性：覆盖应用从创建到发布的完整生命周期，实现低代码开发闭环，减少开发过程中跨工具切换成本，提升团队协作效率</w:t>
            </w:r>
          </w:p>
        </w:tc>
        <w:tc>
          <w:tcPr>
            <w:tcW w:w="451" w:type="pct"/>
            <w:vMerge/>
            <w:tcMar>
              <w:top w:w="0" w:type="dxa"/>
              <w:left w:w="108" w:type="dxa"/>
              <w:bottom w:w="0" w:type="dxa"/>
              <w:right w:w="108" w:type="dxa"/>
            </w:tcMar>
            <w:vAlign w:val="center"/>
          </w:tcPr>
          <w:p w14:paraId="5BC7EAA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1F8301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7FD417F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503B2DC0" w14:textId="77777777" w:rsidTr="004C2193">
        <w:trPr>
          <w:trHeight w:val="397"/>
          <w:jc w:val="center"/>
        </w:trPr>
        <w:tc>
          <w:tcPr>
            <w:tcW w:w="333" w:type="pct"/>
            <w:vMerge w:val="restart"/>
            <w:tcMar>
              <w:top w:w="0" w:type="dxa"/>
              <w:left w:w="108" w:type="dxa"/>
              <w:bottom w:w="0" w:type="dxa"/>
              <w:right w:w="108" w:type="dxa"/>
            </w:tcMar>
            <w:vAlign w:val="center"/>
          </w:tcPr>
          <w:p w14:paraId="03A530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754" w:type="pct"/>
            <w:vMerge w:val="restart"/>
            <w:tcMar>
              <w:top w:w="0" w:type="dxa"/>
              <w:left w:w="108" w:type="dxa"/>
              <w:bottom w:w="0" w:type="dxa"/>
              <w:right w:w="108" w:type="dxa"/>
            </w:tcMar>
            <w:vAlign w:val="center"/>
          </w:tcPr>
          <w:p w14:paraId="733421F9"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云原生架构</w:t>
            </w:r>
          </w:p>
        </w:tc>
        <w:tc>
          <w:tcPr>
            <w:tcW w:w="2074" w:type="pct"/>
            <w:tcMar>
              <w:top w:w="0" w:type="dxa"/>
              <w:left w:w="108" w:type="dxa"/>
              <w:bottom w:w="0" w:type="dxa"/>
              <w:right w:w="108" w:type="dxa"/>
            </w:tcMar>
            <w:vAlign w:val="center"/>
          </w:tcPr>
          <w:p w14:paraId="3208524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微服务治理的高效性：突破单体架构耦合瓶颈，微服务化让业务模块独立演进；服务网格解耦服务治理与业务代码，治理逻辑可灵活配置、全局生效</w:t>
            </w:r>
          </w:p>
        </w:tc>
        <w:tc>
          <w:tcPr>
            <w:tcW w:w="451" w:type="pct"/>
            <w:vMerge w:val="restart"/>
            <w:tcMar>
              <w:top w:w="0" w:type="dxa"/>
              <w:left w:w="108" w:type="dxa"/>
              <w:bottom w:w="0" w:type="dxa"/>
              <w:right w:w="108" w:type="dxa"/>
            </w:tcMar>
            <w:vAlign w:val="center"/>
          </w:tcPr>
          <w:p w14:paraId="044A56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26" w:type="pct"/>
            <w:vMerge w:val="restart"/>
            <w:tcMar>
              <w:top w:w="0" w:type="dxa"/>
              <w:left w:w="108" w:type="dxa"/>
              <w:bottom w:w="0" w:type="dxa"/>
              <w:right w:w="108" w:type="dxa"/>
            </w:tcMar>
            <w:vAlign w:val="center"/>
          </w:tcPr>
          <w:p w14:paraId="32D6D0A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760F9E5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441F12C3" w14:textId="77777777" w:rsidTr="004C2193">
        <w:trPr>
          <w:trHeight w:val="397"/>
          <w:jc w:val="center"/>
        </w:trPr>
        <w:tc>
          <w:tcPr>
            <w:tcW w:w="333" w:type="pct"/>
            <w:vMerge/>
            <w:tcMar>
              <w:top w:w="0" w:type="dxa"/>
              <w:left w:w="108" w:type="dxa"/>
              <w:bottom w:w="0" w:type="dxa"/>
              <w:right w:w="108" w:type="dxa"/>
            </w:tcMar>
            <w:vAlign w:val="center"/>
          </w:tcPr>
          <w:p w14:paraId="095702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69FB79F9"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6F83286F"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K8s</w:t>
            </w:r>
            <w:r w:rsidRPr="00DA3766">
              <w:rPr>
                <w:rFonts w:ascii="Times New Roman" w:hAnsi="Times New Roman" w:cs="Times New Roman"/>
                <w:color w:val="000000"/>
                <w:sz w:val="21"/>
                <w:szCs w:val="21"/>
              </w:rPr>
              <w:t>容器编排的智能化：</w:t>
            </w:r>
            <w:r w:rsidRPr="00DA3766">
              <w:rPr>
                <w:rFonts w:ascii="Times New Roman" w:hAnsi="Times New Roman" w:cs="Times New Roman"/>
                <w:color w:val="000000"/>
                <w:sz w:val="21"/>
                <w:szCs w:val="21"/>
              </w:rPr>
              <w:t>K8s</w:t>
            </w:r>
            <w:r w:rsidRPr="00DA3766">
              <w:rPr>
                <w:rFonts w:ascii="Times New Roman" w:hAnsi="Times New Roman" w:cs="Times New Roman"/>
                <w:color w:val="000000"/>
                <w:sz w:val="21"/>
                <w:szCs w:val="21"/>
              </w:rPr>
              <w:t>实现容器全生命周期管理，自动调度、伸缩能力适配业务流量波动，相比传统物理机</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虚拟机部署，资源利用率提升数倍</w:t>
            </w:r>
          </w:p>
        </w:tc>
        <w:tc>
          <w:tcPr>
            <w:tcW w:w="451" w:type="pct"/>
            <w:vMerge/>
            <w:tcMar>
              <w:top w:w="0" w:type="dxa"/>
              <w:left w:w="108" w:type="dxa"/>
              <w:bottom w:w="0" w:type="dxa"/>
              <w:right w:w="108" w:type="dxa"/>
            </w:tcMar>
            <w:vAlign w:val="center"/>
          </w:tcPr>
          <w:p w14:paraId="15B328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1525B23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623270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79DC5568" w14:textId="77777777" w:rsidTr="004C2193">
        <w:trPr>
          <w:trHeight w:val="397"/>
          <w:jc w:val="center"/>
        </w:trPr>
        <w:tc>
          <w:tcPr>
            <w:tcW w:w="333" w:type="pct"/>
            <w:vMerge/>
            <w:tcMar>
              <w:top w:w="0" w:type="dxa"/>
              <w:left w:w="108" w:type="dxa"/>
              <w:bottom w:w="0" w:type="dxa"/>
              <w:right w:w="108" w:type="dxa"/>
            </w:tcMar>
            <w:vAlign w:val="center"/>
          </w:tcPr>
          <w:p w14:paraId="771FA0F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136E6984"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0DD29B5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可观测性的精准性：整合日志、链路追踪数据，构建全链路可观测体系，从宏观系统状态到微观请求细节，实现故障</w:t>
            </w:r>
            <w:r w:rsidRPr="00DA3766">
              <w:rPr>
                <w:rFonts w:cs="Times New Roman"/>
                <w:color w:val="000000"/>
                <w:sz w:val="21"/>
                <w:szCs w:val="21"/>
              </w:rPr>
              <w:t>“</w:t>
            </w:r>
            <w:r w:rsidRPr="00DA3766">
              <w:rPr>
                <w:rFonts w:ascii="Times New Roman" w:hAnsi="Times New Roman" w:cs="Times New Roman"/>
                <w:color w:val="000000"/>
                <w:sz w:val="21"/>
                <w:szCs w:val="21"/>
              </w:rPr>
              <w:t>可发现、可定位、可解决</w:t>
            </w:r>
            <w:r w:rsidRPr="00DA3766">
              <w:rPr>
                <w:rFonts w:cs="Times New Roman"/>
                <w:color w:val="000000"/>
                <w:sz w:val="21"/>
                <w:szCs w:val="21"/>
              </w:rPr>
              <w:t>”</w:t>
            </w:r>
          </w:p>
        </w:tc>
        <w:tc>
          <w:tcPr>
            <w:tcW w:w="451" w:type="pct"/>
            <w:vMerge/>
            <w:tcMar>
              <w:top w:w="0" w:type="dxa"/>
              <w:left w:w="108" w:type="dxa"/>
              <w:bottom w:w="0" w:type="dxa"/>
              <w:right w:w="108" w:type="dxa"/>
            </w:tcMar>
            <w:vAlign w:val="center"/>
          </w:tcPr>
          <w:p w14:paraId="639DF66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3E0398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2B04FF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3D3D9E5" w14:textId="77777777" w:rsidTr="004C2193">
        <w:trPr>
          <w:trHeight w:val="397"/>
          <w:jc w:val="center"/>
        </w:trPr>
        <w:tc>
          <w:tcPr>
            <w:tcW w:w="333" w:type="pct"/>
            <w:vMerge/>
            <w:tcMar>
              <w:top w:w="0" w:type="dxa"/>
              <w:left w:w="108" w:type="dxa"/>
              <w:bottom w:w="0" w:type="dxa"/>
              <w:right w:w="108" w:type="dxa"/>
            </w:tcMar>
            <w:vAlign w:val="center"/>
          </w:tcPr>
          <w:p w14:paraId="14C57D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776108A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6095196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pacing w:val="-6"/>
                <w:sz w:val="21"/>
                <w:szCs w:val="21"/>
              </w:rPr>
            </w:pPr>
            <w:r w:rsidRPr="00DA3766">
              <w:rPr>
                <w:rFonts w:ascii="Times New Roman" w:hAnsi="Times New Roman" w:cs="Times New Roman"/>
                <w:color w:val="000000"/>
                <w:spacing w:val="-6"/>
                <w:sz w:val="21"/>
                <w:szCs w:val="21"/>
              </w:rPr>
              <w:t>持续集成落地的高效性：通过自研的发版系统，结合</w:t>
            </w:r>
            <w:r w:rsidRPr="00DA3766">
              <w:rPr>
                <w:rFonts w:ascii="Times New Roman" w:hAnsi="Times New Roman" w:cs="Times New Roman"/>
                <w:color w:val="000000"/>
                <w:spacing w:val="-6"/>
                <w:sz w:val="21"/>
                <w:szCs w:val="21"/>
              </w:rPr>
              <w:t>Jenkins</w:t>
            </w:r>
            <w:r w:rsidRPr="00DA3766">
              <w:rPr>
                <w:rFonts w:ascii="Times New Roman" w:hAnsi="Times New Roman" w:cs="Times New Roman"/>
                <w:color w:val="000000"/>
                <w:spacing w:val="-6"/>
                <w:sz w:val="21"/>
                <w:szCs w:val="21"/>
              </w:rPr>
              <w:t>自动化覆盖开发到部署全流程</w:t>
            </w:r>
          </w:p>
        </w:tc>
        <w:tc>
          <w:tcPr>
            <w:tcW w:w="451" w:type="pct"/>
            <w:vMerge/>
            <w:tcMar>
              <w:top w:w="0" w:type="dxa"/>
              <w:left w:w="108" w:type="dxa"/>
              <w:bottom w:w="0" w:type="dxa"/>
              <w:right w:w="108" w:type="dxa"/>
            </w:tcMar>
            <w:vAlign w:val="center"/>
          </w:tcPr>
          <w:p w14:paraId="52FC434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32AE0A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59CA600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78996FB1" w14:textId="77777777" w:rsidTr="004C2193">
        <w:trPr>
          <w:trHeight w:val="397"/>
          <w:jc w:val="center"/>
        </w:trPr>
        <w:tc>
          <w:tcPr>
            <w:tcW w:w="333" w:type="pct"/>
            <w:vMerge w:val="restart"/>
            <w:tcMar>
              <w:top w:w="0" w:type="dxa"/>
              <w:left w:w="108" w:type="dxa"/>
              <w:bottom w:w="0" w:type="dxa"/>
              <w:right w:w="108" w:type="dxa"/>
            </w:tcMar>
            <w:vAlign w:val="center"/>
          </w:tcPr>
          <w:p w14:paraId="315AF3B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754" w:type="pct"/>
            <w:vMerge w:val="restart"/>
            <w:tcMar>
              <w:top w:w="0" w:type="dxa"/>
              <w:left w:w="108" w:type="dxa"/>
              <w:bottom w:w="0" w:type="dxa"/>
              <w:right w:w="108" w:type="dxa"/>
            </w:tcMar>
            <w:vAlign w:val="center"/>
          </w:tcPr>
          <w:p w14:paraId="094599C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大数据架构</w:t>
            </w:r>
          </w:p>
        </w:tc>
        <w:tc>
          <w:tcPr>
            <w:tcW w:w="2074" w:type="pct"/>
            <w:tcMar>
              <w:top w:w="0" w:type="dxa"/>
              <w:left w:w="108" w:type="dxa"/>
              <w:bottom w:w="0" w:type="dxa"/>
              <w:right w:w="108" w:type="dxa"/>
            </w:tcMar>
            <w:vAlign w:val="center"/>
          </w:tcPr>
          <w:p w14:paraId="4E29A51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混合数仓协同效能：突破单一数仓模式局限，离线数仓承载历史数据沉淀与复杂分析，实时数仓聚焦实时业务响应，两者协同覆盖全业务场景，平衡数据时效性与分析深度需求数据治理的精细化与可靠性：从元数据梳理</w:t>
            </w:r>
            <w:r w:rsidRPr="00DA3766">
              <w:rPr>
                <w:rFonts w:ascii="Times New Roman" w:hAnsi="Times New Roman" w:cs="Times New Roman"/>
                <w:color w:val="000000"/>
                <w:sz w:val="21"/>
                <w:szCs w:val="21"/>
              </w:rPr>
              <w:lastRenderedPageBreak/>
              <w:t>到质量管控，构建全流程数据治理体系，保障数据资产清晰、数据质量可信，为数据分析与业务应用筑牢基础</w:t>
            </w:r>
          </w:p>
        </w:tc>
        <w:tc>
          <w:tcPr>
            <w:tcW w:w="451" w:type="pct"/>
            <w:vMerge w:val="restart"/>
            <w:tcMar>
              <w:top w:w="0" w:type="dxa"/>
              <w:left w:w="108" w:type="dxa"/>
              <w:bottom w:w="0" w:type="dxa"/>
              <w:right w:w="108" w:type="dxa"/>
            </w:tcMar>
            <w:vAlign w:val="center"/>
          </w:tcPr>
          <w:p w14:paraId="2EAF1A8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自主研发</w:t>
            </w:r>
          </w:p>
        </w:tc>
        <w:tc>
          <w:tcPr>
            <w:tcW w:w="626" w:type="pct"/>
            <w:vMerge w:val="restart"/>
            <w:tcMar>
              <w:top w:w="0" w:type="dxa"/>
              <w:left w:w="108" w:type="dxa"/>
              <w:bottom w:w="0" w:type="dxa"/>
              <w:right w:w="108" w:type="dxa"/>
            </w:tcMar>
            <w:vAlign w:val="center"/>
          </w:tcPr>
          <w:p w14:paraId="0E9894B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62" w:type="pct"/>
            <w:vMerge w:val="restart"/>
            <w:tcMar>
              <w:top w:w="0" w:type="dxa"/>
              <w:bottom w:w="0" w:type="dxa"/>
            </w:tcMar>
            <w:vAlign w:val="center"/>
          </w:tcPr>
          <w:p w14:paraId="0E8DFF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076BE081" w14:textId="77777777" w:rsidTr="004C2193">
        <w:trPr>
          <w:trHeight w:val="397"/>
          <w:jc w:val="center"/>
        </w:trPr>
        <w:tc>
          <w:tcPr>
            <w:tcW w:w="333" w:type="pct"/>
            <w:vMerge/>
            <w:tcMar>
              <w:top w:w="0" w:type="dxa"/>
              <w:left w:w="108" w:type="dxa"/>
              <w:bottom w:w="0" w:type="dxa"/>
              <w:right w:w="108" w:type="dxa"/>
            </w:tcMar>
            <w:vAlign w:val="center"/>
          </w:tcPr>
          <w:p w14:paraId="315EDE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54" w:type="pct"/>
            <w:vMerge/>
            <w:tcMar>
              <w:top w:w="0" w:type="dxa"/>
              <w:left w:w="108" w:type="dxa"/>
              <w:bottom w:w="0" w:type="dxa"/>
              <w:right w:w="108" w:type="dxa"/>
            </w:tcMar>
            <w:vAlign w:val="center"/>
          </w:tcPr>
          <w:p w14:paraId="1F91529D"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074" w:type="pct"/>
            <w:tcMar>
              <w:top w:w="0" w:type="dxa"/>
              <w:left w:w="108" w:type="dxa"/>
              <w:bottom w:w="0" w:type="dxa"/>
              <w:right w:w="108" w:type="dxa"/>
            </w:tcMar>
            <w:vAlign w:val="center"/>
          </w:tcPr>
          <w:p w14:paraId="251B1A9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数据集成的全面性与高效性：兼容多类型数据源，支持灵活同步策略，打破数据孤岛，保障离线、实时数仓数据持续更新，为数据分析提供完整、及时的数据基础</w:t>
            </w:r>
          </w:p>
        </w:tc>
        <w:tc>
          <w:tcPr>
            <w:tcW w:w="451" w:type="pct"/>
            <w:vMerge/>
            <w:tcMar>
              <w:top w:w="0" w:type="dxa"/>
              <w:left w:w="108" w:type="dxa"/>
              <w:bottom w:w="0" w:type="dxa"/>
              <w:right w:w="108" w:type="dxa"/>
            </w:tcMar>
            <w:vAlign w:val="center"/>
          </w:tcPr>
          <w:p w14:paraId="1BD8E1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26" w:type="pct"/>
            <w:vMerge/>
            <w:tcMar>
              <w:top w:w="0" w:type="dxa"/>
              <w:left w:w="108" w:type="dxa"/>
              <w:bottom w:w="0" w:type="dxa"/>
              <w:right w:w="108" w:type="dxa"/>
            </w:tcMar>
            <w:vAlign w:val="center"/>
          </w:tcPr>
          <w:p w14:paraId="6A40D4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62" w:type="pct"/>
            <w:vMerge/>
            <w:tcMar>
              <w:top w:w="0" w:type="dxa"/>
              <w:bottom w:w="0" w:type="dxa"/>
            </w:tcMar>
            <w:vAlign w:val="center"/>
          </w:tcPr>
          <w:p w14:paraId="542415F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bl>
    <w:bookmarkEnd w:id="7"/>
    <w:p w14:paraId="50906FAE"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（三）标的公司能够通过创新、创造、创意促进新质生产力发展</w:t>
      </w:r>
    </w:p>
    <w:p w14:paraId="5019569A"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标的公司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14:paraId="771C3D77" w14:textId="33ED4413" w:rsidR="00A661C3" w:rsidRPr="00DA3766" w:rsidRDefault="00A661C3" w:rsidP="007E30A6">
      <w:pPr>
        <w:pStyle w:val="005"/>
        <w:spacing w:before="120" w:after="120"/>
        <w:ind w:firstLine="480"/>
        <w:rPr>
          <w:shd w:val="clear" w:color="auto" w:fill="FFFFFF"/>
        </w:rPr>
      </w:pPr>
      <w:bookmarkStart w:id="8" w:name="_Hlk211438793"/>
      <w:r w:rsidRPr="00DA3766">
        <w:rPr>
          <w:shd w:val="clear" w:color="auto" w:fill="FFFFFF"/>
        </w:rPr>
        <w:t>标的公司基于自有</w:t>
      </w:r>
      <w:r w:rsidRPr="00DA3766">
        <w:rPr>
          <w:shd w:val="clear" w:color="auto" w:fill="FFFFFF"/>
        </w:rPr>
        <w:t>IoT</w:t>
      </w:r>
      <w:r w:rsidRPr="00DA3766">
        <w:rPr>
          <w:shd w:val="clear" w:color="auto" w:fill="FFFFFF"/>
        </w:rPr>
        <w:t>核心技术，自研多品类</w:t>
      </w:r>
      <w:r w:rsidRPr="00DA3766">
        <w:rPr>
          <w:shd w:val="clear" w:color="auto" w:fill="FFFFFF"/>
        </w:rPr>
        <w:t>IoT</w:t>
      </w:r>
      <w:r w:rsidRPr="00DA3766">
        <w:rPr>
          <w:shd w:val="clear" w:color="auto" w:fill="FFFFFF"/>
        </w:rPr>
        <w:t>智能硬件，使孤立的、功能单一的自助设备转变为互联互通、数据驱动的智能化服务节点，从而有效填补了自助设备物联通讯和智能管理的技术空白。同时，标的公司基于云计算技术平台，借助多种网络通讯技术，将智能终端采集的数据汇总在</w:t>
      </w:r>
      <w:r w:rsidR="007A44DA" w:rsidRPr="00DA3766">
        <w:rPr>
          <w:shd w:val="clear" w:color="auto" w:fill="FFFFFF"/>
        </w:rPr>
        <w:t>SaaS</w:t>
      </w:r>
      <w:r w:rsidRPr="00DA3766">
        <w:rPr>
          <w:shd w:val="clear" w:color="auto" w:fill="FFFFFF"/>
        </w:rPr>
        <w:t>云平台，实现了数据收集、数据建模、数据测试、故障诊断和智能预测的智能自助设备全链条数据开发和应用，进而助力下游客户提升管理效率和经营效益。</w:t>
      </w:r>
    </w:p>
    <w:p w14:paraId="116EF12C"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标的公司积极响应国家制造强国发展战略，赋能制造业数字转型，其技术创新能力获得了较为广泛的认可。标的公司</w:t>
      </w:r>
      <w:r w:rsidRPr="00DA3766">
        <w:rPr>
          <w:shd w:val="clear" w:color="auto" w:fill="FFFFFF"/>
        </w:rPr>
        <w:t>2023</w:t>
      </w:r>
      <w:r w:rsidRPr="00DA3766">
        <w:rPr>
          <w:shd w:val="clear" w:color="auto" w:fill="FFFFFF"/>
        </w:rPr>
        <w:t>年度及</w:t>
      </w:r>
      <w:r w:rsidRPr="00DA3766">
        <w:rPr>
          <w:shd w:val="clear" w:color="auto" w:fill="FFFFFF"/>
        </w:rPr>
        <w:t>2024</w:t>
      </w:r>
      <w:r w:rsidRPr="00DA3766">
        <w:rPr>
          <w:shd w:val="clear" w:color="auto" w:fill="FFFFFF"/>
        </w:rPr>
        <w:t>年度分别被工业和信息化部评为</w:t>
      </w:r>
      <w:r w:rsidRPr="00DA3766">
        <w:rPr>
          <w:rFonts w:ascii="宋体" w:hAnsi="宋体"/>
          <w:shd w:val="clear" w:color="auto" w:fill="FFFFFF"/>
        </w:rPr>
        <w:t>“</w:t>
      </w:r>
      <w:r w:rsidRPr="00DA3766">
        <w:rPr>
          <w:shd w:val="clear" w:color="auto" w:fill="FFFFFF"/>
        </w:rPr>
        <w:t>专精特新</w:t>
      </w:r>
      <w:r w:rsidRPr="00DA3766">
        <w:rPr>
          <w:shd w:val="clear" w:color="auto" w:fill="FFFFFF"/>
        </w:rPr>
        <w:t>‘</w:t>
      </w:r>
      <w:r w:rsidRPr="00DA3766">
        <w:rPr>
          <w:shd w:val="clear" w:color="auto" w:fill="FFFFFF"/>
        </w:rPr>
        <w:t>小巨人</w:t>
      </w:r>
      <w:r w:rsidRPr="00DA3766">
        <w:rPr>
          <w:shd w:val="clear" w:color="auto" w:fill="FFFFFF"/>
        </w:rPr>
        <w:t>’</w:t>
      </w:r>
      <w:r w:rsidRPr="00DA3766">
        <w:rPr>
          <w:shd w:val="clear" w:color="auto" w:fill="FFFFFF"/>
        </w:rPr>
        <w:t>企业</w:t>
      </w:r>
      <w:r w:rsidRPr="00DA3766">
        <w:rPr>
          <w:rFonts w:ascii="宋体" w:hAnsi="宋体"/>
          <w:shd w:val="clear" w:color="auto" w:fill="FFFFFF"/>
        </w:rPr>
        <w:t>”“</w:t>
      </w:r>
      <w:r w:rsidRPr="00DA3766">
        <w:rPr>
          <w:shd w:val="clear" w:color="auto" w:fill="FFFFFF"/>
        </w:rPr>
        <w:t>国家级专精特新重点</w:t>
      </w:r>
      <w:r w:rsidRPr="00DA3766">
        <w:rPr>
          <w:shd w:val="clear" w:color="auto" w:fill="FFFFFF"/>
        </w:rPr>
        <w:t>‘</w:t>
      </w:r>
      <w:r w:rsidRPr="00DA3766">
        <w:rPr>
          <w:shd w:val="clear" w:color="auto" w:fill="FFFFFF"/>
        </w:rPr>
        <w:t>小巨人</w:t>
      </w:r>
      <w:r w:rsidRPr="00DA3766">
        <w:rPr>
          <w:shd w:val="clear" w:color="auto" w:fill="FFFFFF"/>
        </w:rPr>
        <w:t>’</w:t>
      </w:r>
      <w:r w:rsidRPr="00DA3766">
        <w:rPr>
          <w:shd w:val="clear" w:color="auto" w:fill="FFFFFF"/>
        </w:rPr>
        <w:t>企业</w:t>
      </w:r>
      <w:r w:rsidRPr="00DA3766">
        <w:rPr>
          <w:rFonts w:ascii="宋体" w:hAnsi="宋体"/>
          <w:shd w:val="clear" w:color="auto" w:fill="FFFFFF"/>
        </w:rPr>
        <w:t>”</w:t>
      </w:r>
      <w:r w:rsidRPr="00DA3766">
        <w:rPr>
          <w:shd w:val="clear" w:color="auto" w:fill="FFFFFF"/>
        </w:rPr>
        <w:t>。标的公司先后荣获</w:t>
      </w:r>
      <w:r w:rsidRPr="00DA3766">
        <w:rPr>
          <w:rFonts w:ascii="宋体" w:hAnsi="宋体"/>
          <w:shd w:val="clear" w:color="auto" w:fill="FFFFFF"/>
        </w:rPr>
        <w:t>“</w:t>
      </w:r>
      <w:r w:rsidRPr="00DA3766">
        <w:rPr>
          <w:shd w:val="clear" w:color="auto" w:fill="FFFFFF"/>
        </w:rPr>
        <w:t>广东自助设备产业链数字化应用工程技术研究中心</w:t>
      </w:r>
      <w:r w:rsidRPr="00DA3766">
        <w:rPr>
          <w:rFonts w:ascii="宋体" w:hAnsi="宋体"/>
          <w:shd w:val="clear" w:color="auto" w:fill="FFFFFF"/>
        </w:rPr>
        <w:t>”“</w:t>
      </w:r>
      <w:r w:rsidRPr="00DA3766">
        <w:rPr>
          <w:shd w:val="clear" w:color="auto" w:fill="FFFFFF"/>
        </w:rPr>
        <w:t>中国国际物联网产业大奖（优秀平台奖）</w:t>
      </w:r>
      <w:r w:rsidRPr="00DA3766">
        <w:rPr>
          <w:rFonts w:ascii="宋体" w:hAnsi="宋体"/>
          <w:shd w:val="clear" w:color="auto" w:fill="FFFFFF"/>
        </w:rPr>
        <w:t>”“</w:t>
      </w:r>
      <w:r w:rsidRPr="00DA3766">
        <w:rPr>
          <w:shd w:val="clear" w:color="auto" w:fill="FFFFFF"/>
        </w:rPr>
        <w:t>中国产学研合作创新示范企业</w:t>
      </w:r>
      <w:r w:rsidRPr="00DA3766">
        <w:rPr>
          <w:rFonts w:ascii="宋体" w:hAnsi="宋体"/>
          <w:shd w:val="clear" w:color="auto" w:fill="FFFFFF"/>
        </w:rPr>
        <w:t>”“</w:t>
      </w:r>
      <w:r w:rsidRPr="00DA3766">
        <w:rPr>
          <w:shd w:val="clear" w:color="auto" w:fill="FFFFFF"/>
        </w:rPr>
        <w:t>2023</w:t>
      </w:r>
      <w:r w:rsidRPr="00DA3766">
        <w:rPr>
          <w:shd w:val="clear" w:color="auto" w:fill="FFFFFF"/>
        </w:rPr>
        <w:t>年度世界物联网大会年度优秀企业奖</w:t>
      </w:r>
      <w:r w:rsidRPr="00DA3766">
        <w:rPr>
          <w:rFonts w:ascii="宋体" w:hAnsi="宋体"/>
          <w:shd w:val="clear" w:color="auto" w:fill="FFFFFF"/>
        </w:rPr>
        <w:t>”“</w:t>
      </w:r>
      <w:r w:rsidRPr="00DA3766">
        <w:rPr>
          <w:shd w:val="clear" w:color="auto" w:fill="FFFFFF"/>
        </w:rPr>
        <w:t>2023</w:t>
      </w:r>
      <w:r w:rsidRPr="00DA3766">
        <w:rPr>
          <w:shd w:val="clear" w:color="auto" w:fill="FFFFFF"/>
        </w:rPr>
        <w:t>中国物联网企业投资价值</w:t>
      </w:r>
      <w:r w:rsidRPr="00DA3766">
        <w:rPr>
          <w:shd w:val="clear" w:color="auto" w:fill="FFFFFF"/>
        </w:rPr>
        <w:t>50</w:t>
      </w:r>
      <w:r w:rsidRPr="00DA3766">
        <w:rPr>
          <w:shd w:val="clear" w:color="auto" w:fill="FFFFFF"/>
        </w:rPr>
        <w:t>强</w:t>
      </w:r>
      <w:r w:rsidRPr="00DA3766">
        <w:rPr>
          <w:rFonts w:ascii="宋体" w:hAnsi="宋体"/>
          <w:shd w:val="clear" w:color="auto" w:fill="FFFFFF"/>
        </w:rPr>
        <w:t>”“</w:t>
      </w:r>
      <w:r w:rsidRPr="00DA3766">
        <w:rPr>
          <w:shd w:val="clear" w:color="auto" w:fill="FFFFFF"/>
        </w:rPr>
        <w:t>2024</w:t>
      </w:r>
      <w:r w:rsidRPr="00DA3766">
        <w:rPr>
          <w:shd w:val="clear" w:color="auto" w:fill="FFFFFF"/>
        </w:rPr>
        <w:t>世界物联网</w:t>
      </w:r>
      <w:r w:rsidRPr="00DA3766">
        <w:rPr>
          <w:shd w:val="clear" w:color="auto" w:fill="FFFFFF"/>
        </w:rPr>
        <w:t>500</w:t>
      </w:r>
      <w:r w:rsidRPr="00DA3766">
        <w:rPr>
          <w:shd w:val="clear" w:color="auto" w:fill="FFFFFF"/>
        </w:rPr>
        <w:t>强</w:t>
      </w:r>
      <w:r w:rsidRPr="00DA3766">
        <w:rPr>
          <w:shd w:val="clear" w:color="auto" w:fill="FFFFFF"/>
        </w:rPr>
        <w:t>·</w:t>
      </w:r>
      <w:r w:rsidRPr="00DA3766">
        <w:rPr>
          <w:shd w:val="clear" w:color="auto" w:fill="FFFFFF"/>
        </w:rPr>
        <w:t>潜力榜百强</w:t>
      </w:r>
      <w:r w:rsidRPr="00DA3766">
        <w:rPr>
          <w:rFonts w:ascii="宋体" w:hAnsi="宋体"/>
          <w:shd w:val="clear" w:color="auto" w:fill="FFFFFF"/>
        </w:rPr>
        <w:t>”“</w:t>
      </w:r>
      <w:r w:rsidRPr="00DA3766">
        <w:rPr>
          <w:shd w:val="clear" w:color="auto" w:fill="FFFFFF"/>
        </w:rPr>
        <w:t>2024</w:t>
      </w:r>
      <w:r w:rsidRPr="00DA3766">
        <w:rPr>
          <w:shd w:val="clear" w:color="auto" w:fill="FFFFFF"/>
        </w:rPr>
        <w:t>广州新质生产力高企百强榜</w:t>
      </w:r>
      <w:r w:rsidRPr="00DA3766">
        <w:rPr>
          <w:rFonts w:ascii="宋体" w:hAnsi="宋体"/>
          <w:shd w:val="clear" w:color="auto" w:fill="FFFFFF"/>
        </w:rPr>
        <w:t>”</w:t>
      </w:r>
      <w:r w:rsidRPr="00DA3766">
        <w:rPr>
          <w:shd w:val="clear" w:color="auto" w:fill="FFFFFF"/>
        </w:rPr>
        <w:t>等荣誉。</w:t>
      </w:r>
    </w:p>
    <w:p w14:paraId="6826F109"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因此，标的公司依靠创新驱动业务发展，具备创新特征，属于成长型创新创业企业，符合《深圳证券交易所创业板企业发行上市申报及推荐暂行规定（</w:t>
      </w:r>
      <w:r w:rsidRPr="00DA3766">
        <w:rPr>
          <w:shd w:val="clear" w:color="auto" w:fill="FFFFFF"/>
        </w:rPr>
        <w:t>2024</w:t>
      </w:r>
      <w:r w:rsidRPr="00DA3766">
        <w:rPr>
          <w:shd w:val="clear" w:color="auto" w:fill="FFFFFF"/>
        </w:rPr>
        <w:t>年修订）》第二条规定；标的公司属于能够通过创新、创造、创意促进互联网、</w:t>
      </w:r>
      <w:r w:rsidRPr="00DA3766">
        <w:rPr>
          <w:shd w:val="clear" w:color="auto" w:fill="FFFFFF"/>
        </w:rPr>
        <w:lastRenderedPageBreak/>
        <w:t>大数据、云计算、自动化、人工智能、新能源等新技术、新产业、新业态、新模式与传统产业深度融合，推动行业向高端化、智能化、绿色化发展的企业，符合《深圳证券交易所创业板企业发行上市申报及推荐暂行规定（</w:t>
      </w:r>
      <w:r w:rsidRPr="00DA3766">
        <w:rPr>
          <w:shd w:val="clear" w:color="auto" w:fill="FFFFFF"/>
        </w:rPr>
        <w:t>2024</w:t>
      </w:r>
      <w:r w:rsidRPr="00DA3766">
        <w:rPr>
          <w:shd w:val="clear" w:color="auto" w:fill="FFFFFF"/>
        </w:rPr>
        <w:t>年修订）》第三条规定</w:t>
      </w:r>
      <w:bookmarkEnd w:id="8"/>
      <w:r w:rsidRPr="00DA3766">
        <w:rPr>
          <w:shd w:val="clear" w:color="auto" w:fill="FFFFFF"/>
        </w:rPr>
        <w:t>。</w:t>
      </w:r>
    </w:p>
    <w:p w14:paraId="38F9CE1F" w14:textId="73C3283F" w:rsidR="00A661C3" w:rsidRPr="00DA3766" w:rsidRDefault="00A661C3" w:rsidP="007E30A6">
      <w:pPr>
        <w:pStyle w:val="005"/>
        <w:spacing w:before="120" w:after="120"/>
        <w:ind w:firstLine="480"/>
      </w:pPr>
      <w:r w:rsidRPr="00DA3766">
        <w:t>综上所述，标的</w:t>
      </w:r>
      <w:r w:rsidR="00C85C28" w:rsidRPr="00DA3766">
        <w:t>公司</w:t>
      </w:r>
      <w:r w:rsidRPr="00DA3766">
        <w:t>符合《深圳证券交易所创业板企业发行上市申报及推荐暂行规定（</w:t>
      </w:r>
      <w:r w:rsidRPr="00DA3766">
        <w:t>2024</w:t>
      </w:r>
      <w:r w:rsidRPr="00DA3766">
        <w:t>年修订）》相关规定，相关依据充分。</w:t>
      </w:r>
    </w:p>
    <w:p w14:paraId="35DB5DF7" w14:textId="29BE5906" w:rsidR="00E22816" w:rsidRPr="00DA3766" w:rsidRDefault="00E22816" w:rsidP="007E30A6">
      <w:pPr>
        <w:pStyle w:val="005"/>
        <w:spacing w:before="120" w:after="120"/>
        <w:ind w:firstLine="480"/>
      </w:pPr>
      <w:r w:rsidRPr="00DA3766">
        <w:t>上述内容已在</w:t>
      </w:r>
      <w:r w:rsidR="00F32A32"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五、本次交易符合《创业板上市公司持续监管办法（试行）》第十八条和《重组审核规则》第八条的相关规定</w:t>
      </w:r>
      <w:r w:rsidRPr="00DA3766">
        <w:rPr>
          <w:rFonts w:ascii="宋体" w:hAnsi="宋体"/>
        </w:rPr>
        <w:t>”</w:t>
      </w:r>
      <w:r w:rsidRPr="00DA3766">
        <w:t>补充披露。</w:t>
      </w:r>
    </w:p>
    <w:p w14:paraId="62654BA8"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二、结合上市公司与标的资产的具体经营业务、服务应用领域、客户及供应商等，说明认定标的资产与上市公司处于同行业的依据是否充分</w:t>
      </w:r>
    </w:p>
    <w:p w14:paraId="63146869"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（一）上市公司与标的资产的具体经营业务、服务应用领域</w:t>
      </w:r>
    </w:p>
    <w:p w14:paraId="20F67211" w14:textId="115416DB" w:rsidR="00A661C3" w:rsidRPr="00DA3766" w:rsidRDefault="00172844" w:rsidP="007E30A6">
      <w:pPr>
        <w:pStyle w:val="005"/>
        <w:spacing w:before="120" w:after="120"/>
        <w:ind w:firstLine="480"/>
      </w:pPr>
      <w:r w:rsidRPr="00DA3766">
        <w:t>上市公司</w:t>
      </w:r>
      <w:r w:rsidR="00A661C3" w:rsidRPr="00DA3766">
        <w:t>作为一家智慧城市解决方案提供商，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近年来，上市公司紧抓</w:t>
      </w:r>
      <w:r w:rsidR="00A661C3" w:rsidRPr="00DA3766">
        <w:rPr>
          <w:rFonts w:ascii="宋体" w:hAnsi="宋体"/>
        </w:rPr>
        <w:t>“</w:t>
      </w:r>
      <w:r w:rsidR="00A661C3" w:rsidRPr="00DA3766">
        <w:t>数字经济</w:t>
      </w:r>
      <w:r w:rsidR="00A661C3" w:rsidRPr="00DA3766">
        <w:rPr>
          <w:rFonts w:ascii="宋体" w:hAnsi="宋体"/>
        </w:rPr>
        <w:t>”</w:t>
      </w:r>
      <w:r w:rsidR="00A661C3" w:rsidRPr="00DA3766">
        <w:t>发展机遇，在继续巩固政务、教育、医疗等领域优势的同时，进一步开拓了智慧轨道交通、智慧企业、智慧能源业务。</w:t>
      </w:r>
    </w:p>
    <w:p w14:paraId="2982BB90" w14:textId="6EC1EFF9" w:rsidR="00A661C3" w:rsidRPr="00DA3766" w:rsidRDefault="00A661C3" w:rsidP="007E30A6">
      <w:pPr>
        <w:pStyle w:val="005"/>
        <w:spacing w:before="120" w:after="120"/>
        <w:ind w:firstLine="480"/>
      </w:pPr>
      <w:r w:rsidRPr="00DA3766">
        <w:t>标的公司系一家智能自助设备数字化服务提供商，长期专注于提供</w:t>
      </w:r>
      <w:r w:rsidRPr="00DA3766">
        <w:rPr>
          <w:rFonts w:ascii="宋体" w:hAnsi="宋体"/>
        </w:rPr>
        <w:t>“</w:t>
      </w:r>
      <w:r w:rsidRPr="00DA3766">
        <w:t>IoT</w:t>
      </w:r>
      <w:r w:rsidRPr="00DA3766">
        <w:t>物联网</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标的公司以技术创新和商业化实践助力城市数字经济发展，深度服务于数字经济产业中的智慧生活、智慧零售和智慧出行等领域，符合《国家发展改革委等关于深化智慧城市发展推进城市全域数字化转型的指导意见》中对于</w:t>
      </w:r>
      <w:r w:rsidRPr="00DA3766">
        <w:rPr>
          <w:rFonts w:ascii="宋体" w:hAnsi="宋体"/>
        </w:rPr>
        <w:t>“</w:t>
      </w:r>
      <w:r w:rsidRPr="00DA3766">
        <w:t>培育壮大城市数字经济，推动商贸、文旅、康养等生活性服务业数字化转型，提升</w:t>
      </w:r>
      <w:r w:rsidRPr="00DA3766">
        <w:t>‘</w:t>
      </w:r>
      <w:r w:rsidRPr="00DA3766">
        <w:t>上云用数赋智</w:t>
      </w:r>
      <w:r w:rsidRPr="00DA3766">
        <w:t>’</w:t>
      </w:r>
      <w:r w:rsidRPr="00DA3766">
        <w:t>水平</w:t>
      </w:r>
      <w:r w:rsidRPr="00DA3766">
        <w:rPr>
          <w:rFonts w:ascii="宋体" w:hAnsi="宋体"/>
        </w:rPr>
        <w:t>”</w:t>
      </w:r>
      <w:r w:rsidRPr="00DA3766">
        <w:t>的相关要求。</w:t>
      </w:r>
    </w:p>
    <w:p w14:paraId="17623E6F" w14:textId="549B4807" w:rsidR="00A661C3" w:rsidRPr="00DA3766" w:rsidRDefault="00A661C3" w:rsidP="007E30A6">
      <w:pPr>
        <w:pStyle w:val="005"/>
        <w:spacing w:before="120" w:after="120"/>
        <w:ind w:firstLine="480"/>
      </w:pPr>
      <w:r w:rsidRPr="00DA3766">
        <w:rPr>
          <w:shd w:val="clear" w:color="auto" w:fill="FFFFFF"/>
        </w:rPr>
        <w:t>综上</w:t>
      </w:r>
      <w:r w:rsidR="00BA6F27" w:rsidRPr="00DA3766">
        <w:rPr>
          <w:shd w:val="clear" w:color="auto" w:fill="FFFFFF"/>
        </w:rPr>
        <w:t>所述</w:t>
      </w:r>
      <w:r w:rsidRPr="00DA3766">
        <w:rPr>
          <w:shd w:val="clear" w:color="auto" w:fill="FFFFFF"/>
        </w:rPr>
        <w:t>，标的公司与上市公司</w:t>
      </w:r>
      <w:r w:rsidR="00BA6F27" w:rsidRPr="00DA3766">
        <w:rPr>
          <w:shd w:val="clear" w:color="auto" w:fill="FFFFFF"/>
        </w:rPr>
        <w:t>的主要服务应用领域</w:t>
      </w:r>
      <w:r w:rsidRPr="00DA3766">
        <w:rPr>
          <w:shd w:val="clear" w:color="auto" w:fill="FFFFFF"/>
        </w:rPr>
        <w:t>均属于数字经济产业，具体经营业务存在一定差异。</w:t>
      </w:r>
    </w:p>
    <w:p w14:paraId="2F01E7DD"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lastRenderedPageBreak/>
        <w:t>（二）上市公司与标的资产的客户及供应商</w:t>
      </w:r>
    </w:p>
    <w:p w14:paraId="7728E452" w14:textId="77777777" w:rsidR="00A661C3" w:rsidRPr="00DA3766" w:rsidRDefault="00A661C3" w:rsidP="007E30A6">
      <w:pPr>
        <w:pStyle w:val="005"/>
        <w:spacing w:before="120" w:after="120"/>
        <w:ind w:firstLine="480"/>
      </w:pPr>
      <w:r w:rsidRPr="00DA3766">
        <w:t>客户方面，上市公司所提供的智慧政务、智慧教育和智慧医疗等领域的信息系统集成服务主要服务于各级党政部门、企事业单位，客户主体以</w:t>
      </w:r>
      <w:r w:rsidRPr="00DA3766">
        <w:t>G</w:t>
      </w:r>
      <w:r w:rsidRPr="00DA3766">
        <w:t>端客户和</w:t>
      </w:r>
      <w:r w:rsidRPr="00DA3766">
        <w:t>B</w:t>
      </w:r>
      <w:r w:rsidRPr="00DA3766">
        <w:t>端客户为主，具有需求刚性较强、合作周期长、履约能力稳定、对服务合规性与安全性要求较高的特点。标的公司则主要服务于生活、零售、出行等领域自助设备的制造商和运营商，第三方持牌支付机构，及部分智能零售终端设备的个人消费者，客户主体以</w:t>
      </w:r>
      <w:r w:rsidRPr="00DA3766">
        <w:t>B</w:t>
      </w:r>
      <w:r w:rsidRPr="00DA3766">
        <w:t>端客户和</w:t>
      </w:r>
      <w:r w:rsidRPr="00DA3766">
        <w:t>C</w:t>
      </w:r>
      <w:r w:rsidRPr="00DA3766">
        <w:t>端客户为主，客户群体较上市公司更为广泛和分散，客户种类更为多元和灵活。</w:t>
      </w:r>
    </w:p>
    <w:p w14:paraId="76CC123A" w14:textId="77777777" w:rsidR="00A661C3" w:rsidRPr="00DA3766" w:rsidRDefault="00A661C3" w:rsidP="007E30A6">
      <w:pPr>
        <w:pStyle w:val="005"/>
        <w:spacing w:before="120" w:after="120"/>
        <w:ind w:firstLine="480"/>
      </w:pPr>
      <w:r w:rsidRPr="00DA3766">
        <w:t>供应商方面，上市公司的主要供应商类型包括硬件原材料供应商、软件产品供应商和劳务服务供应商等，与上市公司主要提供的信息系统集成服务密切相关。标的公司的主要供应商类型则包括硬件原材料供应商、外协加工供应商、云计算及通信服务供应商等，较上市公司更聚焦于智能自助设备相关产品的生产制造与运营支撑环节。</w:t>
      </w:r>
    </w:p>
    <w:p w14:paraId="0DE41F67" w14:textId="73CE6DA8" w:rsidR="00A661C3" w:rsidRPr="00DA3766" w:rsidRDefault="00A661C3" w:rsidP="007E30A6">
      <w:pPr>
        <w:pStyle w:val="005"/>
        <w:spacing w:before="120" w:after="120"/>
        <w:ind w:firstLine="480"/>
      </w:pPr>
      <w:r w:rsidRPr="00DA3766">
        <w:t>综上</w:t>
      </w:r>
      <w:r w:rsidR="00BA6F27" w:rsidRPr="00DA3766">
        <w:t>所述</w:t>
      </w:r>
      <w:r w:rsidRPr="00DA3766">
        <w:t>，</w:t>
      </w:r>
      <w:r w:rsidRPr="00DA3766">
        <w:rPr>
          <w:shd w:val="clear" w:color="auto" w:fill="FFFFFF"/>
        </w:rPr>
        <w:t>标的公司与上市公司的主要客户群体存在一定差异性和互补性，主要供应商群体存在一定差异性，主要原因系双方的主营业务侧重不同所致，具有合理性。</w:t>
      </w:r>
    </w:p>
    <w:p w14:paraId="03956E4A"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（三）标的公司与上市公司同属于软件和信息技术服务业（</w:t>
      </w:r>
      <w:r w:rsidRPr="00DA3766">
        <w:rPr>
          <w:rFonts w:ascii="Times New Roman" w:hAnsi="Times New Roman" w:cs="Times New Roman"/>
          <w:b/>
          <w:bCs/>
          <w:szCs w:val="28"/>
        </w:rPr>
        <w:t>I65</w:t>
      </w:r>
      <w:r w:rsidRPr="00DA3766">
        <w:rPr>
          <w:rFonts w:ascii="Times New Roman" w:hAnsi="Times New Roman" w:cs="Times New Roman"/>
          <w:b/>
          <w:bCs/>
          <w:szCs w:val="28"/>
        </w:rPr>
        <w:t>）</w:t>
      </w:r>
    </w:p>
    <w:p w14:paraId="16B4C562" w14:textId="18144C3F" w:rsidR="00A661C3" w:rsidRPr="00DA3766" w:rsidRDefault="00A661C3" w:rsidP="007E30A6">
      <w:pPr>
        <w:pStyle w:val="005"/>
        <w:spacing w:before="120" w:after="120"/>
        <w:ind w:firstLine="480"/>
      </w:pPr>
      <w:r w:rsidRPr="00DA3766">
        <w:t>上市公司系一家智慧城市解决方案提供商，致力于融合应用物联网、大数据、云计算、</w:t>
      </w:r>
      <w:r w:rsidRPr="00DA3766">
        <w:t>GIS</w:t>
      </w:r>
      <w:r w:rsidRPr="00DA3766">
        <w:t>、人工智能等新一代信息技术，为客户提供项目总体规划、方案设计、软件研发、项目实施及运维服务一体化的信息技术解决方案。标的公司是一家智能自助设备数字化服务提供商，</w:t>
      </w:r>
      <w:r w:rsidR="006D68ED" w:rsidRPr="00DA3766">
        <w:t>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r w:rsidRPr="00DA3766">
        <w:t>。</w:t>
      </w:r>
    </w:p>
    <w:p w14:paraId="3004F26E" w14:textId="77777777" w:rsidR="00A661C3" w:rsidRPr="00DA3766" w:rsidRDefault="00A661C3" w:rsidP="007E30A6">
      <w:pPr>
        <w:pStyle w:val="005"/>
        <w:spacing w:before="120" w:after="120"/>
        <w:ind w:firstLine="480"/>
      </w:pPr>
      <w:r w:rsidRPr="00DA3766">
        <w:t>根据《国民经济行业分类》（</w:t>
      </w:r>
      <w:r w:rsidRPr="00DA3766">
        <w:t>GB/T4754-2017</w:t>
      </w:r>
      <w:r w:rsidRPr="00DA3766">
        <w:t>），上市公司与标的公司同属于软件和信息技术服务业（</w:t>
      </w:r>
      <w:r w:rsidRPr="00DA3766">
        <w:t>I65</w:t>
      </w:r>
      <w:r w:rsidRPr="00DA3766">
        <w:t>）。</w:t>
      </w:r>
    </w:p>
    <w:p w14:paraId="48D537C8" w14:textId="77777777" w:rsidR="00A661C3" w:rsidRPr="00DA3766" w:rsidRDefault="00A661C3" w:rsidP="007E30A6">
      <w:pPr>
        <w:pStyle w:val="005"/>
        <w:spacing w:before="120" w:after="120"/>
        <w:ind w:firstLine="480"/>
      </w:pPr>
      <w:r w:rsidRPr="00DA3766">
        <w:t>综上所述，标的资产与上市公司处于同行业，相关依据充分，本次交易符合《持续监管办法》第十八条和《重组审核规则》第八条的规定。</w:t>
      </w:r>
    </w:p>
    <w:p w14:paraId="200324D8" w14:textId="066A1459" w:rsidR="00E22816" w:rsidRPr="00DA3766" w:rsidRDefault="00E22816" w:rsidP="007E30A6">
      <w:pPr>
        <w:pStyle w:val="005"/>
        <w:spacing w:before="120" w:after="120"/>
        <w:ind w:firstLine="480"/>
      </w:pPr>
      <w:r w:rsidRPr="00DA3766">
        <w:lastRenderedPageBreak/>
        <w:t>上述内容已在</w:t>
      </w:r>
      <w:r w:rsidR="00F32A32"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五、本次交易符合《创业板上市公司持续监管办法（试行）》第十八条和《重组审核规则》第八条的相关规定</w:t>
      </w:r>
      <w:r w:rsidRPr="00DA3766">
        <w:rPr>
          <w:rFonts w:ascii="宋体" w:hAnsi="宋体"/>
        </w:rPr>
        <w:t>”</w:t>
      </w:r>
      <w:r w:rsidRPr="00DA3766">
        <w:t>补充披露。</w:t>
      </w:r>
    </w:p>
    <w:p w14:paraId="36C9DAFC" w14:textId="77777777" w:rsidR="00A661C3"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三、标的资产开展业务是否存在收集用户个人信息的情形，并补充说明标的资产互联网相关业务的经营合规性、用户个人信息收集使用的合规性</w:t>
      </w:r>
    </w:p>
    <w:p w14:paraId="490E08A0" w14:textId="77777777" w:rsidR="00201A42" w:rsidRDefault="00201A42" w:rsidP="00201A42">
      <w:pPr>
        <w:pStyle w:val="005"/>
        <w:spacing w:before="120" w:after="120"/>
        <w:ind w:firstLine="480"/>
      </w:pPr>
      <w:r w:rsidRPr="00210110">
        <w:t>标的公司在提供</w:t>
      </w:r>
      <w:r>
        <w:rPr>
          <w:rFonts w:hint="eastAsia"/>
        </w:rPr>
        <w:t>除会员服务外的</w:t>
      </w:r>
      <w:r>
        <w:rPr>
          <w:rFonts w:hint="eastAsia"/>
        </w:rPr>
        <w:t>SaaS</w:t>
      </w:r>
      <w:r>
        <w:rPr>
          <w:rFonts w:hint="eastAsia"/>
        </w:rPr>
        <w:t>云平台服务</w:t>
      </w:r>
      <w:r w:rsidRPr="00210110">
        <w:t>时，仅收集非敏感通用信息，</w:t>
      </w:r>
      <w:r>
        <w:rPr>
          <w:rFonts w:hint="eastAsia"/>
        </w:rPr>
        <w:t>如</w:t>
      </w:r>
      <w:r w:rsidRPr="00210110">
        <w:t>微信</w:t>
      </w:r>
      <w:r w:rsidRPr="00210110">
        <w:t>/</w:t>
      </w:r>
      <w:r w:rsidRPr="00210110">
        <w:t>支付宝的</w:t>
      </w:r>
      <w:r w:rsidRPr="00210110">
        <w:t>Open ID</w:t>
      </w:r>
      <w:r w:rsidRPr="00210110">
        <w:t>、用户昵称等平台公开标识类信息</w:t>
      </w:r>
      <w:r>
        <w:rPr>
          <w:rFonts w:hint="eastAsia"/>
        </w:rPr>
        <w:t>。前述信息</w:t>
      </w:r>
      <w:r w:rsidRPr="00210110">
        <w:t>仅用于实现设备功能交互，不涉及任何可直接关联个人隐私的敏感数据（如手机号、地理位置、身份证号、银行卡信息等）</w:t>
      </w:r>
      <w:r>
        <w:rPr>
          <w:rFonts w:hint="eastAsia"/>
        </w:rPr>
        <w:t>。标的公司在信息</w:t>
      </w:r>
      <w:r w:rsidRPr="00210110">
        <w:t>收集过程</w:t>
      </w:r>
      <w:r>
        <w:rPr>
          <w:rFonts w:hint="eastAsia"/>
        </w:rPr>
        <w:t>中严格</w:t>
      </w:r>
      <w:r w:rsidRPr="00210110">
        <w:t>遵循</w:t>
      </w:r>
      <w:r>
        <w:rPr>
          <w:rFonts w:hint="eastAsia"/>
        </w:rPr>
        <w:t>“</w:t>
      </w:r>
      <w:r w:rsidRPr="00210110">
        <w:t>最小必要</w:t>
      </w:r>
      <w:r>
        <w:rPr>
          <w:rFonts w:hint="eastAsia"/>
        </w:rPr>
        <w:t>”</w:t>
      </w:r>
      <w:r w:rsidRPr="00210110">
        <w:t>原则，不额外获取</w:t>
      </w:r>
      <w:r>
        <w:rPr>
          <w:rFonts w:hint="eastAsia"/>
        </w:rPr>
        <w:t>其他</w:t>
      </w:r>
      <w:r w:rsidRPr="00210110">
        <w:t>无关信息。</w:t>
      </w:r>
    </w:p>
    <w:p w14:paraId="54BA06A4" w14:textId="10F448FD" w:rsidR="00201A42" w:rsidRPr="00DA3766" w:rsidRDefault="00201A42" w:rsidP="00201A42">
      <w:pPr>
        <w:pStyle w:val="005"/>
        <w:spacing w:before="120" w:after="120"/>
        <w:ind w:firstLine="480"/>
      </w:pPr>
      <w:r>
        <w:rPr>
          <w:rFonts w:hint="eastAsia"/>
        </w:rPr>
        <w:t>标的公司提供会员服务时，在部分特定场景里存在</w:t>
      </w:r>
      <w:r w:rsidRPr="004F3D03">
        <w:t>收集用户名、手机号等个人信息</w:t>
      </w:r>
      <w:r>
        <w:rPr>
          <w:rFonts w:hint="eastAsia"/>
        </w:rPr>
        <w:t>的情形，但不涉及收集用户身份证号、银行卡号等敏感信息。标的公司在收集相关信息时遵循用户自愿授权原则，</w:t>
      </w:r>
      <w:r w:rsidRPr="004F3D03">
        <w:t>所有个人信息均由用户主动选择提供</w:t>
      </w:r>
      <w:r>
        <w:rPr>
          <w:rFonts w:hint="eastAsia"/>
        </w:rPr>
        <w:t>，</w:t>
      </w:r>
      <w:r w:rsidRPr="004F3D03">
        <w:t>用户可自主决定是否开通相关业务及提供对应信息</w:t>
      </w:r>
      <w:r>
        <w:rPr>
          <w:rFonts w:hint="eastAsia"/>
        </w:rPr>
        <w:t>。此外，</w:t>
      </w:r>
      <w:r w:rsidRPr="004F3D03">
        <w:t>在用户授权或填写信息前，标的公司通过弹窗提示、服务协议等明确方式，告知用户信息收集的目的、使用范围</w:t>
      </w:r>
      <w:r>
        <w:rPr>
          <w:rFonts w:hint="eastAsia"/>
        </w:rPr>
        <w:t>等</w:t>
      </w:r>
      <w:r w:rsidRPr="004F3D03">
        <w:t>情况，</w:t>
      </w:r>
      <w:r>
        <w:rPr>
          <w:rFonts w:hint="eastAsia"/>
        </w:rPr>
        <w:t>履行明确告知义务。</w:t>
      </w:r>
    </w:p>
    <w:p w14:paraId="78E2BB87" w14:textId="64271BB8" w:rsidR="00A661C3"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（一）标的资产开展业务存在收集用户个人信息的情形</w:t>
      </w:r>
    </w:p>
    <w:p w14:paraId="155F6D28" w14:textId="77777777" w:rsidR="002E31DE" w:rsidRDefault="002E31DE" w:rsidP="002E31DE">
      <w:pPr>
        <w:pStyle w:val="005"/>
        <w:spacing w:before="120" w:after="120"/>
        <w:ind w:firstLine="480"/>
      </w:pPr>
      <w:r w:rsidRPr="00210110">
        <w:t>标的公司在提供</w:t>
      </w:r>
      <w:r>
        <w:rPr>
          <w:rFonts w:hint="eastAsia"/>
        </w:rPr>
        <w:t>除会员服务外的</w:t>
      </w:r>
      <w:r>
        <w:rPr>
          <w:rFonts w:hint="eastAsia"/>
        </w:rPr>
        <w:t>SaaS</w:t>
      </w:r>
      <w:r>
        <w:rPr>
          <w:rFonts w:hint="eastAsia"/>
        </w:rPr>
        <w:t>云平台服务</w:t>
      </w:r>
      <w:r w:rsidRPr="00210110">
        <w:t>时，仅收集非敏感通用信息，</w:t>
      </w:r>
      <w:r>
        <w:rPr>
          <w:rFonts w:hint="eastAsia"/>
        </w:rPr>
        <w:t>如</w:t>
      </w:r>
      <w:r w:rsidRPr="00210110">
        <w:t>微信</w:t>
      </w:r>
      <w:r w:rsidRPr="00210110">
        <w:t>/</w:t>
      </w:r>
      <w:r w:rsidRPr="00210110">
        <w:t>支付宝的</w:t>
      </w:r>
      <w:r w:rsidRPr="00210110">
        <w:t>Open ID</w:t>
      </w:r>
      <w:r w:rsidRPr="00210110">
        <w:t>、用户昵称等平台公开标识类信息</w:t>
      </w:r>
      <w:r>
        <w:rPr>
          <w:rFonts w:hint="eastAsia"/>
        </w:rPr>
        <w:t>。前述信息</w:t>
      </w:r>
      <w:r w:rsidRPr="00210110">
        <w:t>仅用于实现设备功能交互，不涉及任何可直接关联个人隐私的敏感数据（如手机号、地理位置、身份证号、银行卡信息等）</w:t>
      </w:r>
      <w:r>
        <w:rPr>
          <w:rFonts w:hint="eastAsia"/>
        </w:rPr>
        <w:t>。标的公司在信息</w:t>
      </w:r>
      <w:r w:rsidRPr="00210110">
        <w:t>收集过程</w:t>
      </w:r>
      <w:r>
        <w:rPr>
          <w:rFonts w:hint="eastAsia"/>
        </w:rPr>
        <w:t>中严格</w:t>
      </w:r>
      <w:r w:rsidRPr="00210110">
        <w:t>遵循</w:t>
      </w:r>
      <w:r>
        <w:rPr>
          <w:rFonts w:hint="eastAsia"/>
        </w:rPr>
        <w:t>“</w:t>
      </w:r>
      <w:r w:rsidRPr="00210110">
        <w:t>最小必要</w:t>
      </w:r>
      <w:r>
        <w:rPr>
          <w:rFonts w:hint="eastAsia"/>
        </w:rPr>
        <w:t>”</w:t>
      </w:r>
      <w:r w:rsidRPr="00210110">
        <w:t>原则，不额外获取</w:t>
      </w:r>
      <w:r>
        <w:rPr>
          <w:rFonts w:hint="eastAsia"/>
        </w:rPr>
        <w:t>其他</w:t>
      </w:r>
      <w:r w:rsidRPr="00210110">
        <w:t>无关信息。</w:t>
      </w:r>
    </w:p>
    <w:p w14:paraId="63A4220F" w14:textId="08EB4EFB" w:rsidR="002E31DE" w:rsidRPr="00DA3766" w:rsidRDefault="002E31DE" w:rsidP="002E31DE">
      <w:pPr>
        <w:pStyle w:val="005"/>
        <w:spacing w:before="120" w:after="120"/>
        <w:ind w:firstLine="480"/>
      </w:pPr>
      <w:r>
        <w:rPr>
          <w:rFonts w:hint="eastAsia"/>
        </w:rPr>
        <w:t>标的公司提供会员服务时，在部分特定场景里存在</w:t>
      </w:r>
      <w:r w:rsidRPr="004F3D03">
        <w:t>收集用户名、手机号等个人信息</w:t>
      </w:r>
      <w:r>
        <w:rPr>
          <w:rFonts w:hint="eastAsia"/>
        </w:rPr>
        <w:t>的情形，但不涉及收集用户身份证号、银行卡号等敏感信息。标的公司在收集相关信息时遵循用户自愿授权原则，</w:t>
      </w:r>
      <w:r w:rsidRPr="004F3D03">
        <w:t>所有个人信息均由用户主动选择提供</w:t>
      </w:r>
      <w:r>
        <w:rPr>
          <w:rFonts w:hint="eastAsia"/>
        </w:rPr>
        <w:t>，</w:t>
      </w:r>
      <w:r w:rsidRPr="004F3D03">
        <w:t>用户可自主决定是否开通相关业务及提供对应信息</w:t>
      </w:r>
      <w:r>
        <w:rPr>
          <w:rFonts w:hint="eastAsia"/>
        </w:rPr>
        <w:t>。此外，</w:t>
      </w:r>
      <w:r w:rsidRPr="004F3D03">
        <w:t>在用户授权或填写信息前，标的公司通过弹窗提示、服务协议等明确方式，告知用户信息收集的目的、使用范围</w:t>
      </w:r>
      <w:r>
        <w:rPr>
          <w:rFonts w:hint="eastAsia"/>
        </w:rPr>
        <w:t>等</w:t>
      </w:r>
      <w:r w:rsidRPr="004F3D03">
        <w:t>情况，</w:t>
      </w:r>
      <w:r>
        <w:rPr>
          <w:rFonts w:hint="eastAsia"/>
        </w:rPr>
        <w:t>履行明确告知义务。</w:t>
      </w:r>
    </w:p>
    <w:p w14:paraId="2A1C1BDA"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lastRenderedPageBreak/>
        <w:t>（二）补充说明标的资产互联网相关业务的经营合规性、用户个人信息收集使用的合规性</w:t>
      </w:r>
    </w:p>
    <w:p w14:paraId="1365334B"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、标的资产互联网相关业务的经营合规性</w:t>
      </w:r>
    </w:p>
    <w:p w14:paraId="2C6D8775" w14:textId="68D584C9" w:rsidR="00A661C3" w:rsidRPr="00DA3766" w:rsidRDefault="00A661C3" w:rsidP="007E30A6">
      <w:pPr>
        <w:pStyle w:val="005"/>
        <w:spacing w:before="120" w:after="120"/>
        <w:ind w:firstLine="480"/>
        <w:rPr>
          <w:snapToGrid w:val="0"/>
        </w:rPr>
      </w:pPr>
      <w:r w:rsidRPr="00DA3766">
        <w:rPr>
          <w:snapToGrid w:val="0"/>
        </w:rPr>
        <w:t>根据标的资产提供的相关材料，报告期内，星云开物及其子公司开展的互联网相关业务主要包括：（</w:t>
      </w:r>
      <w:r w:rsidRPr="00DA3766">
        <w:rPr>
          <w:snapToGrid w:val="0"/>
        </w:rPr>
        <w:t>1</w:t>
      </w:r>
      <w:r w:rsidRPr="00DA3766">
        <w:rPr>
          <w:snapToGrid w:val="0"/>
        </w:rPr>
        <w:t>）通过</w:t>
      </w:r>
      <w:r w:rsidRPr="00DA3766">
        <w:rPr>
          <w:snapToGrid w:val="0"/>
        </w:rPr>
        <w:t>APP</w:t>
      </w:r>
      <w:r w:rsidRPr="00DA3766">
        <w:rPr>
          <w:snapToGrid w:val="0"/>
        </w:rPr>
        <w:t>应用程序为用户提供洗水业务</w:t>
      </w:r>
      <w:r w:rsidRPr="00DA3766">
        <w:rPr>
          <w:snapToGrid w:val="0"/>
        </w:rPr>
        <w:t>C</w:t>
      </w:r>
      <w:r w:rsidRPr="00DA3766">
        <w:rPr>
          <w:snapToGrid w:val="0"/>
        </w:rPr>
        <w:t>端、充电业务</w:t>
      </w:r>
      <w:r w:rsidRPr="00DA3766">
        <w:rPr>
          <w:snapToGrid w:val="0"/>
        </w:rPr>
        <w:t>C</w:t>
      </w:r>
      <w:r w:rsidRPr="00DA3766">
        <w:rPr>
          <w:snapToGrid w:val="0"/>
        </w:rPr>
        <w:t>端、</w:t>
      </w:r>
      <w:r w:rsidRPr="00DA3766">
        <w:rPr>
          <w:snapToGrid w:val="0"/>
        </w:rPr>
        <w:t>B</w:t>
      </w:r>
      <w:r w:rsidRPr="00DA3766">
        <w:rPr>
          <w:snapToGrid w:val="0"/>
        </w:rPr>
        <w:t>端商家、二轮车运维、门店进行会员入会、充值、兑换礼品等服务，同时也可以提供给商户管理人员用以查看门店营收</w:t>
      </w:r>
      <w:r w:rsidRPr="00DA3766">
        <w:rPr>
          <w:snapToGrid w:val="0"/>
        </w:rPr>
        <w:t>/</w:t>
      </w:r>
      <w:r w:rsidRPr="00DA3766">
        <w:rPr>
          <w:snapToGrid w:val="0"/>
        </w:rPr>
        <w:t>设备营收情况</w:t>
      </w:r>
      <w:r w:rsidRPr="00DA3766">
        <w:rPr>
          <w:snapToGrid w:val="0"/>
        </w:rPr>
        <w:t>/</w:t>
      </w:r>
      <w:r w:rsidRPr="00DA3766">
        <w:rPr>
          <w:snapToGrid w:val="0"/>
        </w:rPr>
        <w:t>商品管理</w:t>
      </w:r>
      <w:r w:rsidRPr="00DA3766">
        <w:rPr>
          <w:snapToGrid w:val="0"/>
        </w:rPr>
        <w:t>/</w:t>
      </w:r>
      <w:r w:rsidRPr="00DA3766">
        <w:rPr>
          <w:snapToGrid w:val="0"/>
        </w:rPr>
        <w:t>商品出入库</w:t>
      </w:r>
      <w:r w:rsidRPr="00DA3766">
        <w:rPr>
          <w:snapToGrid w:val="0"/>
        </w:rPr>
        <w:t>/</w:t>
      </w:r>
      <w:r w:rsidRPr="00DA3766">
        <w:rPr>
          <w:snapToGrid w:val="0"/>
        </w:rPr>
        <w:t>盘点等服务。（</w:t>
      </w:r>
      <w:r w:rsidR="00E3564E" w:rsidRPr="00DA3766">
        <w:rPr>
          <w:snapToGrid w:val="0"/>
        </w:rPr>
        <w:t>2</w:t>
      </w:r>
      <w:r w:rsidRPr="00DA3766">
        <w:rPr>
          <w:snapToGrid w:val="0"/>
        </w:rPr>
        <w:t>）通过小程序为用户提供设备启动服务。</w:t>
      </w:r>
    </w:p>
    <w:p w14:paraId="00F26ABA" w14:textId="77777777" w:rsidR="00A661C3" w:rsidRPr="00DA3766" w:rsidRDefault="00A661C3" w:rsidP="007E30A6">
      <w:pPr>
        <w:pStyle w:val="005"/>
        <w:spacing w:before="120" w:after="120"/>
        <w:ind w:firstLine="480"/>
        <w:rPr>
          <w:snapToGrid w:val="0"/>
        </w:rPr>
      </w:pPr>
      <w:r w:rsidRPr="00DA3766">
        <w:rPr>
          <w:snapToGrid w:val="0"/>
        </w:rPr>
        <w:t>企业通过</w:t>
      </w:r>
      <w:r w:rsidRPr="00DA3766">
        <w:rPr>
          <w:snapToGrid w:val="0"/>
        </w:rPr>
        <w:t>APP</w:t>
      </w:r>
      <w:r w:rsidRPr="00DA3766">
        <w:rPr>
          <w:snapToGrid w:val="0"/>
        </w:rPr>
        <w:t>、小程序等形式向上网用户提供信息属于互联网信息服务。根据《互联网信息服务管理办法》规定，互联网信息服务依据是否有偿提供分为经营性和非经营性两类，从事经营性互联网信息服务的，应当取得增值电信业务经营许可证；从事非经营性互联网信息服务的，应当办理备案手续（下称</w:t>
      </w:r>
      <w:r w:rsidRPr="00DA3766">
        <w:rPr>
          <w:rFonts w:ascii="宋体" w:hAnsi="宋体"/>
          <w:snapToGrid w:val="0"/>
        </w:rPr>
        <w:t>“</w:t>
      </w:r>
      <w:r w:rsidRPr="00DA3766">
        <w:rPr>
          <w:snapToGrid w:val="0"/>
        </w:rPr>
        <w:t>ICP</w:t>
      </w:r>
      <w:r w:rsidRPr="00DA3766">
        <w:rPr>
          <w:snapToGrid w:val="0"/>
        </w:rPr>
        <w:t>备案</w:t>
      </w:r>
      <w:r w:rsidRPr="00DA3766">
        <w:rPr>
          <w:rFonts w:ascii="宋体" w:hAnsi="宋体"/>
          <w:snapToGrid w:val="0"/>
        </w:rPr>
        <w:t>”</w:t>
      </w:r>
      <w:r w:rsidRPr="00DA3766">
        <w:rPr>
          <w:snapToGrid w:val="0"/>
        </w:rPr>
        <w:t>）。标的资产目前已经取得对应的增值电信业务经营许可证，具体如下：</w:t>
      </w:r>
    </w:p>
    <w:tbl>
      <w:tblPr>
        <w:tblStyle w:val="181"/>
        <w:tblW w:w="5136" w:type="pct"/>
        <w:jc w:val="center"/>
        <w:tblBorders>
          <w:top w:val="thinThickSmallGap" w:sz="24" w:space="0" w:color="auto"/>
          <w:bottom w:val="thickThinSmallGap" w:sz="24" w:space="0" w:color="auto"/>
        </w:tblBorders>
        <w:tblLook w:val="04A0" w:firstRow="1" w:lastRow="0" w:firstColumn="1" w:lastColumn="0" w:noHBand="0" w:noVBand="1"/>
      </w:tblPr>
      <w:tblGrid>
        <w:gridCol w:w="750"/>
        <w:gridCol w:w="1065"/>
        <w:gridCol w:w="1682"/>
        <w:gridCol w:w="1577"/>
        <w:gridCol w:w="1610"/>
        <w:gridCol w:w="2076"/>
      </w:tblGrid>
      <w:tr w:rsidR="00A661C3" w:rsidRPr="00DA3766" w14:paraId="3B2E3824" w14:textId="77777777" w:rsidTr="004C2193">
        <w:trPr>
          <w:trHeight w:val="397"/>
          <w:tblHeader/>
          <w:jc w:val="center"/>
        </w:trPr>
        <w:tc>
          <w:tcPr>
            <w:tcW w:w="428" w:type="pct"/>
            <w:tcMar>
              <w:top w:w="0" w:type="dxa"/>
              <w:bottom w:w="0" w:type="dxa"/>
            </w:tcMar>
            <w:vAlign w:val="center"/>
          </w:tcPr>
          <w:p w14:paraId="6EF4FF2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序号</w:t>
            </w:r>
          </w:p>
        </w:tc>
        <w:tc>
          <w:tcPr>
            <w:tcW w:w="608" w:type="pct"/>
            <w:tcMar>
              <w:top w:w="0" w:type="dxa"/>
              <w:bottom w:w="0" w:type="dxa"/>
            </w:tcMar>
            <w:vAlign w:val="center"/>
          </w:tcPr>
          <w:p w14:paraId="47EDE4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持证主体</w:t>
            </w:r>
          </w:p>
        </w:tc>
        <w:tc>
          <w:tcPr>
            <w:tcW w:w="960" w:type="pct"/>
            <w:tcMar>
              <w:top w:w="0" w:type="dxa"/>
              <w:bottom w:w="0" w:type="dxa"/>
            </w:tcMar>
            <w:vAlign w:val="center"/>
          </w:tcPr>
          <w:p w14:paraId="0C6F32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证书名称</w:t>
            </w:r>
          </w:p>
        </w:tc>
        <w:tc>
          <w:tcPr>
            <w:tcW w:w="900" w:type="pct"/>
            <w:tcMar>
              <w:top w:w="0" w:type="dxa"/>
              <w:bottom w:w="0" w:type="dxa"/>
            </w:tcMar>
            <w:vAlign w:val="center"/>
          </w:tcPr>
          <w:p w14:paraId="20FB35B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证书编号</w:t>
            </w:r>
          </w:p>
        </w:tc>
        <w:tc>
          <w:tcPr>
            <w:tcW w:w="919" w:type="pct"/>
            <w:tcMar>
              <w:top w:w="0" w:type="dxa"/>
              <w:bottom w:w="0" w:type="dxa"/>
            </w:tcMar>
            <w:vAlign w:val="center"/>
          </w:tcPr>
          <w:p w14:paraId="60485C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有效期限（至）</w:t>
            </w:r>
          </w:p>
        </w:tc>
        <w:tc>
          <w:tcPr>
            <w:tcW w:w="1185" w:type="pct"/>
            <w:tcMar>
              <w:top w:w="0" w:type="dxa"/>
              <w:bottom w:w="0" w:type="dxa"/>
            </w:tcMar>
            <w:vAlign w:val="center"/>
          </w:tcPr>
          <w:p w14:paraId="53212FA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发证机关</w:t>
            </w:r>
          </w:p>
        </w:tc>
      </w:tr>
      <w:tr w:rsidR="00A661C3" w:rsidRPr="00DA3766" w14:paraId="2FC5CEC9" w14:textId="77777777" w:rsidTr="004C2193">
        <w:trPr>
          <w:trHeight w:val="397"/>
          <w:jc w:val="center"/>
        </w:trPr>
        <w:tc>
          <w:tcPr>
            <w:tcW w:w="428" w:type="pct"/>
            <w:tcMar>
              <w:top w:w="0" w:type="dxa"/>
              <w:bottom w:w="0" w:type="dxa"/>
            </w:tcMar>
            <w:vAlign w:val="center"/>
          </w:tcPr>
          <w:p w14:paraId="772C9D6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608" w:type="pct"/>
            <w:tcMar>
              <w:top w:w="0" w:type="dxa"/>
              <w:bottom w:w="0" w:type="dxa"/>
            </w:tcMar>
            <w:vAlign w:val="center"/>
          </w:tcPr>
          <w:p w14:paraId="05A09B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星云开物</w:t>
            </w:r>
          </w:p>
        </w:tc>
        <w:tc>
          <w:tcPr>
            <w:tcW w:w="960" w:type="pct"/>
            <w:tcMar>
              <w:top w:w="0" w:type="dxa"/>
              <w:bottom w:w="0" w:type="dxa"/>
            </w:tcMar>
            <w:vAlign w:val="center"/>
          </w:tcPr>
          <w:p w14:paraId="7D8586F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0696E7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4D3F4DA0" w14:textId="72D18328"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B2-20190058</w:t>
            </w:r>
          </w:p>
        </w:tc>
        <w:tc>
          <w:tcPr>
            <w:tcW w:w="919" w:type="pct"/>
            <w:tcMar>
              <w:top w:w="0" w:type="dxa"/>
              <w:bottom w:w="0" w:type="dxa"/>
            </w:tcMar>
            <w:vAlign w:val="center"/>
          </w:tcPr>
          <w:p w14:paraId="1091DA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2029.08.26</w:t>
            </w:r>
          </w:p>
        </w:tc>
        <w:tc>
          <w:tcPr>
            <w:tcW w:w="1185" w:type="pct"/>
            <w:tcMar>
              <w:top w:w="0" w:type="dxa"/>
              <w:bottom w:w="0" w:type="dxa"/>
            </w:tcMar>
            <w:vAlign w:val="center"/>
          </w:tcPr>
          <w:p w14:paraId="46651A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40B6844D" w14:textId="77777777" w:rsidTr="004C2193">
        <w:trPr>
          <w:trHeight w:val="397"/>
          <w:jc w:val="center"/>
        </w:trPr>
        <w:tc>
          <w:tcPr>
            <w:tcW w:w="428" w:type="pct"/>
            <w:tcMar>
              <w:top w:w="0" w:type="dxa"/>
              <w:bottom w:w="0" w:type="dxa"/>
            </w:tcMar>
            <w:vAlign w:val="center"/>
          </w:tcPr>
          <w:p w14:paraId="529AB7B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608" w:type="pct"/>
            <w:tcMar>
              <w:top w:w="0" w:type="dxa"/>
              <w:bottom w:w="0" w:type="dxa"/>
            </w:tcMar>
            <w:vAlign w:val="center"/>
          </w:tcPr>
          <w:p w14:paraId="1486678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易普乐</w:t>
            </w:r>
          </w:p>
        </w:tc>
        <w:tc>
          <w:tcPr>
            <w:tcW w:w="960" w:type="pct"/>
            <w:tcMar>
              <w:top w:w="0" w:type="dxa"/>
              <w:bottom w:w="0" w:type="dxa"/>
            </w:tcMar>
            <w:vAlign w:val="center"/>
          </w:tcPr>
          <w:p w14:paraId="033F936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3906573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w:t>
            </w:r>
            <w:r w:rsidRPr="00DA3766">
              <w:rPr>
                <w:rFonts w:ascii="Times New Roman" w:hAnsi="Times New Roman" w:cs="Times New Roman"/>
                <w:color w:val="000000"/>
                <w:sz w:val="21"/>
                <w:szCs w:val="21"/>
              </w:rPr>
              <w:t xml:space="preserve"> B2-20211040</w:t>
            </w:r>
          </w:p>
        </w:tc>
        <w:tc>
          <w:tcPr>
            <w:tcW w:w="919" w:type="pct"/>
            <w:tcMar>
              <w:top w:w="0" w:type="dxa"/>
              <w:bottom w:w="0" w:type="dxa"/>
            </w:tcMar>
            <w:vAlign w:val="center"/>
          </w:tcPr>
          <w:p w14:paraId="434DBF4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2026.08.09</w:t>
            </w:r>
          </w:p>
        </w:tc>
        <w:tc>
          <w:tcPr>
            <w:tcW w:w="1185" w:type="pct"/>
            <w:tcMar>
              <w:top w:w="0" w:type="dxa"/>
              <w:bottom w:w="0" w:type="dxa"/>
            </w:tcMar>
            <w:vAlign w:val="center"/>
          </w:tcPr>
          <w:p w14:paraId="18B05B9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江苏省通信管理局</w:t>
            </w:r>
          </w:p>
        </w:tc>
      </w:tr>
      <w:tr w:rsidR="00A661C3" w:rsidRPr="00DA3766" w14:paraId="37C6EBED" w14:textId="77777777" w:rsidTr="004C2193">
        <w:trPr>
          <w:trHeight w:val="397"/>
          <w:jc w:val="center"/>
        </w:trPr>
        <w:tc>
          <w:tcPr>
            <w:tcW w:w="428" w:type="pct"/>
            <w:tcMar>
              <w:top w:w="0" w:type="dxa"/>
              <w:bottom w:w="0" w:type="dxa"/>
            </w:tcMar>
            <w:vAlign w:val="center"/>
          </w:tcPr>
          <w:p w14:paraId="34FE4CA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608" w:type="pct"/>
            <w:tcMar>
              <w:top w:w="0" w:type="dxa"/>
              <w:bottom w:w="0" w:type="dxa"/>
            </w:tcMar>
            <w:vAlign w:val="center"/>
          </w:tcPr>
          <w:p w14:paraId="1ACF4B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乐联盟</w:t>
            </w:r>
          </w:p>
        </w:tc>
        <w:tc>
          <w:tcPr>
            <w:tcW w:w="960" w:type="pct"/>
            <w:tcMar>
              <w:top w:w="0" w:type="dxa"/>
              <w:bottom w:w="0" w:type="dxa"/>
            </w:tcMar>
            <w:vAlign w:val="center"/>
          </w:tcPr>
          <w:p w14:paraId="1D906D7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48C4C47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3FB1558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B2-20210156</w:t>
            </w:r>
          </w:p>
        </w:tc>
        <w:tc>
          <w:tcPr>
            <w:tcW w:w="919" w:type="pct"/>
            <w:tcMar>
              <w:top w:w="0" w:type="dxa"/>
              <w:bottom w:w="0" w:type="dxa"/>
            </w:tcMar>
            <w:vAlign w:val="center"/>
          </w:tcPr>
          <w:p w14:paraId="112B0F8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2026.06.03</w:t>
            </w:r>
          </w:p>
        </w:tc>
        <w:tc>
          <w:tcPr>
            <w:tcW w:w="1185" w:type="pct"/>
            <w:tcMar>
              <w:top w:w="0" w:type="dxa"/>
              <w:bottom w:w="0" w:type="dxa"/>
            </w:tcMar>
            <w:vAlign w:val="center"/>
          </w:tcPr>
          <w:p w14:paraId="3BFEC48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19737281" w14:textId="77777777" w:rsidTr="004C2193">
        <w:trPr>
          <w:trHeight w:val="397"/>
          <w:jc w:val="center"/>
        </w:trPr>
        <w:tc>
          <w:tcPr>
            <w:tcW w:w="428" w:type="pct"/>
            <w:tcMar>
              <w:top w:w="0" w:type="dxa"/>
              <w:bottom w:w="0" w:type="dxa"/>
            </w:tcMar>
            <w:vAlign w:val="center"/>
          </w:tcPr>
          <w:p w14:paraId="6555BE5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608" w:type="pct"/>
            <w:tcMar>
              <w:top w:w="0" w:type="dxa"/>
              <w:bottom w:w="0" w:type="dxa"/>
            </w:tcMar>
            <w:vAlign w:val="center"/>
          </w:tcPr>
          <w:p w14:paraId="2574B2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亦强科技</w:t>
            </w:r>
          </w:p>
        </w:tc>
        <w:tc>
          <w:tcPr>
            <w:tcW w:w="960" w:type="pct"/>
            <w:tcMar>
              <w:top w:w="0" w:type="dxa"/>
              <w:bottom w:w="0" w:type="dxa"/>
            </w:tcMar>
            <w:vAlign w:val="center"/>
          </w:tcPr>
          <w:p w14:paraId="08ECF1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04EF602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6E481AA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B2-20220113</w:t>
            </w:r>
          </w:p>
        </w:tc>
        <w:tc>
          <w:tcPr>
            <w:tcW w:w="919" w:type="pct"/>
            <w:tcMar>
              <w:top w:w="0" w:type="dxa"/>
              <w:bottom w:w="0" w:type="dxa"/>
            </w:tcMar>
            <w:vAlign w:val="center"/>
          </w:tcPr>
          <w:p w14:paraId="5F33166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2027.03.29</w:t>
            </w:r>
          </w:p>
        </w:tc>
        <w:tc>
          <w:tcPr>
            <w:tcW w:w="1185" w:type="pct"/>
            <w:tcMar>
              <w:top w:w="0" w:type="dxa"/>
              <w:bottom w:w="0" w:type="dxa"/>
            </w:tcMar>
            <w:vAlign w:val="center"/>
          </w:tcPr>
          <w:p w14:paraId="45EFBE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4FD6A8D4" w14:textId="77777777" w:rsidTr="004C2193">
        <w:trPr>
          <w:trHeight w:val="397"/>
          <w:jc w:val="center"/>
        </w:trPr>
        <w:tc>
          <w:tcPr>
            <w:tcW w:w="428" w:type="pct"/>
            <w:tcMar>
              <w:top w:w="0" w:type="dxa"/>
              <w:bottom w:w="0" w:type="dxa"/>
            </w:tcMar>
            <w:vAlign w:val="center"/>
          </w:tcPr>
          <w:p w14:paraId="7CFC8F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608" w:type="pct"/>
            <w:tcMar>
              <w:top w:w="0" w:type="dxa"/>
              <w:bottom w:w="0" w:type="dxa"/>
            </w:tcMar>
            <w:vAlign w:val="center"/>
          </w:tcPr>
          <w:p w14:paraId="0016931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杭州东晙</w:t>
            </w:r>
          </w:p>
        </w:tc>
        <w:tc>
          <w:tcPr>
            <w:tcW w:w="960" w:type="pct"/>
            <w:tcMar>
              <w:top w:w="0" w:type="dxa"/>
              <w:bottom w:w="0" w:type="dxa"/>
            </w:tcMar>
            <w:vAlign w:val="center"/>
          </w:tcPr>
          <w:p w14:paraId="7D160B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51D3BDB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4321F57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B2-20210082</w:t>
            </w:r>
          </w:p>
        </w:tc>
        <w:tc>
          <w:tcPr>
            <w:tcW w:w="919" w:type="pct"/>
            <w:tcMar>
              <w:top w:w="0" w:type="dxa"/>
              <w:bottom w:w="0" w:type="dxa"/>
            </w:tcMar>
            <w:vAlign w:val="center"/>
          </w:tcPr>
          <w:p w14:paraId="08D2A3D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2026.03.19</w:t>
            </w:r>
          </w:p>
        </w:tc>
        <w:tc>
          <w:tcPr>
            <w:tcW w:w="1185" w:type="pct"/>
            <w:tcMar>
              <w:top w:w="0" w:type="dxa"/>
              <w:bottom w:w="0" w:type="dxa"/>
            </w:tcMar>
            <w:vAlign w:val="center"/>
          </w:tcPr>
          <w:p w14:paraId="13E4E94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60DBCBF9" w14:textId="77777777" w:rsidTr="004C2193">
        <w:trPr>
          <w:trHeight w:val="397"/>
          <w:jc w:val="center"/>
        </w:trPr>
        <w:tc>
          <w:tcPr>
            <w:tcW w:w="428" w:type="pct"/>
            <w:tcMar>
              <w:top w:w="0" w:type="dxa"/>
              <w:bottom w:w="0" w:type="dxa"/>
            </w:tcMar>
            <w:vAlign w:val="center"/>
          </w:tcPr>
          <w:p w14:paraId="7917AA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608" w:type="pct"/>
            <w:tcMar>
              <w:top w:w="0" w:type="dxa"/>
              <w:bottom w:w="0" w:type="dxa"/>
            </w:tcMar>
            <w:vAlign w:val="center"/>
          </w:tcPr>
          <w:p w14:paraId="1C042A4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乐爽信息</w:t>
            </w:r>
          </w:p>
        </w:tc>
        <w:tc>
          <w:tcPr>
            <w:tcW w:w="960" w:type="pct"/>
            <w:tcMar>
              <w:top w:w="0" w:type="dxa"/>
              <w:bottom w:w="0" w:type="dxa"/>
            </w:tcMar>
            <w:vAlign w:val="center"/>
          </w:tcPr>
          <w:p w14:paraId="66D593E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2A9880D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w:t>
            </w:r>
            <w:r w:rsidRPr="00DA3766">
              <w:rPr>
                <w:rFonts w:ascii="Times New Roman" w:hAnsi="Times New Roman" w:cs="Times New Roman"/>
                <w:color w:val="000000"/>
                <w:sz w:val="21"/>
                <w:szCs w:val="21"/>
              </w:rPr>
              <w:t xml:space="preserve"> B2-20220760</w:t>
            </w:r>
          </w:p>
        </w:tc>
        <w:tc>
          <w:tcPr>
            <w:tcW w:w="919" w:type="pct"/>
            <w:tcMar>
              <w:top w:w="0" w:type="dxa"/>
              <w:bottom w:w="0" w:type="dxa"/>
            </w:tcMar>
            <w:vAlign w:val="center"/>
          </w:tcPr>
          <w:p w14:paraId="379312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2027.05.30</w:t>
            </w:r>
          </w:p>
        </w:tc>
        <w:tc>
          <w:tcPr>
            <w:tcW w:w="1185" w:type="pct"/>
            <w:tcMar>
              <w:top w:w="0" w:type="dxa"/>
              <w:bottom w:w="0" w:type="dxa"/>
            </w:tcMar>
            <w:vAlign w:val="center"/>
          </w:tcPr>
          <w:p w14:paraId="20365EB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0A675FA0" w14:textId="77777777" w:rsidTr="004C2193">
        <w:trPr>
          <w:trHeight w:val="397"/>
          <w:jc w:val="center"/>
        </w:trPr>
        <w:tc>
          <w:tcPr>
            <w:tcW w:w="428" w:type="pct"/>
            <w:tcMar>
              <w:top w:w="0" w:type="dxa"/>
              <w:bottom w:w="0" w:type="dxa"/>
            </w:tcMar>
            <w:vAlign w:val="center"/>
          </w:tcPr>
          <w:p w14:paraId="6B2CEC3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608" w:type="pct"/>
            <w:tcMar>
              <w:top w:w="0" w:type="dxa"/>
              <w:bottom w:w="0" w:type="dxa"/>
            </w:tcMar>
            <w:vAlign w:val="center"/>
          </w:tcPr>
          <w:p w14:paraId="356EF5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广州宝点</w:t>
            </w:r>
          </w:p>
        </w:tc>
        <w:tc>
          <w:tcPr>
            <w:tcW w:w="960" w:type="pct"/>
            <w:tcMar>
              <w:top w:w="0" w:type="dxa"/>
              <w:bottom w:w="0" w:type="dxa"/>
            </w:tcMar>
            <w:vAlign w:val="center"/>
          </w:tcPr>
          <w:p w14:paraId="7CC2F75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00" w:type="pct"/>
            <w:tcMar>
              <w:top w:w="0" w:type="dxa"/>
              <w:bottom w:w="0" w:type="dxa"/>
            </w:tcMar>
            <w:vAlign w:val="center"/>
          </w:tcPr>
          <w:p w14:paraId="5E9841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1223930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B2-20210267</w:t>
            </w:r>
          </w:p>
        </w:tc>
        <w:tc>
          <w:tcPr>
            <w:tcW w:w="919" w:type="pct"/>
            <w:tcMar>
              <w:top w:w="0" w:type="dxa"/>
              <w:bottom w:w="0" w:type="dxa"/>
            </w:tcMar>
            <w:vAlign w:val="center"/>
          </w:tcPr>
          <w:p w14:paraId="79CC41E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2026.08.25</w:t>
            </w:r>
          </w:p>
        </w:tc>
        <w:tc>
          <w:tcPr>
            <w:tcW w:w="1185" w:type="pct"/>
            <w:tcMar>
              <w:top w:w="0" w:type="dxa"/>
              <w:bottom w:w="0" w:type="dxa"/>
            </w:tcMar>
            <w:vAlign w:val="center"/>
          </w:tcPr>
          <w:p w14:paraId="2C09AE1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bl>
    <w:p w14:paraId="4D91D89A" w14:textId="59596AF0" w:rsidR="00BD1DC0" w:rsidRPr="00DA3766" w:rsidRDefault="00BD1DC0" w:rsidP="00BD1DC0">
      <w:pPr>
        <w:pStyle w:val="005"/>
        <w:spacing w:before="120" w:after="120"/>
        <w:ind w:firstLine="480"/>
      </w:pPr>
      <w:r w:rsidRPr="00DA3766">
        <w:t>综上所述，标的资产互联网相关业务</w:t>
      </w:r>
      <w:r w:rsidR="005E2A13" w:rsidRPr="00DA3766">
        <w:t>具有经营合规性</w:t>
      </w:r>
      <w:r w:rsidRPr="00DA3766">
        <w:t>。</w:t>
      </w:r>
    </w:p>
    <w:p w14:paraId="3ACC3F5D" w14:textId="0511679D"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、用户个人信息收集使用的合规性</w:t>
      </w:r>
    </w:p>
    <w:p w14:paraId="48A79C24" w14:textId="07C0AEA8" w:rsidR="00A661C3" w:rsidRPr="00DA3766" w:rsidRDefault="00A661C3" w:rsidP="007E30A6">
      <w:pPr>
        <w:pStyle w:val="005"/>
        <w:spacing w:before="120" w:after="120"/>
        <w:ind w:firstLine="480"/>
        <w:rPr>
          <w:snapToGrid w:val="0"/>
        </w:rPr>
      </w:pPr>
      <w:r w:rsidRPr="00DA3766">
        <w:rPr>
          <w:snapToGrid w:val="0"/>
        </w:rPr>
        <w:t>截</w:t>
      </w:r>
      <w:r w:rsidR="00E3564E" w:rsidRPr="00DA3766">
        <w:rPr>
          <w:snapToGrid w:val="0"/>
        </w:rPr>
        <w:t>至</w:t>
      </w:r>
      <w:r w:rsidRPr="00DA3766">
        <w:rPr>
          <w:snapToGrid w:val="0"/>
        </w:rPr>
        <w:t>本回复出具之日，根据《</w:t>
      </w:r>
      <w:r w:rsidRPr="00DA3766">
        <w:rPr>
          <w:snapToGrid w:val="0"/>
        </w:rPr>
        <w:t>APP</w:t>
      </w:r>
      <w:r w:rsidRPr="00DA3766">
        <w:rPr>
          <w:snapToGrid w:val="0"/>
        </w:rPr>
        <w:t>违法违规收集使用个人信息行为认定方法》等相关法律法规，标的资产涉及个人数据收集的</w:t>
      </w:r>
      <w:r w:rsidRPr="00DA3766">
        <w:rPr>
          <w:snapToGrid w:val="0"/>
        </w:rPr>
        <w:t>APP</w:t>
      </w:r>
      <w:r w:rsidRPr="00DA3766">
        <w:rPr>
          <w:snapToGrid w:val="0"/>
        </w:rPr>
        <w:t>或小程序是否存在违法违规收集个人信息问题的比对情况如下：</w:t>
      </w:r>
    </w:p>
    <w:tbl>
      <w:tblPr>
        <w:tblStyle w:val="191"/>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638"/>
        <w:gridCol w:w="4150"/>
        <w:gridCol w:w="3740"/>
      </w:tblGrid>
      <w:tr w:rsidR="00A661C3" w:rsidRPr="00DA3766" w14:paraId="19738825" w14:textId="77777777" w:rsidTr="00DA3766">
        <w:trPr>
          <w:trHeight w:val="397"/>
          <w:tblHeader/>
          <w:jc w:val="center"/>
        </w:trPr>
        <w:tc>
          <w:tcPr>
            <w:tcW w:w="374" w:type="pct"/>
            <w:tcMar>
              <w:top w:w="0" w:type="dxa"/>
              <w:bottom w:w="0" w:type="dxa"/>
            </w:tcMar>
            <w:vAlign w:val="center"/>
          </w:tcPr>
          <w:p w14:paraId="611DE43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lastRenderedPageBreak/>
              <w:t>序号</w:t>
            </w:r>
          </w:p>
        </w:tc>
        <w:tc>
          <w:tcPr>
            <w:tcW w:w="2433" w:type="pct"/>
            <w:tcMar>
              <w:top w:w="0" w:type="dxa"/>
              <w:bottom w:w="0" w:type="dxa"/>
            </w:tcMar>
            <w:vAlign w:val="center"/>
          </w:tcPr>
          <w:p w14:paraId="52CA36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相关事项</w:t>
            </w:r>
          </w:p>
        </w:tc>
        <w:tc>
          <w:tcPr>
            <w:tcW w:w="2191" w:type="pct"/>
            <w:tcMar>
              <w:top w:w="0" w:type="dxa"/>
              <w:bottom w:w="0" w:type="dxa"/>
            </w:tcMar>
            <w:vAlign w:val="center"/>
          </w:tcPr>
          <w:p w14:paraId="329BAE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标的资产实际执行情况</w:t>
            </w:r>
          </w:p>
        </w:tc>
      </w:tr>
      <w:tr w:rsidR="00A661C3" w:rsidRPr="00DA3766" w14:paraId="69BFC1E3" w14:textId="77777777" w:rsidTr="00DA3766">
        <w:trPr>
          <w:trHeight w:val="397"/>
          <w:jc w:val="center"/>
        </w:trPr>
        <w:tc>
          <w:tcPr>
            <w:tcW w:w="5000" w:type="pct"/>
            <w:gridSpan w:val="3"/>
            <w:tcMar>
              <w:top w:w="0" w:type="dxa"/>
              <w:bottom w:w="0" w:type="dxa"/>
            </w:tcMar>
            <w:vAlign w:val="center"/>
          </w:tcPr>
          <w:p w14:paraId="003AC5B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Cs/>
                <w:color w:val="000000"/>
                <w:sz w:val="21"/>
                <w:szCs w:val="21"/>
                <w:lang w:bidi="ar"/>
              </w:rPr>
              <w:t>是否未公开收集使用规则</w:t>
            </w:r>
          </w:p>
        </w:tc>
      </w:tr>
      <w:tr w:rsidR="00A661C3" w:rsidRPr="00DA3766" w14:paraId="35F6C5FD" w14:textId="77777777" w:rsidTr="00DA3766">
        <w:trPr>
          <w:trHeight w:val="397"/>
          <w:jc w:val="center"/>
        </w:trPr>
        <w:tc>
          <w:tcPr>
            <w:tcW w:w="374" w:type="pct"/>
            <w:tcMar>
              <w:top w:w="0" w:type="dxa"/>
              <w:bottom w:w="0" w:type="dxa"/>
            </w:tcMar>
            <w:vAlign w:val="center"/>
          </w:tcPr>
          <w:p w14:paraId="7C7E1B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2433" w:type="pct"/>
            <w:tcMar>
              <w:top w:w="0" w:type="dxa"/>
              <w:bottom w:w="0" w:type="dxa"/>
            </w:tcMar>
            <w:vAlign w:val="center"/>
          </w:tcPr>
          <w:p w14:paraId="0CEFE7E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中没有隐私政策，或者隐私政策中没有收集使用个人信息规则</w:t>
            </w:r>
          </w:p>
        </w:tc>
        <w:tc>
          <w:tcPr>
            <w:tcW w:w="2191" w:type="pct"/>
            <w:tcMar>
              <w:top w:w="0" w:type="dxa"/>
              <w:bottom w:w="0" w:type="dxa"/>
            </w:tcMar>
            <w:vAlign w:val="center"/>
          </w:tcPr>
          <w:p w14:paraId="6AA0CD7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具备《隐私政策》，且《隐私政策》中具有收集个人信息规则</w:t>
            </w:r>
          </w:p>
        </w:tc>
      </w:tr>
      <w:tr w:rsidR="00A661C3" w:rsidRPr="00DA3766" w14:paraId="770E0560" w14:textId="77777777" w:rsidTr="00DA3766">
        <w:trPr>
          <w:trHeight w:val="397"/>
          <w:jc w:val="center"/>
        </w:trPr>
        <w:tc>
          <w:tcPr>
            <w:tcW w:w="374" w:type="pct"/>
            <w:tcMar>
              <w:top w:w="0" w:type="dxa"/>
              <w:bottom w:w="0" w:type="dxa"/>
            </w:tcMar>
            <w:vAlign w:val="center"/>
          </w:tcPr>
          <w:p w14:paraId="5716557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2433" w:type="pct"/>
            <w:tcMar>
              <w:top w:w="0" w:type="dxa"/>
              <w:bottom w:w="0" w:type="dxa"/>
            </w:tcMar>
            <w:vAlign w:val="center"/>
          </w:tcPr>
          <w:p w14:paraId="0EDADA2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首次运行时未通过弹窗等明显方式提示用户阅读隐私政策等收集使用规则</w:t>
            </w:r>
          </w:p>
        </w:tc>
        <w:tc>
          <w:tcPr>
            <w:tcW w:w="2191" w:type="pct"/>
            <w:tcMar>
              <w:top w:w="0" w:type="dxa"/>
              <w:bottom w:w="0" w:type="dxa"/>
            </w:tcMar>
            <w:vAlign w:val="center"/>
          </w:tcPr>
          <w:p w14:paraId="7CEEFA8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登录时会通过弹窗方式提示用户阅读《隐私政策》</w:t>
            </w:r>
          </w:p>
        </w:tc>
      </w:tr>
      <w:tr w:rsidR="00A661C3" w:rsidRPr="00DA3766" w14:paraId="666B0C8D" w14:textId="77777777" w:rsidTr="00DA3766">
        <w:trPr>
          <w:trHeight w:val="397"/>
          <w:jc w:val="center"/>
        </w:trPr>
        <w:tc>
          <w:tcPr>
            <w:tcW w:w="374" w:type="pct"/>
            <w:tcMar>
              <w:top w:w="0" w:type="dxa"/>
              <w:bottom w:w="0" w:type="dxa"/>
            </w:tcMar>
            <w:vAlign w:val="center"/>
          </w:tcPr>
          <w:p w14:paraId="6FF1294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2433" w:type="pct"/>
            <w:tcMar>
              <w:top w:w="0" w:type="dxa"/>
              <w:bottom w:w="0" w:type="dxa"/>
            </w:tcMar>
            <w:vAlign w:val="center"/>
          </w:tcPr>
          <w:p w14:paraId="11C9C7A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隐私政策等收集使用规则难以访问，如进入</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主界面后，需多于</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次点击等操作才能访问到</w:t>
            </w:r>
          </w:p>
        </w:tc>
        <w:tc>
          <w:tcPr>
            <w:tcW w:w="2191" w:type="pct"/>
            <w:tcMar>
              <w:top w:w="0" w:type="dxa"/>
              <w:bottom w:w="0" w:type="dxa"/>
            </w:tcMar>
            <w:vAlign w:val="center"/>
          </w:tcPr>
          <w:p w14:paraId="04FC8445" w14:textId="4B5F4041" w:rsidR="00A661C3" w:rsidRPr="00DA3766" w:rsidRDefault="00AB1A8B"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进入主界面后，不多于</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次点击</w:t>
            </w:r>
            <w:r w:rsidR="00A661C3" w:rsidRPr="00DA3766">
              <w:rPr>
                <w:rFonts w:ascii="Times New Roman" w:hAnsi="Times New Roman" w:cs="Times New Roman"/>
                <w:color w:val="000000"/>
                <w:sz w:val="21"/>
                <w:szCs w:val="21"/>
              </w:rPr>
              <w:t>即可访问</w:t>
            </w:r>
          </w:p>
        </w:tc>
      </w:tr>
      <w:tr w:rsidR="00A661C3" w:rsidRPr="00DA3766" w14:paraId="40755D41" w14:textId="77777777" w:rsidTr="00DA3766">
        <w:trPr>
          <w:trHeight w:val="397"/>
          <w:jc w:val="center"/>
        </w:trPr>
        <w:tc>
          <w:tcPr>
            <w:tcW w:w="374" w:type="pct"/>
            <w:tcMar>
              <w:top w:w="0" w:type="dxa"/>
              <w:bottom w:w="0" w:type="dxa"/>
            </w:tcMar>
            <w:vAlign w:val="center"/>
          </w:tcPr>
          <w:p w14:paraId="33CD73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2433" w:type="pct"/>
            <w:tcMar>
              <w:top w:w="0" w:type="dxa"/>
              <w:bottom w:w="0" w:type="dxa"/>
            </w:tcMar>
            <w:vAlign w:val="center"/>
          </w:tcPr>
          <w:p w14:paraId="6BE76090"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隐私政策等收集使用规则难以阅读，如文字过小过密、颜色过淡、模糊不清，或未提供简体中文版等</w:t>
            </w:r>
          </w:p>
        </w:tc>
        <w:tc>
          <w:tcPr>
            <w:tcW w:w="2191" w:type="pct"/>
            <w:tcMar>
              <w:top w:w="0" w:type="dxa"/>
              <w:bottom w:w="0" w:type="dxa"/>
            </w:tcMar>
            <w:vAlign w:val="center"/>
          </w:tcPr>
          <w:p w14:paraId="2670623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《隐私政策》全文以正常格式、简体中文予以用户阅读</w:t>
            </w:r>
          </w:p>
        </w:tc>
      </w:tr>
      <w:tr w:rsidR="00A661C3" w:rsidRPr="00DA3766" w14:paraId="73BC9A97" w14:textId="77777777" w:rsidTr="00DA3766">
        <w:trPr>
          <w:trHeight w:val="397"/>
          <w:jc w:val="center"/>
        </w:trPr>
        <w:tc>
          <w:tcPr>
            <w:tcW w:w="5000" w:type="pct"/>
            <w:gridSpan w:val="3"/>
            <w:tcMar>
              <w:top w:w="0" w:type="dxa"/>
              <w:bottom w:w="0" w:type="dxa"/>
            </w:tcMar>
            <w:vAlign w:val="center"/>
          </w:tcPr>
          <w:p w14:paraId="71876F1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未明示收集使用个人信息的目的、方式和范围</w:t>
            </w:r>
          </w:p>
        </w:tc>
      </w:tr>
      <w:tr w:rsidR="00A661C3" w:rsidRPr="00DA3766" w14:paraId="7CD5213E" w14:textId="77777777" w:rsidTr="00DA3766">
        <w:trPr>
          <w:trHeight w:val="397"/>
          <w:jc w:val="center"/>
        </w:trPr>
        <w:tc>
          <w:tcPr>
            <w:tcW w:w="374" w:type="pct"/>
            <w:tcMar>
              <w:top w:w="0" w:type="dxa"/>
              <w:bottom w:w="0" w:type="dxa"/>
            </w:tcMar>
            <w:vAlign w:val="center"/>
          </w:tcPr>
          <w:p w14:paraId="258394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2433" w:type="pct"/>
            <w:tcMar>
              <w:top w:w="0" w:type="dxa"/>
              <w:bottom w:w="0" w:type="dxa"/>
            </w:tcMar>
            <w:vAlign w:val="center"/>
          </w:tcPr>
          <w:p w14:paraId="43ECB55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未逐一列出</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（包括委托的第三方或嵌入的第三方代码、插件）收集使用个人信息的目的、方式、范围等</w:t>
            </w:r>
          </w:p>
        </w:tc>
        <w:tc>
          <w:tcPr>
            <w:tcW w:w="2191" w:type="pct"/>
            <w:tcMar>
              <w:top w:w="0" w:type="dxa"/>
              <w:bottom w:w="0" w:type="dxa"/>
            </w:tcMar>
            <w:vAlign w:val="center"/>
          </w:tcPr>
          <w:p w14:paraId="6AF6101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已通过公开的隐私政策向用户逐一列出小程序收集使用个人信息的目的、方式、范围</w:t>
            </w:r>
          </w:p>
        </w:tc>
      </w:tr>
      <w:tr w:rsidR="00A661C3" w:rsidRPr="00DA3766" w14:paraId="680E7CE7" w14:textId="77777777" w:rsidTr="00DA3766">
        <w:trPr>
          <w:trHeight w:val="397"/>
          <w:jc w:val="center"/>
        </w:trPr>
        <w:tc>
          <w:tcPr>
            <w:tcW w:w="374" w:type="pct"/>
            <w:tcMar>
              <w:top w:w="0" w:type="dxa"/>
              <w:bottom w:w="0" w:type="dxa"/>
            </w:tcMar>
            <w:vAlign w:val="center"/>
          </w:tcPr>
          <w:p w14:paraId="1769395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2433" w:type="pct"/>
            <w:tcMar>
              <w:top w:w="0" w:type="dxa"/>
              <w:bottom w:w="0" w:type="dxa"/>
            </w:tcMar>
            <w:vAlign w:val="center"/>
          </w:tcPr>
          <w:p w14:paraId="3AC9952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收集使用个人信息的目的、方式、范围发生变化时，未以适当方式通知用户，适当方式包括更新隐私政策等收集使用规则并提醒用户阅读等</w:t>
            </w:r>
          </w:p>
        </w:tc>
        <w:tc>
          <w:tcPr>
            <w:tcW w:w="2191" w:type="pct"/>
            <w:tcMar>
              <w:top w:w="0" w:type="dxa"/>
              <w:bottom w:w="0" w:type="dxa"/>
            </w:tcMar>
            <w:vAlign w:val="center"/>
          </w:tcPr>
          <w:p w14:paraId="626BA4C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已通过隐私政策说明当收集使用个人信息的目的、方式、范围发生变化时，会以适当的告知方式告知并提醒用户</w:t>
            </w:r>
          </w:p>
          <w:p w14:paraId="569D353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阅读</w:t>
            </w:r>
          </w:p>
        </w:tc>
      </w:tr>
      <w:tr w:rsidR="00A661C3" w:rsidRPr="00DA3766" w14:paraId="76D32436" w14:textId="77777777" w:rsidTr="00DA3766">
        <w:trPr>
          <w:trHeight w:val="397"/>
          <w:jc w:val="center"/>
        </w:trPr>
        <w:tc>
          <w:tcPr>
            <w:tcW w:w="374" w:type="pct"/>
            <w:tcMar>
              <w:top w:w="0" w:type="dxa"/>
              <w:bottom w:w="0" w:type="dxa"/>
            </w:tcMar>
            <w:vAlign w:val="center"/>
          </w:tcPr>
          <w:p w14:paraId="0EDA9D8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2433" w:type="pct"/>
            <w:tcMar>
              <w:top w:w="0" w:type="dxa"/>
              <w:bottom w:w="0" w:type="dxa"/>
            </w:tcMar>
            <w:vAlign w:val="center"/>
          </w:tcPr>
          <w:p w14:paraId="73DA4EA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在申请打开可收集个人信息的权限，或申请收集用户身份证号、银行账号、行踪轨迹等个人敏感信息时，未同步告知用户其目的，或者目的不明确、难以理解</w:t>
            </w:r>
          </w:p>
        </w:tc>
        <w:tc>
          <w:tcPr>
            <w:tcW w:w="2191" w:type="pct"/>
            <w:tcMar>
              <w:top w:w="0" w:type="dxa"/>
              <w:bottom w:w="0" w:type="dxa"/>
            </w:tcMar>
            <w:vAlign w:val="center"/>
          </w:tcPr>
          <w:p w14:paraId="19088496" w14:textId="2030D25C" w:rsidR="00A661C3" w:rsidRPr="00DA3766" w:rsidRDefault="00AB1A8B"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涉及收集个人敏感信息的，已明确告知用户其目的</w:t>
            </w:r>
          </w:p>
        </w:tc>
      </w:tr>
      <w:tr w:rsidR="00A661C3" w:rsidRPr="00DA3766" w14:paraId="57370F3C" w14:textId="77777777" w:rsidTr="00DA3766">
        <w:trPr>
          <w:trHeight w:val="397"/>
          <w:jc w:val="center"/>
        </w:trPr>
        <w:tc>
          <w:tcPr>
            <w:tcW w:w="374" w:type="pct"/>
            <w:tcMar>
              <w:top w:w="0" w:type="dxa"/>
              <w:bottom w:w="0" w:type="dxa"/>
            </w:tcMar>
            <w:vAlign w:val="center"/>
          </w:tcPr>
          <w:p w14:paraId="1D2134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2433" w:type="pct"/>
            <w:tcMar>
              <w:top w:w="0" w:type="dxa"/>
              <w:bottom w:w="0" w:type="dxa"/>
            </w:tcMar>
            <w:vAlign w:val="center"/>
          </w:tcPr>
          <w:p w14:paraId="1DF6B95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有关收集使用规则的内容晦涩难懂、冗长繁琐，用户难以理解，如使用大量专业术语等</w:t>
            </w:r>
          </w:p>
        </w:tc>
        <w:tc>
          <w:tcPr>
            <w:tcW w:w="2191" w:type="pct"/>
            <w:tcMar>
              <w:top w:w="0" w:type="dxa"/>
              <w:bottom w:w="0" w:type="dxa"/>
            </w:tcMar>
            <w:vAlign w:val="center"/>
          </w:tcPr>
          <w:p w14:paraId="1D300B8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内容简洁、易于理解</w:t>
            </w:r>
          </w:p>
        </w:tc>
      </w:tr>
      <w:tr w:rsidR="00A661C3" w:rsidRPr="00DA3766" w14:paraId="04515E1A" w14:textId="77777777" w:rsidTr="00DA3766">
        <w:trPr>
          <w:trHeight w:val="397"/>
          <w:jc w:val="center"/>
        </w:trPr>
        <w:tc>
          <w:tcPr>
            <w:tcW w:w="5000" w:type="pct"/>
            <w:gridSpan w:val="3"/>
            <w:tcMar>
              <w:top w:w="0" w:type="dxa"/>
              <w:bottom w:w="0" w:type="dxa"/>
            </w:tcMar>
            <w:vAlign w:val="center"/>
          </w:tcPr>
          <w:p w14:paraId="76505EC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未经用户同意收集使用个人信息</w:t>
            </w:r>
          </w:p>
        </w:tc>
      </w:tr>
      <w:tr w:rsidR="00A661C3" w:rsidRPr="00DA3766" w14:paraId="110B6005" w14:textId="77777777" w:rsidTr="00DA3766">
        <w:trPr>
          <w:trHeight w:val="397"/>
          <w:jc w:val="center"/>
        </w:trPr>
        <w:tc>
          <w:tcPr>
            <w:tcW w:w="374" w:type="pct"/>
            <w:tcMar>
              <w:top w:w="0" w:type="dxa"/>
              <w:bottom w:w="0" w:type="dxa"/>
            </w:tcMar>
            <w:vAlign w:val="center"/>
          </w:tcPr>
          <w:p w14:paraId="4093C28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2433" w:type="pct"/>
            <w:tcMar>
              <w:top w:w="0" w:type="dxa"/>
              <w:bottom w:w="0" w:type="dxa"/>
            </w:tcMar>
            <w:vAlign w:val="center"/>
          </w:tcPr>
          <w:p w14:paraId="7F9A2F3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征得用户同意前就开始收集个人信息或打开可收集个人信息的权限</w:t>
            </w:r>
          </w:p>
        </w:tc>
        <w:tc>
          <w:tcPr>
            <w:tcW w:w="2191" w:type="pct"/>
            <w:tcMar>
              <w:top w:w="0" w:type="dxa"/>
              <w:bottom w:w="0" w:type="dxa"/>
            </w:tcMar>
            <w:vAlign w:val="center"/>
          </w:tcPr>
          <w:p w14:paraId="59118AE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须征得用户事先同意</w:t>
            </w:r>
          </w:p>
        </w:tc>
      </w:tr>
      <w:tr w:rsidR="00A661C3" w:rsidRPr="00DA3766" w14:paraId="198DCE51" w14:textId="77777777" w:rsidTr="00DA3766">
        <w:trPr>
          <w:trHeight w:val="397"/>
          <w:jc w:val="center"/>
        </w:trPr>
        <w:tc>
          <w:tcPr>
            <w:tcW w:w="374" w:type="pct"/>
            <w:tcMar>
              <w:top w:w="0" w:type="dxa"/>
              <w:bottom w:w="0" w:type="dxa"/>
            </w:tcMar>
            <w:vAlign w:val="center"/>
          </w:tcPr>
          <w:p w14:paraId="7C6F62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2433" w:type="pct"/>
            <w:tcMar>
              <w:top w:w="0" w:type="dxa"/>
              <w:bottom w:w="0" w:type="dxa"/>
            </w:tcMar>
            <w:vAlign w:val="center"/>
          </w:tcPr>
          <w:p w14:paraId="5833FAE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用户明确表示不同意后，仍收集个人信息或打开可收集个人信息的权限，或频繁征求用户同意、干扰用户正常使用</w:t>
            </w:r>
          </w:p>
        </w:tc>
        <w:tc>
          <w:tcPr>
            <w:tcW w:w="2191" w:type="pct"/>
            <w:tcMar>
              <w:top w:w="0" w:type="dxa"/>
              <w:bottom w:w="0" w:type="dxa"/>
            </w:tcMar>
            <w:vAlign w:val="center"/>
          </w:tcPr>
          <w:p w14:paraId="5D2CC4F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在用户明确表示不同意后，未收集个人信息，亦未打开可收集个人信息的权限，且未再次频繁向用户索要该权限</w:t>
            </w:r>
          </w:p>
        </w:tc>
      </w:tr>
      <w:tr w:rsidR="00A661C3" w:rsidRPr="00DA3766" w14:paraId="22789765" w14:textId="77777777" w:rsidTr="00DA3766">
        <w:trPr>
          <w:trHeight w:val="397"/>
          <w:jc w:val="center"/>
        </w:trPr>
        <w:tc>
          <w:tcPr>
            <w:tcW w:w="374" w:type="pct"/>
            <w:tcMar>
              <w:top w:w="0" w:type="dxa"/>
              <w:bottom w:w="0" w:type="dxa"/>
            </w:tcMar>
            <w:vAlign w:val="center"/>
          </w:tcPr>
          <w:p w14:paraId="7030B9F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2433" w:type="pct"/>
            <w:tcMar>
              <w:top w:w="0" w:type="dxa"/>
              <w:bottom w:w="0" w:type="dxa"/>
            </w:tcMar>
            <w:vAlign w:val="center"/>
          </w:tcPr>
          <w:p w14:paraId="185A151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实际收集的个人信息或打开的可收集个人信息权限超出用户授权范围</w:t>
            </w:r>
          </w:p>
        </w:tc>
        <w:tc>
          <w:tcPr>
            <w:tcW w:w="2191" w:type="pct"/>
            <w:tcMar>
              <w:top w:w="0" w:type="dxa"/>
              <w:bottom w:w="0" w:type="dxa"/>
            </w:tcMar>
            <w:vAlign w:val="center"/>
          </w:tcPr>
          <w:p w14:paraId="52E7D23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收集个人信息均在用户授权范围内</w:t>
            </w:r>
          </w:p>
        </w:tc>
      </w:tr>
      <w:tr w:rsidR="00A661C3" w:rsidRPr="00DA3766" w14:paraId="0A712DFB" w14:textId="77777777" w:rsidTr="00DA3766">
        <w:trPr>
          <w:trHeight w:val="397"/>
          <w:jc w:val="center"/>
        </w:trPr>
        <w:tc>
          <w:tcPr>
            <w:tcW w:w="374" w:type="pct"/>
            <w:tcMar>
              <w:top w:w="0" w:type="dxa"/>
              <w:bottom w:w="0" w:type="dxa"/>
            </w:tcMar>
            <w:vAlign w:val="center"/>
          </w:tcPr>
          <w:p w14:paraId="0754CA7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2433" w:type="pct"/>
            <w:tcMar>
              <w:top w:w="0" w:type="dxa"/>
              <w:bottom w:w="0" w:type="dxa"/>
            </w:tcMar>
            <w:vAlign w:val="center"/>
          </w:tcPr>
          <w:p w14:paraId="5AE9249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以默认选择同意隐私政策等非明示方式征求用户同意</w:t>
            </w:r>
          </w:p>
        </w:tc>
        <w:tc>
          <w:tcPr>
            <w:tcW w:w="2191" w:type="pct"/>
            <w:tcMar>
              <w:top w:w="0" w:type="dxa"/>
              <w:bottom w:w="0" w:type="dxa"/>
            </w:tcMar>
            <w:vAlign w:val="center"/>
          </w:tcPr>
          <w:p w14:paraId="3D2D35AE"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需要用户明示同意隐私政策</w:t>
            </w:r>
          </w:p>
        </w:tc>
      </w:tr>
      <w:tr w:rsidR="00A661C3" w:rsidRPr="00DA3766" w14:paraId="29C14AF2" w14:textId="77777777" w:rsidTr="00DA3766">
        <w:trPr>
          <w:trHeight w:val="397"/>
          <w:jc w:val="center"/>
        </w:trPr>
        <w:tc>
          <w:tcPr>
            <w:tcW w:w="374" w:type="pct"/>
            <w:tcMar>
              <w:top w:w="0" w:type="dxa"/>
              <w:bottom w:w="0" w:type="dxa"/>
            </w:tcMar>
            <w:vAlign w:val="center"/>
          </w:tcPr>
          <w:p w14:paraId="32FD9A8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2433" w:type="pct"/>
            <w:tcMar>
              <w:top w:w="0" w:type="dxa"/>
              <w:bottom w:w="0" w:type="dxa"/>
            </w:tcMar>
            <w:vAlign w:val="center"/>
          </w:tcPr>
          <w:p w14:paraId="461DE43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未经用户同意更改其设置的可收集个人信息权限状态，如</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更新时自动将用户设置的权限恢复到默认状态</w:t>
            </w:r>
          </w:p>
        </w:tc>
        <w:tc>
          <w:tcPr>
            <w:tcW w:w="2191" w:type="pct"/>
            <w:tcMar>
              <w:top w:w="0" w:type="dxa"/>
              <w:bottom w:w="0" w:type="dxa"/>
            </w:tcMar>
            <w:vAlign w:val="center"/>
          </w:tcPr>
          <w:p w14:paraId="03C7F9A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不存在未经用户同意更改其设置的可收集个人信息权限状态的情形</w:t>
            </w:r>
          </w:p>
        </w:tc>
      </w:tr>
      <w:tr w:rsidR="00A661C3" w:rsidRPr="00DA3766" w14:paraId="7B3BCCE0" w14:textId="77777777" w:rsidTr="00DA3766">
        <w:trPr>
          <w:trHeight w:val="397"/>
          <w:jc w:val="center"/>
        </w:trPr>
        <w:tc>
          <w:tcPr>
            <w:tcW w:w="374" w:type="pct"/>
            <w:tcMar>
              <w:top w:w="0" w:type="dxa"/>
              <w:bottom w:w="0" w:type="dxa"/>
            </w:tcMar>
            <w:vAlign w:val="center"/>
          </w:tcPr>
          <w:p w14:paraId="7764E0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2433" w:type="pct"/>
            <w:tcMar>
              <w:top w:w="0" w:type="dxa"/>
              <w:bottom w:w="0" w:type="dxa"/>
            </w:tcMar>
            <w:vAlign w:val="center"/>
          </w:tcPr>
          <w:p w14:paraId="73F7575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利用用户个人信息和算法定向推送信息，未提供非定向推送信息的选项</w:t>
            </w:r>
          </w:p>
        </w:tc>
        <w:tc>
          <w:tcPr>
            <w:tcW w:w="2191" w:type="pct"/>
            <w:tcMar>
              <w:top w:w="0" w:type="dxa"/>
              <w:bottom w:w="0" w:type="dxa"/>
            </w:tcMar>
            <w:vAlign w:val="center"/>
          </w:tcPr>
          <w:p w14:paraId="72DF4A8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不存在推送信息的情形</w:t>
            </w:r>
          </w:p>
        </w:tc>
      </w:tr>
      <w:tr w:rsidR="00A661C3" w:rsidRPr="00DA3766" w14:paraId="56023B4D" w14:textId="77777777" w:rsidTr="00DA3766">
        <w:trPr>
          <w:trHeight w:val="397"/>
          <w:jc w:val="center"/>
        </w:trPr>
        <w:tc>
          <w:tcPr>
            <w:tcW w:w="374" w:type="pct"/>
            <w:tcMar>
              <w:top w:w="0" w:type="dxa"/>
              <w:bottom w:w="0" w:type="dxa"/>
            </w:tcMar>
            <w:vAlign w:val="center"/>
          </w:tcPr>
          <w:p w14:paraId="402F9C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2433" w:type="pct"/>
            <w:tcMar>
              <w:top w:w="0" w:type="dxa"/>
              <w:bottom w:w="0" w:type="dxa"/>
            </w:tcMar>
            <w:vAlign w:val="center"/>
          </w:tcPr>
          <w:p w14:paraId="7D9375FF"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以欺诈、诱骗等不正当方式误导用户同意收集个人信息或打开可收集个人信息的权限，如故意欺瞒、掩饰收集使用个人信息的真实目的</w:t>
            </w:r>
          </w:p>
        </w:tc>
        <w:tc>
          <w:tcPr>
            <w:tcW w:w="2191" w:type="pct"/>
            <w:tcMar>
              <w:top w:w="0" w:type="dxa"/>
              <w:bottom w:w="0" w:type="dxa"/>
            </w:tcMar>
            <w:vAlign w:val="center"/>
          </w:tcPr>
          <w:p w14:paraId="1D22AAE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不存在以欺诈、诱骗等不正当方式误导用户同意收集个人信息或打开可收集个人信息的权限的方式</w:t>
            </w:r>
          </w:p>
        </w:tc>
      </w:tr>
      <w:tr w:rsidR="00A661C3" w:rsidRPr="00DA3766" w14:paraId="00CA82FA" w14:textId="77777777" w:rsidTr="00DA3766">
        <w:trPr>
          <w:trHeight w:val="397"/>
          <w:jc w:val="center"/>
        </w:trPr>
        <w:tc>
          <w:tcPr>
            <w:tcW w:w="374" w:type="pct"/>
            <w:tcMar>
              <w:top w:w="0" w:type="dxa"/>
              <w:bottom w:w="0" w:type="dxa"/>
            </w:tcMar>
            <w:vAlign w:val="center"/>
          </w:tcPr>
          <w:p w14:paraId="2EA9D05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2433" w:type="pct"/>
            <w:tcMar>
              <w:top w:w="0" w:type="dxa"/>
              <w:bottom w:w="0" w:type="dxa"/>
            </w:tcMar>
            <w:vAlign w:val="center"/>
          </w:tcPr>
          <w:p w14:paraId="43AA6B8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未向用户提供撤回同意收集个人信息的途径、方式</w:t>
            </w:r>
          </w:p>
        </w:tc>
        <w:tc>
          <w:tcPr>
            <w:tcW w:w="2191" w:type="pct"/>
            <w:tcMar>
              <w:top w:w="0" w:type="dxa"/>
              <w:bottom w:w="0" w:type="dxa"/>
            </w:tcMar>
            <w:vAlign w:val="center"/>
          </w:tcPr>
          <w:p w14:paraId="7BEAFBC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已向用户提供撤回同意收集个人信息的途径、方式，用户在设置中可以取消授权</w:t>
            </w:r>
          </w:p>
        </w:tc>
      </w:tr>
      <w:tr w:rsidR="00A661C3" w:rsidRPr="00DA3766" w14:paraId="25EE5A4B" w14:textId="77777777" w:rsidTr="00DA3766">
        <w:trPr>
          <w:trHeight w:val="397"/>
          <w:jc w:val="center"/>
        </w:trPr>
        <w:tc>
          <w:tcPr>
            <w:tcW w:w="374" w:type="pct"/>
            <w:tcMar>
              <w:top w:w="0" w:type="dxa"/>
              <w:bottom w:w="0" w:type="dxa"/>
            </w:tcMar>
            <w:vAlign w:val="center"/>
          </w:tcPr>
          <w:p w14:paraId="740F57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17</w:t>
            </w:r>
          </w:p>
        </w:tc>
        <w:tc>
          <w:tcPr>
            <w:tcW w:w="2433" w:type="pct"/>
            <w:tcMar>
              <w:top w:w="0" w:type="dxa"/>
              <w:bottom w:w="0" w:type="dxa"/>
            </w:tcMar>
            <w:vAlign w:val="center"/>
          </w:tcPr>
          <w:p w14:paraId="0B991F8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违反其所声明的收集使用规则，收集使用个人信息</w:t>
            </w:r>
          </w:p>
        </w:tc>
        <w:tc>
          <w:tcPr>
            <w:tcW w:w="2191" w:type="pct"/>
            <w:tcMar>
              <w:top w:w="0" w:type="dxa"/>
              <w:bottom w:w="0" w:type="dxa"/>
            </w:tcMar>
            <w:vAlign w:val="center"/>
          </w:tcPr>
          <w:p w14:paraId="0C5B4EE5"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不存在违反其所声明的收集使用规则，收集使用个人信息的情形</w:t>
            </w:r>
          </w:p>
        </w:tc>
      </w:tr>
      <w:tr w:rsidR="00A661C3" w:rsidRPr="00DA3766" w14:paraId="6C1EEAAE" w14:textId="77777777" w:rsidTr="00DA3766">
        <w:trPr>
          <w:trHeight w:val="397"/>
          <w:jc w:val="center"/>
        </w:trPr>
        <w:tc>
          <w:tcPr>
            <w:tcW w:w="5000" w:type="pct"/>
            <w:gridSpan w:val="3"/>
            <w:tcMar>
              <w:top w:w="0" w:type="dxa"/>
              <w:bottom w:w="0" w:type="dxa"/>
            </w:tcMar>
            <w:vAlign w:val="center"/>
          </w:tcPr>
          <w:p w14:paraId="440AC47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违反必要原则，收集与其提供的服务无关的个人信息</w:t>
            </w:r>
          </w:p>
        </w:tc>
      </w:tr>
      <w:tr w:rsidR="00A661C3" w:rsidRPr="00DA3766" w14:paraId="6F7D5BEE" w14:textId="77777777" w:rsidTr="00DA3766">
        <w:trPr>
          <w:trHeight w:val="397"/>
          <w:jc w:val="center"/>
        </w:trPr>
        <w:tc>
          <w:tcPr>
            <w:tcW w:w="374" w:type="pct"/>
            <w:tcMar>
              <w:top w:w="0" w:type="dxa"/>
              <w:bottom w:w="0" w:type="dxa"/>
            </w:tcMar>
            <w:vAlign w:val="center"/>
          </w:tcPr>
          <w:p w14:paraId="791E07E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2433" w:type="pct"/>
            <w:tcMar>
              <w:top w:w="0" w:type="dxa"/>
              <w:bottom w:w="0" w:type="dxa"/>
            </w:tcMar>
            <w:vAlign w:val="center"/>
          </w:tcPr>
          <w:p w14:paraId="1022EC89"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收集的个人信息类型或打开的可收集个人信息权限与现有业务功能无关</w:t>
            </w:r>
          </w:p>
        </w:tc>
        <w:tc>
          <w:tcPr>
            <w:tcW w:w="2191" w:type="pct"/>
            <w:tcMar>
              <w:top w:w="0" w:type="dxa"/>
              <w:bottom w:w="0" w:type="dxa"/>
            </w:tcMar>
            <w:vAlign w:val="center"/>
          </w:tcPr>
          <w:p w14:paraId="26D90AB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收集的信息与申请的权限均在隐私政策中进行了说明，且与当前业务功能直接相关</w:t>
            </w:r>
          </w:p>
        </w:tc>
      </w:tr>
      <w:tr w:rsidR="00A661C3" w:rsidRPr="00DA3766" w14:paraId="2BBF7BE5" w14:textId="77777777" w:rsidTr="00DA3766">
        <w:trPr>
          <w:trHeight w:val="397"/>
          <w:jc w:val="center"/>
        </w:trPr>
        <w:tc>
          <w:tcPr>
            <w:tcW w:w="374" w:type="pct"/>
            <w:tcMar>
              <w:top w:w="0" w:type="dxa"/>
              <w:bottom w:w="0" w:type="dxa"/>
            </w:tcMar>
            <w:vAlign w:val="center"/>
          </w:tcPr>
          <w:p w14:paraId="373CBB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2433" w:type="pct"/>
            <w:tcMar>
              <w:top w:w="0" w:type="dxa"/>
              <w:bottom w:w="0" w:type="dxa"/>
            </w:tcMar>
            <w:vAlign w:val="center"/>
          </w:tcPr>
          <w:p w14:paraId="3001BCA0"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因用户不同意收集非必要个人信息或打开非必要权限，拒绝提供业务功能</w:t>
            </w:r>
          </w:p>
        </w:tc>
        <w:tc>
          <w:tcPr>
            <w:tcW w:w="2191" w:type="pct"/>
            <w:tcMar>
              <w:top w:w="0" w:type="dxa"/>
              <w:bottom w:w="0" w:type="dxa"/>
            </w:tcMar>
            <w:vAlign w:val="center"/>
          </w:tcPr>
          <w:p w14:paraId="4DAE1DF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在用户拒绝非必要权限申请时，未出现拒绝向用户提供业务功能的现象</w:t>
            </w:r>
          </w:p>
        </w:tc>
      </w:tr>
      <w:tr w:rsidR="00A661C3" w:rsidRPr="00DA3766" w14:paraId="7524C224" w14:textId="77777777" w:rsidTr="00DA3766">
        <w:trPr>
          <w:trHeight w:val="397"/>
          <w:jc w:val="center"/>
        </w:trPr>
        <w:tc>
          <w:tcPr>
            <w:tcW w:w="374" w:type="pct"/>
            <w:tcMar>
              <w:top w:w="0" w:type="dxa"/>
              <w:bottom w:w="0" w:type="dxa"/>
            </w:tcMar>
            <w:vAlign w:val="center"/>
          </w:tcPr>
          <w:p w14:paraId="6C00D5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2433" w:type="pct"/>
            <w:tcMar>
              <w:top w:w="0" w:type="dxa"/>
              <w:bottom w:w="0" w:type="dxa"/>
            </w:tcMar>
            <w:vAlign w:val="center"/>
          </w:tcPr>
          <w:p w14:paraId="77155D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新增业务功能申请收集的个人信息超出用户原有同意范围，若用户不同意，则拒绝提供原有业务功能，新增业务功能取代原有业务功能的除外</w:t>
            </w:r>
          </w:p>
        </w:tc>
        <w:tc>
          <w:tcPr>
            <w:tcW w:w="2191" w:type="pct"/>
            <w:tcMar>
              <w:top w:w="0" w:type="dxa"/>
              <w:bottom w:w="0" w:type="dxa"/>
            </w:tcMar>
            <w:vAlign w:val="center"/>
          </w:tcPr>
          <w:p w14:paraId="09C2117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新增业务功能申请收集的个人信息未取得用户授权时，不影响原有业务功能</w:t>
            </w:r>
          </w:p>
        </w:tc>
      </w:tr>
      <w:tr w:rsidR="00A661C3" w:rsidRPr="00DA3766" w14:paraId="5DD421B8" w14:textId="77777777" w:rsidTr="00DA3766">
        <w:trPr>
          <w:trHeight w:val="397"/>
          <w:jc w:val="center"/>
        </w:trPr>
        <w:tc>
          <w:tcPr>
            <w:tcW w:w="374" w:type="pct"/>
            <w:tcMar>
              <w:top w:w="0" w:type="dxa"/>
              <w:bottom w:w="0" w:type="dxa"/>
            </w:tcMar>
            <w:vAlign w:val="center"/>
          </w:tcPr>
          <w:p w14:paraId="1E38DC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2433" w:type="pct"/>
            <w:tcMar>
              <w:top w:w="0" w:type="dxa"/>
              <w:bottom w:w="0" w:type="dxa"/>
            </w:tcMar>
            <w:vAlign w:val="center"/>
          </w:tcPr>
          <w:p w14:paraId="068182D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收集个人信息的频度等超出业务功能实际需要</w:t>
            </w:r>
          </w:p>
        </w:tc>
        <w:tc>
          <w:tcPr>
            <w:tcW w:w="2191" w:type="pct"/>
            <w:tcMar>
              <w:top w:w="0" w:type="dxa"/>
              <w:bottom w:w="0" w:type="dxa"/>
            </w:tcMar>
            <w:vAlign w:val="center"/>
          </w:tcPr>
          <w:p w14:paraId="318531C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收集信息的频率符合业务功能需要，未出现超频率收集个人信息的现象</w:t>
            </w:r>
          </w:p>
        </w:tc>
      </w:tr>
      <w:tr w:rsidR="00A661C3" w:rsidRPr="00DA3766" w14:paraId="769BC5B1" w14:textId="77777777" w:rsidTr="00DA3766">
        <w:trPr>
          <w:trHeight w:val="397"/>
          <w:jc w:val="center"/>
        </w:trPr>
        <w:tc>
          <w:tcPr>
            <w:tcW w:w="374" w:type="pct"/>
            <w:tcMar>
              <w:top w:w="0" w:type="dxa"/>
              <w:bottom w:w="0" w:type="dxa"/>
            </w:tcMar>
            <w:vAlign w:val="center"/>
          </w:tcPr>
          <w:p w14:paraId="2E1E7C0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2433" w:type="pct"/>
            <w:tcMar>
              <w:top w:w="0" w:type="dxa"/>
              <w:bottom w:w="0" w:type="dxa"/>
            </w:tcMar>
            <w:vAlign w:val="center"/>
          </w:tcPr>
          <w:p w14:paraId="6289708F"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仅以改善服务质量、提升用户体验、定向推送信息、研发新产品等为由，强制要求用户同意收集个人信息</w:t>
            </w:r>
          </w:p>
        </w:tc>
        <w:tc>
          <w:tcPr>
            <w:tcW w:w="2191" w:type="pct"/>
            <w:tcMar>
              <w:top w:w="0" w:type="dxa"/>
              <w:bottom w:w="0" w:type="dxa"/>
            </w:tcMar>
            <w:vAlign w:val="center"/>
          </w:tcPr>
          <w:p w14:paraId="4DB0117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不存在强制要求用户同意收集个人信息</w:t>
            </w:r>
          </w:p>
        </w:tc>
      </w:tr>
      <w:tr w:rsidR="00A661C3" w:rsidRPr="00DA3766" w14:paraId="398C5812" w14:textId="77777777" w:rsidTr="00DA3766">
        <w:trPr>
          <w:trHeight w:val="397"/>
          <w:jc w:val="center"/>
        </w:trPr>
        <w:tc>
          <w:tcPr>
            <w:tcW w:w="374" w:type="pct"/>
            <w:tcMar>
              <w:top w:w="0" w:type="dxa"/>
              <w:bottom w:w="0" w:type="dxa"/>
            </w:tcMar>
            <w:vAlign w:val="center"/>
          </w:tcPr>
          <w:p w14:paraId="50FC1CF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2433" w:type="pct"/>
            <w:tcMar>
              <w:top w:w="0" w:type="dxa"/>
              <w:bottom w:w="0" w:type="dxa"/>
            </w:tcMar>
            <w:vAlign w:val="center"/>
          </w:tcPr>
          <w:p w14:paraId="72F0581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要求用户一次性同意打开多个可收集个人信息的权限，用户不同意则无法使用</w:t>
            </w:r>
          </w:p>
        </w:tc>
        <w:tc>
          <w:tcPr>
            <w:tcW w:w="2191" w:type="pct"/>
            <w:tcMar>
              <w:top w:w="0" w:type="dxa"/>
              <w:bottom w:w="0" w:type="dxa"/>
            </w:tcMar>
            <w:vAlign w:val="center"/>
          </w:tcPr>
          <w:p w14:paraId="0970702E"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不存在一次性打开多个可收集个人信息的权限的现象</w:t>
            </w:r>
          </w:p>
        </w:tc>
      </w:tr>
      <w:tr w:rsidR="00A661C3" w:rsidRPr="00DA3766" w14:paraId="34645B62" w14:textId="77777777" w:rsidTr="00DA3766">
        <w:trPr>
          <w:trHeight w:val="397"/>
          <w:jc w:val="center"/>
        </w:trPr>
        <w:tc>
          <w:tcPr>
            <w:tcW w:w="5000" w:type="pct"/>
            <w:gridSpan w:val="3"/>
            <w:tcMar>
              <w:top w:w="0" w:type="dxa"/>
              <w:bottom w:w="0" w:type="dxa"/>
            </w:tcMar>
            <w:vAlign w:val="center"/>
          </w:tcPr>
          <w:p w14:paraId="581B8F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未经同意向他人提供个人信息</w:t>
            </w:r>
          </w:p>
        </w:tc>
      </w:tr>
      <w:tr w:rsidR="00A661C3" w:rsidRPr="00DA3766" w14:paraId="734C35AD" w14:textId="77777777" w:rsidTr="00DA3766">
        <w:trPr>
          <w:trHeight w:val="397"/>
          <w:jc w:val="center"/>
        </w:trPr>
        <w:tc>
          <w:tcPr>
            <w:tcW w:w="374" w:type="pct"/>
            <w:tcMar>
              <w:top w:w="0" w:type="dxa"/>
              <w:bottom w:w="0" w:type="dxa"/>
            </w:tcMar>
            <w:vAlign w:val="center"/>
          </w:tcPr>
          <w:p w14:paraId="09128F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w:t>
            </w:r>
          </w:p>
        </w:tc>
        <w:tc>
          <w:tcPr>
            <w:tcW w:w="2433" w:type="pct"/>
            <w:tcMar>
              <w:top w:w="0" w:type="dxa"/>
              <w:bottom w:w="0" w:type="dxa"/>
            </w:tcMar>
            <w:vAlign w:val="center"/>
          </w:tcPr>
          <w:p w14:paraId="2818E81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既未经用户同意，也未做匿名化处理，</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客户端直接向第三方提供个人信息，包括通过客户端嵌入的第三方代码、插件等方式向第三方提供个人信息</w:t>
            </w:r>
          </w:p>
        </w:tc>
        <w:tc>
          <w:tcPr>
            <w:tcW w:w="2191" w:type="pct"/>
            <w:tcMar>
              <w:top w:w="0" w:type="dxa"/>
              <w:bottom w:w="0" w:type="dxa"/>
            </w:tcMar>
            <w:vAlign w:val="center"/>
          </w:tcPr>
          <w:p w14:paraId="5E8D719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42B82BD4" w14:textId="77777777" w:rsidTr="00DA3766">
        <w:trPr>
          <w:trHeight w:val="397"/>
          <w:jc w:val="center"/>
        </w:trPr>
        <w:tc>
          <w:tcPr>
            <w:tcW w:w="374" w:type="pct"/>
            <w:tcMar>
              <w:top w:w="0" w:type="dxa"/>
              <w:bottom w:w="0" w:type="dxa"/>
            </w:tcMar>
            <w:vAlign w:val="center"/>
          </w:tcPr>
          <w:p w14:paraId="4DB41D0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2433" w:type="pct"/>
            <w:tcMar>
              <w:top w:w="0" w:type="dxa"/>
              <w:bottom w:w="0" w:type="dxa"/>
            </w:tcMar>
            <w:vAlign w:val="center"/>
          </w:tcPr>
          <w:p w14:paraId="11CAF7C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既未经用户同意，也未做匿名化处理，数据传输至</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后台服务器后，向第三方提供其收集的个人信息</w:t>
            </w:r>
          </w:p>
        </w:tc>
        <w:tc>
          <w:tcPr>
            <w:tcW w:w="2191" w:type="pct"/>
            <w:tcMar>
              <w:top w:w="0" w:type="dxa"/>
              <w:bottom w:w="0" w:type="dxa"/>
            </w:tcMar>
            <w:vAlign w:val="center"/>
          </w:tcPr>
          <w:p w14:paraId="328F68E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6087A1ED" w14:textId="77777777" w:rsidTr="00DA3766">
        <w:trPr>
          <w:trHeight w:val="397"/>
          <w:jc w:val="center"/>
        </w:trPr>
        <w:tc>
          <w:tcPr>
            <w:tcW w:w="374" w:type="pct"/>
            <w:tcMar>
              <w:top w:w="0" w:type="dxa"/>
              <w:bottom w:w="0" w:type="dxa"/>
            </w:tcMar>
            <w:vAlign w:val="center"/>
          </w:tcPr>
          <w:p w14:paraId="2E7629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2433" w:type="pct"/>
            <w:tcMar>
              <w:top w:w="0" w:type="dxa"/>
              <w:bottom w:w="0" w:type="dxa"/>
            </w:tcMar>
            <w:vAlign w:val="center"/>
          </w:tcPr>
          <w:p w14:paraId="0624CF4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接入第三方应用，未经用户同意，向第三方应用提供个人信息</w:t>
            </w:r>
          </w:p>
        </w:tc>
        <w:tc>
          <w:tcPr>
            <w:tcW w:w="2191" w:type="pct"/>
            <w:tcMar>
              <w:top w:w="0" w:type="dxa"/>
              <w:bottom w:w="0" w:type="dxa"/>
            </w:tcMar>
            <w:vAlign w:val="center"/>
          </w:tcPr>
          <w:p w14:paraId="4D30B47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37D9391B" w14:textId="77777777" w:rsidTr="00DA3766">
        <w:trPr>
          <w:trHeight w:val="397"/>
          <w:jc w:val="center"/>
        </w:trPr>
        <w:tc>
          <w:tcPr>
            <w:tcW w:w="5000" w:type="pct"/>
            <w:gridSpan w:val="3"/>
            <w:tcMar>
              <w:top w:w="0" w:type="dxa"/>
              <w:bottom w:w="0" w:type="dxa"/>
            </w:tcMar>
            <w:vAlign w:val="center"/>
          </w:tcPr>
          <w:p w14:paraId="4E5BEE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未按法律规定提供删除或更正个人信息功能或未公布投诉、举报方式等信息</w:t>
            </w:r>
          </w:p>
        </w:tc>
      </w:tr>
      <w:tr w:rsidR="00A661C3" w:rsidRPr="00DA3766" w14:paraId="6C901BC5" w14:textId="77777777" w:rsidTr="00DA3766">
        <w:trPr>
          <w:trHeight w:val="397"/>
          <w:jc w:val="center"/>
        </w:trPr>
        <w:tc>
          <w:tcPr>
            <w:tcW w:w="374" w:type="pct"/>
            <w:tcMar>
              <w:top w:w="0" w:type="dxa"/>
              <w:bottom w:w="0" w:type="dxa"/>
            </w:tcMar>
            <w:vAlign w:val="center"/>
          </w:tcPr>
          <w:p w14:paraId="237098C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2433" w:type="pct"/>
            <w:tcMar>
              <w:top w:w="0" w:type="dxa"/>
              <w:bottom w:w="0" w:type="dxa"/>
            </w:tcMar>
            <w:vAlign w:val="center"/>
          </w:tcPr>
          <w:p w14:paraId="31A1C73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未提供有效的更正、删除个人信息及注销用户账号功能</w:t>
            </w:r>
          </w:p>
        </w:tc>
        <w:tc>
          <w:tcPr>
            <w:tcW w:w="2191" w:type="pct"/>
            <w:tcMar>
              <w:top w:w="0" w:type="dxa"/>
              <w:bottom w:w="0" w:type="dxa"/>
            </w:tcMar>
            <w:vAlign w:val="center"/>
          </w:tcPr>
          <w:p w14:paraId="26642F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已提供</w:t>
            </w:r>
          </w:p>
        </w:tc>
      </w:tr>
      <w:tr w:rsidR="00A661C3" w:rsidRPr="00DA3766" w14:paraId="72EDE798" w14:textId="77777777" w:rsidTr="00DA3766">
        <w:trPr>
          <w:trHeight w:val="397"/>
          <w:jc w:val="center"/>
        </w:trPr>
        <w:tc>
          <w:tcPr>
            <w:tcW w:w="374" w:type="pct"/>
            <w:tcMar>
              <w:top w:w="0" w:type="dxa"/>
              <w:bottom w:w="0" w:type="dxa"/>
            </w:tcMar>
            <w:vAlign w:val="center"/>
          </w:tcPr>
          <w:p w14:paraId="6F8651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2433" w:type="pct"/>
            <w:tcMar>
              <w:top w:w="0" w:type="dxa"/>
              <w:bottom w:w="0" w:type="dxa"/>
            </w:tcMar>
            <w:vAlign w:val="center"/>
          </w:tcPr>
          <w:p w14:paraId="0F04802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为更正、删除个人信息或注销用户账号设置不必要或不合理条件</w:t>
            </w:r>
          </w:p>
        </w:tc>
        <w:tc>
          <w:tcPr>
            <w:tcW w:w="2191" w:type="pct"/>
            <w:tcMar>
              <w:top w:w="0" w:type="dxa"/>
              <w:bottom w:w="0" w:type="dxa"/>
            </w:tcMar>
            <w:vAlign w:val="center"/>
          </w:tcPr>
          <w:p w14:paraId="3AB5FE69"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未设置不必要或不合理条件</w:t>
            </w:r>
          </w:p>
        </w:tc>
      </w:tr>
      <w:tr w:rsidR="00A661C3" w:rsidRPr="00DA3766" w14:paraId="37301B85" w14:textId="77777777" w:rsidTr="00DA3766">
        <w:trPr>
          <w:trHeight w:val="397"/>
          <w:jc w:val="center"/>
        </w:trPr>
        <w:tc>
          <w:tcPr>
            <w:tcW w:w="374" w:type="pct"/>
            <w:tcMar>
              <w:top w:w="0" w:type="dxa"/>
              <w:bottom w:w="0" w:type="dxa"/>
            </w:tcMar>
            <w:vAlign w:val="center"/>
          </w:tcPr>
          <w:p w14:paraId="2BDAB0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2433" w:type="pct"/>
            <w:tcMar>
              <w:top w:w="0" w:type="dxa"/>
              <w:bottom w:w="0" w:type="dxa"/>
            </w:tcMar>
            <w:vAlign w:val="center"/>
          </w:tcPr>
          <w:p w14:paraId="7FA56ED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虽提供了更正、删除个人信息及注销用户账号功能，但未及时响应用户相应操作，需人工处理的，未在承诺时限内（承诺时限不得超过</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个工作日，无承诺时限的，以</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个工作日为限）完成核查和处理</w:t>
            </w:r>
          </w:p>
        </w:tc>
        <w:tc>
          <w:tcPr>
            <w:tcW w:w="2191" w:type="pct"/>
            <w:tcMar>
              <w:top w:w="0" w:type="dxa"/>
              <w:bottom w:w="0" w:type="dxa"/>
            </w:tcMar>
            <w:vAlign w:val="center"/>
          </w:tcPr>
          <w:p w14:paraId="089AD6D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所提供的账号注销功能无需人工处理，可在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界面自主完成更正、删除、账号注销操作</w:t>
            </w:r>
          </w:p>
        </w:tc>
      </w:tr>
      <w:tr w:rsidR="00A661C3" w:rsidRPr="00DA3766" w14:paraId="212EA0BB" w14:textId="77777777" w:rsidTr="00DA3766">
        <w:trPr>
          <w:trHeight w:val="397"/>
          <w:jc w:val="center"/>
        </w:trPr>
        <w:tc>
          <w:tcPr>
            <w:tcW w:w="374" w:type="pct"/>
            <w:tcMar>
              <w:top w:w="0" w:type="dxa"/>
              <w:bottom w:w="0" w:type="dxa"/>
            </w:tcMar>
            <w:vAlign w:val="center"/>
          </w:tcPr>
          <w:p w14:paraId="4B9C80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2433" w:type="pct"/>
            <w:tcMar>
              <w:top w:w="0" w:type="dxa"/>
              <w:bottom w:w="0" w:type="dxa"/>
            </w:tcMar>
            <w:vAlign w:val="center"/>
          </w:tcPr>
          <w:p w14:paraId="4DE7732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更正、删除个人信息或注销用户账号等用户操作已执行完毕，但</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后台并未完成的</w:t>
            </w:r>
          </w:p>
        </w:tc>
        <w:tc>
          <w:tcPr>
            <w:tcW w:w="2191" w:type="pct"/>
            <w:tcMar>
              <w:top w:w="0" w:type="dxa"/>
              <w:bottom w:w="0" w:type="dxa"/>
            </w:tcMar>
            <w:vAlign w:val="center"/>
          </w:tcPr>
          <w:p w14:paraId="4339F31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完成删除个人信息、注销账户的操作后及时删除用户的个人信息</w:t>
            </w:r>
          </w:p>
        </w:tc>
      </w:tr>
      <w:tr w:rsidR="00A661C3" w:rsidRPr="00DA3766" w14:paraId="42823273" w14:textId="77777777" w:rsidTr="00DA3766">
        <w:trPr>
          <w:trHeight w:val="397"/>
          <w:jc w:val="center"/>
        </w:trPr>
        <w:tc>
          <w:tcPr>
            <w:tcW w:w="374" w:type="pct"/>
            <w:tcMar>
              <w:top w:w="0" w:type="dxa"/>
              <w:bottom w:w="0" w:type="dxa"/>
            </w:tcMar>
            <w:vAlign w:val="center"/>
          </w:tcPr>
          <w:p w14:paraId="14D8D95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2433" w:type="pct"/>
            <w:tcMar>
              <w:top w:w="0" w:type="dxa"/>
              <w:bottom w:w="0" w:type="dxa"/>
            </w:tcMar>
            <w:vAlign w:val="center"/>
          </w:tcPr>
          <w:p w14:paraId="5E1682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未建立并公布个人信息安全投诉、举报渠道，或未在承诺时限内（承诺时限不得超过</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个工作日，无承诺时限的，以</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个工作日为限）受理并处理的</w:t>
            </w:r>
          </w:p>
        </w:tc>
        <w:tc>
          <w:tcPr>
            <w:tcW w:w="2191" w:type="pct"/>
            <w:tcMar>
              <w:top w:w="0" w:type="dxa"/>
              <w:bottom w:w="0" w:type="dxa"/>
            </w:tcMar>
            <w:vAlign w:val="center"/>
          </w:tcPr>
          <w:p w14:paraId="20AA5B6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已提供个人信息安全投诉、举报的渠道，投诉渠道有效</w:t>
            </w:r>
          </w:p>
        </w:tc>
      </w:tr>
    </w:tbl>
    <w:p w14:paraId="39BBA9CD" w14:textId="05F9147D" w:rsidR="005A5EF8" w:rsidRPr="00DA3766" w:rsidRDefault="005A5EF8" w:rsidP="007E30A6">
      <w:pPr>
        <w:pStyle w:val="005"/>
        <w:spacing w:before="120" w:after="120"/>
        <w:ind w:firstLine="480"/>
        <w:rPr>
          <w:snapToGrid w:val="0"/>
        </w:rPr>
      </w:pPr>
      <w:r w:rsidRPr="00DA3766">
        <w:rPr>
          <w:snapToGrid w:val="0"/>
        </w:rPr>
        <w:t>因此，截至本回复出具之日，标的资产涉及个人数据收集的</w:t>
      </w:r>
      <w:r w:rsidRPr="00DA3766">
        <w:rPr>
          <w:snapToGrid w:val="0"/>
        </w:rPr>
        <w:t>APP</w:t>
      </w:r>
      <w:r w:rsidRPr="00DA3766">
        <w:rPr>
          <w:snapToGrid w:val="0"/>
        </w:rPr>
        <w:t>或小程序</w:t>
      </w:r>
      <w:r w:rsidRPr="00DA3766">
        <w:rPr>
          <w:snapToGrid w:val="0"/>
        </w:rPr>
        <w:lastRenderedPageBreak/>
        <w:t>不存在违法违规收集个人信息问题，符合《</w:t>
      </w:r>
      <w:r w:rsidRPr="00DA3766">
        <w:rPr>
          <w:snapToGrid w:val="0"/>
        </w:rPr>
        <w:t>APP</w:t>
      </w:r>
      <w:r w:rsidRPr="00DA3766">
        <w:rPr>
          <w:snapToGrid w:val="0"/>
        </w:rPr>
        <w:t>违法违规收集使用个人信息行为认定方法》等相关法律法规。</w:t>
      </w:r>
    </w:p>
    <w:p w14:paraId="17D6350E" w14:textId="1F9607E6" w:rsidR="00A661C3" w:rsidRPr="00DA3766" w:rsidRDefault="00A661C3" w:rsidP="007E30A6">
      <w:pPr>
        <w:pStyle w:val="005"/>
        <w:spacing w:before="120" w:after="120"/>
        <w:ind w:firstLine="480"/>
        <w:rPr>
          <w:snapToGrid w:val="0"/>
        </w:rPr>
      </w:pPr>
      <w:r w:rsidRPr="00DA3766">
        <w:rPr>
          <w:snapToGrid w:val="0"/>
        </w:rPr>
        <w:t>标的资产境内网站、</w:t>
      </w:r>
      <w:r w:rsidRPr="00DA3766">
        <w:rPr>
          <w:snapToGrid w:val="0"/>
        </w:rPr>
        <w:t>APP</w:t>
      </w:r>
      <w:r w:rsidRPr="00DA3766">
        <w:rPr>
          <w:snapToGrid w:val="0"/>
        </w:rPr>
        <w:t>、小程序收集使用用户个人信息符合《个人信息保护法》《网络安全法》《数据安全法》等法律法规要求，具体体现为：</w:t>
      </w:r>
    </w:p>
    <w:p w14:paraId="0FBE144F" w14:textId="3A3D8B5F" w:rsidR="00A661C3" w:rsidRPr="00DA3766" w:rsidRDefault="005E2A13" w:rsidP="007E30A6">
      <w:pPr>
        <w:pStyle w:val="005"/>
        <w:spacing w:before="120" w:after="120"/>
        <w:ind w:firstLine="480"/>
        <w:rPr>
          <w:snapToGrid w:val="0"/>
        </w:rPr>
      </w:pPr>
      <w:r w:rsidRPr="00DA3766">
        <w:rPr>
          <w:snapToGrid w:val="0"/>
        </w:rPr>
        <w:t>（</w:t>
      </w:r>
      <w:r w:rsidRPr="00DA3766">
        <w:rPr>
          <w:snapToGrid w:val="0"/>
        </w:rPr>
        <w:t>1</w:t>
      </w:r>
      <w:r w:rsidRPr="00DA3766">
        <w:rPr>
          <w:snapToGrid w:val="0"/>
        </w:rPr>
        <w:t>）</w:t>
      </w:r>
      <w:r w:rsidR="00A661C3" w:rsidRPr="00DA3766">
        <w:rPr>
          <w:snapToGrid w:val="0"/>
        </w:rPr>
        <w:t>在收集环节，上述线上产品仅基于业务必要目的收集使用个人信息，</w:t>
      </w:r>
      <w:r w:rsidR="00C22D30" w:rsidRPr="00DA3766">
        <w:rPr>
          <w:snapToGrid w:val="0"/>
        </w:rPr>
        <w:t>不存在</w:t>
      </w:r>
      <w:r w:rsidR="00A661C3" w:rsidRPr="00DA3766">
        <w:rPr>
          <w:snapToGrid w:val="0"/>
        </w:rPr>
        <w:t>过度收集个人信息的行为；对于标的资产小程序，通过《隐私政策》告知收集个人信息收集使用的目的、方式、类型，并征得用户同意。</w:t>
      </w:r>
    </w:p>
    <w:p w14:paraId="72F7F624" w14:textId="77777777" w:rsidR="00C22D30" w:rsidRPr="00DA3766" w:rsidRDefault="005E2A13" w:rsidP="007E30A6">
      <w:pPr>
        <w:pStyle w:val="005"/>
        <w:spacing w:before="120" w:after="120"/>
        <w:ind w:firstLine="480"/>
        <w:rPr>
          <w:snapToGrid w:val="0"/>
        </w:rPr>
      </w:pPr>
      <w:r w:rsidRPr="00DA3766">
        <w:rPr>
          <w:snapToGrid w:val="0"/>
        </w:rPr>
        <w:t>（</w:t>
      </w:r>
      <w:r w:rsidRPr="00DA3766">
        <w:rPr>
          <w:snapToGrid w:val="0"/>
        </w:rPr>
        <w:t>2</w:t>
      </w:r>
      <w:r w:rsidRPr="00DA3766">
        <w:rPr>
          <w:snapToGrid w:val="0"/>
        </w:rPr>
        <w:t>）</w:t>
      </w:r>
      <w:r w:rsidR="00A661C3" w:rsidRPr="00DA3766">
        <w:rPr>
          <w:snapToGrid w:val="0"/>
        </w:rPr>
        <w:t>在使用环节，收集的个人信息仅用于《隐私政策》约定的用途，不存在滥用用户个人信息的情形；标的资产亦为用户提供个人信息查询、更正、删除、注销账户等权利的途径，保障用户个人信息权利的行使。</w:t>
      </w:r>
    </w:p>
    <w:p w14:paraId="0A1DD359" w14:textId="67B702EC" w:rsidR="00A661C3" w:rsidRPr="00DA3766" w:rsidRDefault="00A661C3" w:rsidP="007E30A6">
      <w:pPr>
        <w:pStyle w:val="005"/>
        <w:spacing w:before="120" w:after="120"/>
        <w:ind w:firstLine="480"/>
        <w:rPr>
          <w:snapToGrid w:val="0"/>
        </w:rPr>
      </w:pPr>
      <w:r w:rsidRPr="00DA3766">
        <w:rPr>
          <w:snapToGrid w:val="0"/>
        </w:rPr>
        <w:t>此外，标的资产不存在个人信息保护违法违规相关的处罚或者纠纷。</w:t>
      </w:r>
    </w:p>
    <w:p w14:paraId="2D914F70" w14:textId="7D1034E1" w:rsidR="00E3564E" w:rsidRPr="00DA3766" w:rsidRDefault="00E3564E" w:rsidP="005E2A13">
      <w:pPr>
        <w:pStyle w:val="005"/>
        <w:spacing w:before="120" w:after="120"/>
        <w:ind w:firstLine="480"/>
      </w:pPr>
      <w:r w:rsidRPr="00DA3766">
        <w:t>综上所述，标的资产用户个人信息收集使用</w:t>
      </w:r>
      <w:r w:rsidR="005E2A13" w:rsidRPr="00DA3766">
        <w:t>具有合规性</w:t>
      </w:r>
      <w:r w:rsidRPr="00DA3766">
        <w:t>。</w:t>
      </w:r>
    </w:p>
    <w:p w14:paraId="3541BD19"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四、</w:t>
      </w:r>
      <w:bookmarkStart w:id="9" w:name="_Hlk217914548"/>
      <w:r w:rsidRPr="00DA3766">
        <w:rPr>
          <w:rFonts w:ascii="Times New Roman" w:hAnsi="Times New Roman" w:cs="Times New Roman"/>
          <w:b/>
          <w:bCs/>
          <w:szCs w:val="28"/>
        </w:rPr>
        <w:t>演出经纪业务</w:t>
      </w:r>
      <w:bookmarkEnd w:id="9"/>
      <w:r w:rsidRPr="00DA3766">
        <w:rPr>
          <w:rFonts w:ascii="Times New Roman" w:hAnsi="Times New Roman" w:cs="Times New Roman"/>
          <w:b/>
          <w:bCs/>
          <w:szCs w:val="28"/>
        </w:rPr>
        <w:t>的业务模式、运营开展情况及经营业绩</w:t>
      </w:r>
    </w:p>
    <w:p w14:paraId="360031AA" w14:textId="77777777" w:rsidR="00A661C3" w:rsidRPr="00DA3766" w:rsidRDefault="00A661C3" w:rsidP="007E30A6">
      <w:pPr>
        <w:pStyle w:val="005"/>
        <w:spacing w:before="120" w:after="120"/>
        <w:ind w:firstLine="480"/>
      </w:pPr>
      <w:r w:rsidRPr="00DA3766">
        <w:t>根据文化和旅游部发布的《演出经纪人员管理办法》，演出经纪活动指的是演出组织、制作、营销，演出居间、代理、行纪，演员签约、推广、代理等活动。</w:t>
      </w:r>
    </w:p>
    <w:p w14:paraId="407E0878" w14:textId="77777777" w:rsidR="00A661C3" w:rsidRPr="00DA3766" w:rsidRDefault="00A661C3" w:rsidP="007E30A6">
      <w:pPr>
        <w:pStyle w:val="005"/>
        <w:spacing w:before="120" w:after="120"/>
        <w:ind w:firstLine="480"/>
      </w:pPr>
      <w:r w:rsidRPr="00DA3766">
        <w:t>根据文化和旅游部发布的《营业性演出管理条例实施细则》，演出经纪机构是指具备《营业性演出管理条例》第六条规定条件，从事下列活动的经营单位：（</w:t>
      </w:r>
      <w:r w:rsidRPr="00DA3766">
        <w:t>1</w:t>
      </w:r>
      <w:r w:rsidRPr="00DA3766">
        <w:t>）演出组织、制作、营销等经营活动；（</w:t>
      </w:r>
      <w:r w:rsidRPr="00DA3766">
        <w:t>2</w:t>
      </w:r>
      <w:r w:rsidRPr="00DA3766">
        <w:t>）演出居间、代理、行纪等经纪活动；（</w:t>
      </w:r>
      <w:r w:rsidRPr="00DA3766">
        <w:t>3</w:t>
      </w:r>
      <w:r w:rsidRPr="00DA3766">
        <w:t>）演员签约、推广、代理等经纪活动。</w:t>
      </w:r>
    </w:p>
    <w:p w14:paraId="3E17C8E6" w14:textId="033761B3" w:rsidR="00A661C3" w:rsidRPr="00DA3766" w:rsidRDefault="00A661C3" w:rsidP="007E30A6">
      <w:pPr>
        <w:pStyle w:val="005"/>
        <w:spacing w:before="120" w:after="120"/>
        <w:ind w:firstLine="480"/>
      </w:pPr>
      <w:r w:rsidRPr="00DA3766">
        <w:t>经核查，</w:t>
      </w:r>
      <w:r w:rsidR="00E32844" w:rsidRPr="00DA3766">
        <w:t>报告期内标的公司及其下属子公司均未实际开展演出经纪业务，</w:t>
      </w:r>
      <w:r w:rsidRPr="00DA3766">
        <w:t>截至本回复出具之日，标的公司及其下属子公司的经营范围</w:t>
      </w:r>
      <w:r w:rsidR="00E32844" w:rsidRPr="00DA3766">
        <w:t>亦未包含</w:t>
      </w:r>
      <w:r w:rsidRPr="00DA3766">
        <w:t>演出经纪业务。</w:t>
      </w:r>
    </w:p>
    <w:p w14:paraId="3182E936" w14:textId="77777777" w:rsidR="00A661C3" w:rsidRPr="00DA3766" w:rsidRDefault="00A661C3" w:rsidP="00A81CC2">
      <w:pPr>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五、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p>
    <w:p w14:paraId="0639854D" w14:textId="77777777" w:rsidR="00A661C3" w:rsidRPr="00DA3766" w:rsidRDefault="00A661C3" w:rsidP="00A81CC2">
      <w:pPr>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（一）收单外包业务的经营情况及经营合规性</w:t>
      </w:r>
    </w:p>
    <w:p w14:paraId="67BB95CA"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1</w:t>
      </w:r>
      <w:r w:rsidRPr="00DA3766">
        <w:rPr>
          <w:rFonts w:ascii="Times New Roman" w:hAnsi="Times New Roman" w:cs="Times New Roman"/>
          <w:b/>
          <w:bCs/>
          <w:szCs w:val="28"/>
        </w:rPr>
        <w:t>、收单外包业务的经营情况</w:t>
      </w:r>
    </w:p>
    <w:p w14:paraId="226E56C7" w14:textId="77777777" w:rsidR="00A661C3" w:rsidRPr="00DA3766" w:rsidRDefault="00A661C3" w:rsidP="007E30A6">
      <w:pPr>
        <w:pStyle w:val="005"/>
        <w:spacing w:before="120" w:after="120"/>
        <w:ind w:firstLine="480"/>
      </w:pPr>
      <w:r w:rsidRPr="00DA3766">
        <w:t>标的公司主要从事特约商户引荐、交易信息转接服务等经中国支付清算协会备案的收单外包服务。根据中国支付清算协会</w:t>
      </w:r>
      <w:r w:rsidRPr="00DA3766">
        <w:t>2025</w:t>
      </w:r>
      <w:r w:rsidRPr="00DA3766">
        <w:t>年</w:t>
      </w:r>
      <w:r w:rsidRPr="00DA3766">
        <w:t>5</w:t>
      </w:r>
      <w:r w:rsidRPr="00DA3766">
        <w:t>月发布的《收单外包服务机构备案管理规范》，特约商户引荐服务是指外包机构将其服务对象引荐至有意向提供支付受理服务的持牌机构，交易信息转接服务是指外包机构通过技术手段在持牌机构与其服务对象之间提供交易信息转接的服务。</w:t>
      </w:r>
    </w:p>
    <w:p w14:paraId="7E03D573" w14:textId="03155330" w:rsidR="00A661C3" w:rsidRPr="00DA3766" w:rsidRDefault="00A661C3" w:rsidP="007E30A6">
      <w:pPr>
        <w:pStyle w:val="005"/>
        <w:spacing w:before="120" w:after="120"/>
        <w:ind w:firstLine="480"/>
      </w:pPr>
      <w:r w:rsidRPr="00DA3766">
        <w:t>报告期各期，标的公司收单外包业务收入金额分别为</w:t>
      </w:r>
      <w:r w:rsidRPr="00DA3766">
        <w:t>3,288.3</w:t>
      </w:r>
      <w:r w:rsidR="001E60AA" w:rsidRPr="00DA3766">
        <w:t>3</w:t>
      </w:r>
      <w:r w:rsidRPr="00DA3766">
        <w:t>万元、</w:t>
      </w:r>
      <w:r w:rsidRPr="00DA3766">
        <w:t>3,547.06</w:t>
      </w:r>
      <w:r w:rsidRPr="00DA3766">
        <w:t>万元和</w:t>
      </w:r>
      <w:r w:rsidRPr="00DA3766">
        <w:t>1,740.65</w:t>
      </w:r>
      <w:r w:rsidRPr="00DA3766">
        <w:t>万元，占当期营业收入的比例分别为</w:t>
      </w:r>
      <w:r w:rsidRPr="00DA3766">
        <w:t>8.54%</w:t>
      </w:r>
      <w:r w:rsidRPr="00DA3766">
        <w:t>、</w:t>
      </w:r>
      <w:r w:rsidRPr="00DA3766">
        <w:t>7.93%</w:t>
      </w:r>
      <w:r w:rsidRPr="00DA3766">
        <w:t>和</w:t>
      </w:r>
      <w:r w:rsidRPr="00DA3766">
        <w:t>7.02%</w:t>
      </w:r>
      <w:r w:rsidRPr="00DA3766">
        <w:t>。</w:t>
      </w:r>
    </w:p>
    <w:p w14:paraId="74208FB7"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、收单外包业务的经营合规性</w:t>
      </w:r>
    </w:p>
    <w:p w14:paraId="203651E6" w14:textId="77777777" w:rsidR="00A661C3" w:rsidRPr="004C2193" w:rsidRDefault="00A661C3" w:rsidP="004C2193">
      <w:pPr>
        <w:pStyle w:val="005"/>
        <w:spacing w:before="120" w:after="120"/>
        <w:ind w:firstLine="464"/>
        <w:rPr>
          <w:spacing w:val="-4"/>
        </w:rPr>
      </w:pPr>
      <w:r w:rsidRPr="004C2193">
        <w:rPr>
          <w:spacing w:val="-4"/>
        </w:rPr>
        <w:t>根据《收单外包服务机构备案管理规范》等规定，外包机构应自主向中国支付清算协会提出备案申请，提交符合《收单外包服务机构备案管理规范》要求的备案信息及证明材料，经协会审核通过并取得备案证明后，方可与持牌机构开展合作。</w:t>
      </w:r>
    </w:p>
    <w:p w14:paraId="5EF0A61E" w14:textId="77777777" w:rsidR="00A661C3" w:rsidRPr="00DA3766" w:rsidRDefault="00A661C3" w:rsidP="007E30A6">
      <w:pPr>
        <w:pStyle w:val="005"/>
        <w:spacing w:before="120" w:after="120"/>
        <w:ind w:firstLine="480"/>
      </w:pPr>
      <w:r w:rsidRPr="00DA3766">
        <w:t>根据实际开展业务需求，标的资产各开展收单外包业务的主体均已在中国支付清算协会进行备案并获取《收单外包服务机构备案回执》，具体情况如下：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1144"/>
        <w:gridCol w:w="1670"/>
        <w:gridCol w:w="1573"/>
        <w:gridCol w:w="1312"/>
        <w:gridCol w:w="826"/>
        <w:gridCol w:w="1213"/>
      </w:tblGrid>
      <w:tr w:rsidR="00A661C3" w:rsidRPr="00DA3766" w14:paraId="7DE5E3D9" w14:textId="77777777" w:rsidTr="004C2193">
        <w:trPr>
          <w:trHeight w:val="397"/>
          <w:tblHeader/>
          <w:jc w:val="center"/>
        </w:trPr>
        <w:tc>
          <w:tcPr>
            <w:tcW w:w="790" w:type="dxa"/>
            <w:tcMar>
              <w:top w:w="0" w:type="dxa"/>
              <w:left w:w="108" w:type="dxa"/>
              <w:bottom w:w="0" w:type="dxa"/>
              <w:right w:w="108" w:type="dxa"/>
            </w:tcMar>
            <w:vAlign w:val="center"/>
          </w:tcPr>
          <w:p w14:paraId="5121A444"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1144" w:type="dxa"/>
            <w:tcMar>
              <w:top w:w="0" w:type="dxa"/>
              <w:left w:w="108" w:type="dxa"/>
              <w:bottom w:w="0" w:type="dxa"/>
              <w:right w:w="108" w:type="dxa"/>
            </w:tcMar>
            <w:vAlign w:val="center"/>
          </w:tcPr>
          <w:p w14:paraId="12A7969A"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持证</w:t>
            </w:r>
          </w:p>
          <w:p w14:paraId="424959E0"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主体</w:t>
            </w:r>
          </w:p>
        </w:tc>
        <w:tc>
          <w:tcPr>
            <w:tcW w:w="1670" w:type="dxa"/>
            <w:tcMar>
              <w:top w:w="0" w:type="dxa"/>
              <w:left w:w="108" w:type="dxa"/>
              <w:bottom w:w="0" w:type="dxa"/>
              <w:right w:w="108" w:type="dxa"/>
            </w:tcMar>
            <w:vAlign w:val="center"/>
          </w:tcPr>
          <w:p w14:paraId="1309CE9A"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证书名称</w:t>
            </w:r>
          </w:p>
        </w:tc>
        <w:tc>
          <w:tcPr>
            <w:tcW w:w="1573" w:type="dxa"/>
            <w:tcMar>
              <w:top w:w="0" w:type="dxa"/>
              <w:left w:w="108" w:type="dxa"/>
              <w:bottom w:w="0" w:type="dxa"/>
              <w:right w:w="108" w:type="dxa"/>
            </w:tcMar>
            <w:vAlign w:val="center"/>
          </w:tcPr>
          <w:p w14:paraId="7A47B6D2"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证书编号</w:t>
            </w:r>
          </w:p>
        </w:tc>
        <w:tc>
          <w:tcPr>
            <w:tcW w:w="1312" w:type="dxa"/>
            <w:tcMar>
              <w:top w:w="0" w:type="dxa"/>
              <w:left w:w="108" w:type="dxa"/>
              <w:bottom w:w="0" w:type="dxa"/>
              <w:right w:w="108" w:type="dxa"/>
            </w:tcMar>
            <w:vAlign w:val="center"/>
          </w:tcPr>
          <w:p w14:paraId="2C3D7E11"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发证日期</w:t>
            </w:r>
          </w:p>
        </w:tc>
        <w:tc>
          <w:tcPr>
            <w:tcW w:w="826" w:type="dxa"/>
            <w:tcMar>
              <w:top w:w="0" w:type="dxa"/>
              <w:left w:w="108" w:type="dxa"/>
              <w:bottom w:w="0" w:type="dxa"/>
              <w:right w:w="108" w:type="dxa"/>
            </w:tcMar>
            <w:vAlign w:val="center"/>
          </w:tcPr>
          <w:p w14:paraId="4E1A1BAE"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有效期限</w:t>
            </w:r>
          </w:p>
        </w:tc>
        <w:tc>
          <w:tcPr>
            <w:tcW w:w="1213" w:type="dxa"/>
            <w:tcMar>
              <w:top w:w="0" w:type="dxa"/>
              <w:left w:w="108" w:type="dxa"/>
              <w:bottom w:w="0" w:type="dxa"/>
              <w:right w:w="108" w:type="dxa"/>
            </w:tcMar>
            <w:vAlign w:val="center"/>
          </w:tcPr>
          <w:p w14:paraId="5AA4C351"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发证机关</w:t>
            </w:r>
          </w:p>
        </w:tc>
      </w:tr>
      <w:tr w:rsidR="00A661C3" w:rsidRPr="00DA3766" w14:paraId="185D1C5B" w14:textId="77777777" w:rsidTr="00DA3766">
        <w:trPr>
          <w:trHeight w:val="397"/>
          <w:jc w:val="center"/>
        </w:trPr>
        <w:tc>
          <w:tcPr>
            <w:tcW w:w="790" w:type="dxa"/>
            <w:tcMar>
              <w:top w:w="0" w:type="dxa"/>
              <w:left w:w="108" w:type="dxa"/>
              <w:bottom w:w="0" w:type="dxa"/>
              <w:right w:w="108" w:type="dxa"/>
            </w:tcMar>
            <w:vAlign w:val="center"/>
          </w:tcPr>
          <w:p w14:paraId="7762EB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144" w:type="dxa"/>
            <w:tcMar>
              <w:top w:w="0" w:type="dxa"/>
              <w:left w:w="108" w:type="dxa"/>
              <w:bottom w:w="0" w:type="dxa"/>
              <w:right w:w="108" w:type="dxa"/>
            </w:tcMar>
            <w:vAlign w:val="center"/>
          </w:tcPr>
          <w:p w14:paraId="28F073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星云开物</w:t>
            </w:r>
          </w:p>
        </w:tc>
        <w:tc>
          <w:tcPr>
            <w:tcW w:w="1670" w:type="dxa"/>
            <w:tcMar>
              <w:top w:w="0" w:type="dxa"/>
              <w:left w:w="108" w:type="dxa"/>
              <w:bottom w:w="0" w:type="dxa"/>
              <w:right w:w="108" w:type="dxa"/>
            </w:tcMar>
            <w:vAlign w:val="center"/>
          </w:tcPr>
          <w:p w14:paraId="2B926AE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2B1CA69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W20211440100000276</w:t>
            </w:r>
          </w:p>
        </w:tc>
        <w:tc>
          <w:tcPr>
            <w:tcW w:w="1312" w:type="dxa"/>
            <w:tcMar>
              <w:top w:w="0" w:type="dxa"/>
              <w:left w:w="108" w:type="dxa"/>
              <w:bottom w:w="0" w:type="dxa"/>
              <w:right w:w="108" w:type="dxa"/>
            </w:tcMar>
            <w:vAlign w:val="center"/>
          </w:tcPr>
          <w:p w14:paraId="0530CE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2021.06.21</w:t>
            </w:r>
          </w:p>
        </w:tc>
        <w:tc>
          <w:tcPr>
            <w:tcW w:w="826" w:type="dxa"/>
            <w:tcMar>
              <w:top w:w="0" w:type="dxa"/>
              <w:left w:w="108" w:type="dxa"/>
              <w:bottom w:w="0" w:type="dxa"/>
              <w:right w:w="108" w:type="dxa"/>
            </w:tcMar>
            <w:vAlign w:val="center"/>
          </w:tcPr>
          <w:p w14:paraId="3C7A21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3475702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32048AE2" w14:textId="77777777" w:rsidTr="00DA3766">
        <w:trPr>
          <w:trHeight w:val="397"/>
          <w:jc w:val="center"/>
        </w:trPr>
        <w:tc>
          <w:tcPr>
            <w:tcW w:w="790" w:type="dxa"/>
            <w:tcMar>
              <w:top w:w="0" w:type="dxa"/>
              <w:left w:w="108" w:type="dxa"/>
              <w:bottom w:w="0" w:type="dxa"/>
              <w:right w:w="108" w:type="dxa"/>
            </w:tcMar>
            <w:vAlign w:val="center"/>
          </w:tcPr>
          <w:p w14:paraId="471596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144" w:type="dxa"/>
            <w:tcMar>
              <w:top w:w="0" w:type="dxa"/>
              <w:left w:w="108" w:type="dxa"/>
              <w:bottom w:w="0" w:type="dxa"/>
              <w:right w:w="108" w:type="dxa"/>
            </w:tcMar>
            <w:vAlign w:val="center"/>
          </w:tcPr>
          <w:p w14:paraId="2245B0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广州宝点</w:t>
            </w:r>
          </w:p>
        </w:tc>
        <w:tc>
          <w:tcPr>
            <w:tcW w:w="1670" w:type="dxa"/>
            <w:tcMar>
              <w:top w:w="0" w:type="dxa"/>
              <w:left w:w="108" w:type="dxa"/>
              <w:bottom w:w="0" w:type="dxa"/>
              <w:right w:w="108" w:type="dxa"/>
            </w:tcMar>
            <w:vAlign w:val="center"/>
          </w:tcPr>
          <w:p w14:paraId="6691DDE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04FB670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W2021440100000247</w:t>
            </w:r>
          </w:p>
        </w:tc>
        <w:tc>
          <w:tcPr>
            <w:tcW w:w="1312" w:type="dxa"/>
            <w:tcMar>
              <w:top w:w="0" w:type="dxa"/>
              <w:left w:w="108" w:type="dxa"/>
              <w:bottom w:w="0" w:type="dxa"/>
              <w:right w:w="108" w:type="dxa"/>
            </w:tcMar>
            <w:vAlign w:val="center"/>
          </w:tcPr>
          <w:p w14:paraId="3BAC25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2021.06.21</w:t>
            </w:r>
          </w:p>
        </w:tc>
        <w:tc>
          <w:tcPr>
            <w:tcW w:w="826" w:type="dxa"/>
            <w:tcMar>
              <w:top w:w="0" w:type="dxa"/>
              <w:left w:w="108" w:type="dxa"/>
              <w:bottom w:w="0" w:type="dxa"/>
              <w:right w:w="108" w:type="dxa"/>
            </w:tcMar>
            <w:vAlign w:val="center"/>
          </w:tcPr>
          <w:p w14:paraId="561AFA9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640BC15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4676AAB2" w14:textId="77777777" w:rsidTr="00DA3766">
        <w:trPr>
          <w:trHeight w:val="397"/>
          <w:jc w:val="center"/>
        </w:trPr>
        <w:tc>
          <w:tcPr>
            <w:tcW w:w="790" w:type="dxa"/>
            <w:tcMar>
              <w:top w:w="0" w:type="dxa"/>
              <w:left w:w="108" w:type="dxa"/>
              <w:bottom w:w="0" w:type="dxa"/>
              <w:right w:w="108" w:type="dxa"/>
            </w:tcMar>
            <w:vAlign w:val="center"/>
          </w:tcPr>
          <w:p w14:paraId="7350D1F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w:t>
            </w:r>
          </w:p>
        </w:tc>
        <w:tc>
          <w:tcPr>
            <w:tcW w:w="1144" w:type="dxa"/>
            <w:tcMar>
              <w:top w:w="0" w:type="dxa"/>
              <w:left w:w="108" w:type="dxa"/>
              <w:bottom w:w="0" w:type="dxa"/>
              <w:right w:w="108" w:type="dxa"/>
            </w:tcMar>
            <w:vAlign w:val="center"/>
          </w:tcPr>
          <w:p w14:paraId="7E9511E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易普乐</w:t>
            </w:r>
          </w:p>
        </w:tc>
        <w:tc>
          <w:tcPr>
            <w:tcW w:w="1670" w:type="dxa"/>
            <w:tcMar>
              <w:top w:w="0" w:type="dxa"/>
              <w:left w:w="108" w:type="dxa"/>
              <w:bottom w:w="0" w:type="dxa"/>
              <w:right w:w="108" w:type="dxa"/>
            </w:tcMar>
            <w:vAlign w:val="center"/>
          </w:tcPr>
          <w:p w14:paraId="37DDBFB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510F8F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W2021320500000116</w:t>
            </w:r>
          </w:p>
        </w:tc>
        <w:tc>
          <w:tcPr>
            <w:tcW w:w="1312" w:type="dxa"/>
            <w:tcMar>
              <w:top w:w="0" w:type="dxa"/>
              <w:left w:w="108" w:type="dxa"/>
              <w:bottom w:w="0" w:type="dxa"/>
              <w:right w:w="108" w:type="dxa"/>
            </w:tcMar>
            <w:vAlign w:val="center"/>
          </w:tcPr>
          <w:p w14:paraId="5D0FE6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2021.08.02</w:t>
            </w:r>
          </w:p>
        </w:tc>
        <w:tc>
          <w:tcPr>
            <w:tcW w:w="826" w:type="dxa"/>
            <w:tcMar>
              <w:top w:w="0" w:type="dxa"/>
              <w:left w:w="108" w:type="dxa"/>
              <w:bottom w:w="0" w:type="dxa"/>
              <w:right w:w="108" w:type="dxa"/>
            </w:tcMar>
            <w:vAlign w:val="center"/>
          </w:tcPr>
          <w:p w14:paraId="45FF6AE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72B5E09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3EFD0A11" w14:textId="77777777" w:rsidTr="00DA3766">
        <w:trPr>
          <w:trHeight w:val="397"/>
          <w:jc w:val="center"/>
        </w:trPr>
        <w:tc>
          <w:tcPr>
            <w:tcW w:w="790" w:type="dxa"/>
            <w:tcMar>
              <w:top w:w="0" w:type="dxa"/>
              <w:left w:w="108" w:type="dxa"/>
              <w:bottom w:w="0" w:type="dxa"/>
              <w:right w:w="108" w:type="dxa"/>
            </w:tcMar>
            <w:vAlign w:val="center"/>
          </w:tcPr>
          <w:p w14:paraId="517F49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1144" w:type="dxa"/>
            <w:tcMar>
              <w:top w:w="0" w:type="dxa"/>
              <w:left w:w="108" w:type="dxa"/>
              <w:bottom w:w="0" w:type="dxa"/>
              <w:right w:w="108" w:type="dxa"/>
            </w:tcMar>
            <w:vAlign w:val="center"/>
          </w:tcPr>
          <w:p w14:paraId="1B2FCC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亦强科技</w:t>
            </w:r>
          </w:p>
        </w:tc>
        <w:tc>
          <w:tcPr>
            <w:tcW w:w="1670" w:type="dxa"/>
            <w:tcMar>
              <w:top w:w="0" w:type="dxa"/>
              <w:left w:w="108" w:type="dxa"/>
              <w:bottom w:w="0" w:type="dxa"/>
              <w:right w:w="108" w:type="dxa"/>
            </w:tcMar>
            <w:vAlign w:val="center"/>
          </w:tcPr>
          <w:p w14:paraId="13D7ADD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543530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W2311281048351540</w:t>
            </w:r>
          </w:p>
        </w:tc>
        <w:tc>
          <w:tcPr>
            <w:tcW w:w="1312" w:type="dxa"/>
            <w:tcMar>
              <w:top w:w="0" w:type="dxa"/>
              <w:left w:w="108" w:type="dxa"/>
              <w:bottom w:w="0" w:type="dxa"/>
              <w:right w:w="108" w:type="dxa"/>
            </w:tcMar>
            <w:vAlign w:val="center"/>
          </w:tcPr>
          <w:p w14:paraId="17947F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2023.11.28</w:t>
            </w:r>
          </w:p>
        </w:tc>
        <w:tc>
          <w:tcPr>
            <w:tcW w:w="826" w:type="dxa"/>
            <w:tcMar>
              <w:top w:w="0" w:type="dxa"/>
              <w:left w:w="108" w:type="dxa"/>
              <w:bottom w:w="0" w:type="dxa"/>
              <w:right w:w="108" w:type="dxa"/>
            </w:tcMar>
            <w:vAlign w:val="center"/>
          </w:tcPr>
          <w:p w14:paraId="36E9F3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4827EEB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285ABA55" w14:textId="77777777" w:rsidTr="00DA3766">
        <w:trPr>
          <w:trHeight w:val="397"/>
          <w:jc w:val="center"/>
        </w:trPr>
        <w:tc>
          <w:tcPr>
            <w:tcW w:w="790" w:type="dxa"/>
            <w:tcMar>
              <w:top w:w="0" w:type="dxa"/>
              <w:left w:w="108" w:type="dxa"/>
              <w:bottom w:w="0" w:type="dxa"/>
              <w:right w:w="108" w:type="dxa"/>
            </w:tcMar>
            <w:vAlign w:val="center"/>
          </w:tcPr>
          <w:p w14:paraId="0C77FB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1144" w:type="dxa"/>
            <w:tcMar>
              <w:top w:w="0" w:type="dxa"/>
              <w:left w:w="108" w:type="dxa"/>
              <w:bottom w:w="0" w:type="dxa"/>
              <w:right w:w="108" w:type="dxa"/>
            </w:tcMar>
            <w:vAlign w:val="center"/>
          </w:tcPr>
          <w:p w14:paraId="71E9E95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杭州东晙</w:t>
            </w:r>
          </w:p>
        </w:tc>
        <w:tc>
          <w:tcPr>
            <w:tcW w:w="1670" w:type="dxa"/>
            <w:tcMar>
              <w:top w:w="0" w:type="dxa"/>
              <w:left w:w="108" w:type="dxa"/>
              <w:bottom w:w="0" w:type="dxa"/>
              <w:right w:w="108" w:type="dxa"/>
            </w:tcMar>
            <w:vAlign w:val="center"/>
          </w:tcPr>
          <w:p w14:paraId="35AAA6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6ECEA0E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W2021330100000173</w:t>
            </w:r>
          </w:p>
        </w:tc>
        <w:tc>
          <w:tcPr>
            <w:tcW w:w="1312" w:type="dxa"/>
            <w:tcMar>
              <w:top w:w="0" w:type="dxa"/>
              <w:left w:w="108" w:type="dxa"/>
              <w:bottom w:w="0" w:type="dxa"/>
              <w:right w:w="108" w:type="dxa"/>
            </w:tcMar>
            <w:vAlign w:val="center"/>
          </w:tcPr>
          <w:p w14:paraId="07FEA2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2021.08.02</w:t>
            </w:r>
          </w:p>
        </w:tc>
        <w:tc>
          <w:tcPr>
            <w:tcW w:w="826" w:type="dxa"/>
            <w:tcMar>
              <w:top w:w="0" w:type="dxa"/>
              <w:left w:w="108" w:type="dxa"/>
              <w:bottom w:w="0" w:type="dxa"/>
              <w:right w:w="108" w:type="dxa"/>
            </w:tcMar>
            <w:vAlign w:val="center"/>
          </w:tcPr>
          <w:p w14:paraId="4EA7C6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157E46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73E14E89" w14:textId="77777777" w:rsidTr="00DA3766">
        <w:trPr>
          <w:trHeight w:val="397"/>
          <w:jc w:val="center"/>
        </w:trPr>
        <w:tc>
          <w:tcPr>
            <w:tcW w:w="790" w:type="dxa"/>
            <w:tcMar>
              <w:top w:w="0" w:type="dxa"/>
              <w:left w:w="108" w:type="dxa"/>
              <w:bottom w:w="0" w:type="dxa"/>
              <w:right w:w="108" w:type="dxa"/>
            </w:tcMar>
            <w:vAlign w:val="center"/>
          </w:tcPr>
          <w:p w14:paraId="3BAB0C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w:t>
            </w:r>
          </w:p>
        </w:tc>
        <w:tc>
          <w:tcPr>
            <w:tcW w:w="1144" w:type="dxa"/>
            <w:tcMar>
              <w:top w:w="0" w:type="dxa"/>
              <w:left w:w="108" w:type="dxa"/>
              <w:bottom w:w="0" w:type="dxa"/>
              <w:right w:w="108" w:type="dxa"/>
            </w:tcMar>
            <w:vAlign w:val="center"/>
          </w:tcPr>
          <w:p w14:paraId="2C0FFD0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星拓科技</w:t>
            </w:r>
          </w:p>
        </w:tc>
        <w:tc>
          <w:tcPr>
            <w:tcW w:w="1670" w:type="dxa"/>
            <w:tcMar>
              <w:top w:w="0" w:type="dxa"/>
              <w:left w:w="108" w:type="dxa"/>
              <w:bottom w:w="0" w:type="dxa"/>
              <w:right w:w="108" w:type="dxa"/>
            </w:tcMar>
            <w:vAlign w:val="center"/>
          </w:tcPr>
          <w:p w14:paraId="7C6A405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13334B2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W2312201345092516</w:t>
            </w:r>
          </w:p>
        </w:tc>
        <w:tc>
          <w:tcPr>
            <w:tcW w:w="1312" w:type="dxa"/>
            <w:tcMar>
              <w:top w:w="0" w:type="dxa"/>
              <w:left w:w="108" w:type="dxa"/>
              <w:bottom w:w="0" w:type="dxa"/>
              <w:right w:w="108" w:type="dxa"/>
            </w:tcMar>
            <w:vAlign w:val="center"/>
          </w:tcPr>
          <w:p w14:paraId="31D719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2023.12.20</w:t>
            </w:r>
          </w:p>
        </w:tc>
        <w:tc>
          <w:tcPr>
            <w:tcW w:w="826" w:type="dxa"/>
            <w:tcMar>
              <w:top w:w="0" w:type="dxa"/>
              <w:left w:w="108" w:type="dxa"/>
              <w:bottom w:w="0" w:type="dxa"/>
              <w:right w:w="108" w:type="dxa"/>
            </w:tcMar>
            <w:vAlign w:val="center"/>
          </w:tcPr>
          <w:p w14:paraId="23FEA54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7B18722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44E4DB6E" w14:textId="77777777" w:rsidTr="00DA3766">
        <w:trPr>
          <w:trHeight w:val="397"/>
          <w:jc w:val="center"/>
        </w:trPr>
        <w:tc>
          <w:tcPr>
            <w:tcW w:w="790" w:type="dxa"/>
            <w:tcMar>
              <w:top w:w="0" w:type="dxa"/>
              <w:left w:w="108" w:type="dxa"/>
              <w:bottom w:w="0" w:type="dxa"/>
              <w:right w:w="108" w:type="dxa"/>
            </w:tcMar>
            <w:vAlign w:val="center"/>
          </w:tcPr>
          <w:p w14:paraId="258ED97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w:t>
            </w:r>
          </w:p>
        </w:tc>
        <w:tc>
          <w:tcPr>
            <w:tcW w:w="1144" w:type="dxa"/>
            <w:tcMar>
              <w:top w:w="0" w:type="dxa"/>
              <w:left w:w="108" w:type="dxa"/>
              <w:bottom w:w="0" w:type="dxa"/>
              <w:right w:w="108" w:type="dxa"/>
            </w:tcMar>
            <w:vAlign w:val="center"/>
          </w:tcPr>
          <w:p w14:paraId="7439F2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乐爽信息</w:t>
            </w:r>
          </w:p>
        </w:tc>
        <w:tc>
          <w:tcPr>
            <w:tcW w:w="1670" w:type="dxa"/>
            <w:tcMar>
              <w:top w:w="0" w:type="dxa"/>
              <w:left w:w="108" w:type="dxa"/>
              <w:bottom w:w="0" w:type="dxa"/>
              <w:right w:w="108" w:type="dxa"/>
            </w:tcMar>
            <w:vAlign w:val="center"/>
          </w:tcPr>
          <w:p w14:paraId="6E2AB8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7800B75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W2312201345102518</w:t>
            </w:r>
          </w:p>
        </w:tc>
        <w:tc>
          <w:tcPr>
            <w:tcW w:w="1312" w:type="dxa"/>
            <w:tcMar>
              <w:top w:w="0" w:type="dxa"/>
              <w:left w:w="108" w:type="dxa"/>
              <w:bottom w:w="0" w:type="dxa"/>
              <w:right w:w="108" w:type="dxa"/>
            </w:tcMar>
            <w:vAlign w:val="center"/>
          </w:tcPr>
          <w:p w14:paraId="4E864B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2023.12.20</w:t>
            </w:r>
          </w:p>
        </w:tc>
        <w:tc>
          <w:tcPr>
            <w:tcW w:w="826" w:type="dxa"/>
            <w:tcMar>
              <w:top w:w="0" w:type="dxa"/>
              <w:left w:w="108" w:type="dxa"/>
              <w:bottom w:w="0" w:type="dxa"/>
              <w:right w:w="108" w:type="dxa"/>
            </w:tcMar>
            <w:vAlign w:val="center"/>
          </w:tcPr>
          <w:p w14:paraId="11192D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0DE929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bl>
    <w:p w14:paraId="1AC2F476" w14:textId="77777777" w:rsidR="00A661C3" w:rsidRPr="00DA3766" w:rsidRDefault="00A661C3" w:rsidP="007E30A6">
      <w:pPr>
        <w:pStyle w:val="005"/>
        <w:spacing w:before="120" w:after="120"/>
        <w:ind w:firstLine="480"/>
      </w:pPr>
      <w:r w:rsidRPr="00DA3766">
        <w:t>此外，为进一步保证数据合规、用户隐私和资金安全，标的公司已按照《信息系统安全等级保护实施指南》要求办理了信息系统安全等级保护三级的备案及测评。</w:t>
      </w:r>
    </w:p>
    <w:p w14:paraId="4429231E" w14:textId="1F0BF7C4" w:rsidR="00A661C3" w:rsidRPr="00DA3766" w:rsidRDefault="00A661C3" w:rsidP="007E30A6">
      <w:pPr>
        <w:pStyle w:val="005"/>
        <w:spacing w:before="120" w:after="120"/>
        <w:ind w:firstLine="480"/>
      </w:pPr>
      <w:r w:rsidRPr="00DA3766">
        <w:t>经公开检索中国人民银行、国家金融监督管理总局和中国支付清算协会等收</w:t>
      </w:r>
      <w:r w:rsidRPr="00DA3766">
        <w:lastRenderedPageBreak/>
        <w:t>单外包服务相关监管部门官网信息，截至本回复</w:t>
      </w:r>
      <w:r w:rsidR="005A5EF8" w:rsidRPr="00DA3766">
        <w:t>出具</w:t>
      </w:r>
      <w:r w:rsidRPr="00DA3766">
        <w:t>之日，标的公司及其子公司不存在因违规经营被相关监管部门采取监管处罚措施的情形。</w:t>
      </w:r>
    </w:p>
    <w:p w14:paraId="7934FDFA" w14:textId="77777777" w:rsidR="00A661C3" w:rsidRPr="00DA3766" w:rsidRDefault="00A661C3" w:rsidP="007E30A6">
      <w:pPr>
        <w:pStyle w:val="005"/>
        <w:spacing w:before="120" w:after="120"/>
        <w:ind w:firstLine="480"/>
      </w:pPr>
      <w:r w:rsidRPr="00DA3766">
        <w:t>综上所述，标的公司收单外包服务业务符合相关法律法规的规定，截至本意见回复之日不存在被相关监管部门采取监管处罚措施的情形，具备经营合规性。</w:t>
      </w:r>
    </w:p>
    <w:p w14:paraId="010055FD"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（二）列示该业务主要客户情况，包括但不限于业务资质、经营合规性、有效交易流水、服务费率及变化情况</w:t>
      </w:r>
    </w:p>
    <w:p w14:paraId="04EF6943"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、收单外包业务的主要客户情况</w:t>
      </w:r>
    </w:p>
    <w:p w14:paraId="65128EBF" w14:textId="42BC3FD1" w:rsidR="008E4984" w:rsidRPr="00DA3766" w:rsidRDefault="008E4984" w:rsidP="007E30A6">
      <w:pPr>
        <w:pStyle w:val="005"/>
        <w:spacing w:before="120" w:after="120"/>
        <w:ind w:firstLine="480"/>
      </w:pPr>
      <w:r w:rsidRPr="00DA3766">
        <w:t>报告期各期，标的公司收单外包业务</w:t>
      </w:r>
      <w:r w:rsidR="00382B7D" w:rsidRPr="00DA3766">
        <w:t>主要</w:t>
      </w:r>
      <w:r w:rsidRPr="00DA3766">
        <w:t>客户的情况如下：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01"/>
        <w:gridCol w:w="3628"/>
        <w:gridCol w:w="1844"/>
        <w:gridCol w:w="1755"/>
      </w:tblGrid>
      <w:tr w:rsidR="008E4984" w:rsidRPr="00DA3766" w14:paraId="25133B22" w14:textId="77777777" w:rsidTr="00DA3766">
        <w:trPr>
          <w:trHeight w:val="397"/>
          <w:jc w:val="center"/>
        </w:trPr>
        <w:tc>
          <w:tcPr>
            <w:tcW w:w="5000" w:type="pct"/>
            <w:gridSpan w:val="4"/>
            <w:tcMar>
              <w:top w:w="0" w:type="dxa"/>
              <w:left w:w="108" w:type="dxa"/>
              <w:bottom w:w="0" w:type="dxa"/>
              <w:right w:w="108" w:type="dxa"/>
            </w:tcMar>
            <w:vAlign w:val="center"/>
          </w:tcPr>
          <w:p w14:paraId="13FB26FC"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r>
      <w:tr w:rsidR="008E4984" w:rsidRPr="00DA3766" w14:paraId="60860DAB" w14:textId="77777777" w:rsidTr="00DA3766">
        <w:trPr>
          <w:trHeight w:val="397"/>
          <w:jc w:val="center"/>
        </w:trPr>
        <w:tc>
          <w:tcPr>
            <w:tcW w:w="763" w:type="pct"/>
            <w:tcMar>
              <w:top w:w="0" w:type="dxa"/>
              <w:left w:w="108" w:type="dxa"/>
              <w:bottom w:w="0" w:type="dxa"/>
              <w:right w:w="108" w:type="dxa"/>
            </w:tcMar>
            <w:vAlign w:val="center"/>
          </w:tcPr>
          <w:p w14:paraId="6DD059EC"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6D169304"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1612EA08"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6EA8E5D5"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3149D491" w14:textId="77777777" w:rsidTr="00DA3766">
        <w:trPr>
          <w:trHeight w:val="397"/>
          <w:jc w:val="center"/>
        </w:trPr>
        <w:tc>
          <w:tcPr>
            <w:tcW w:w="763" w:type="pct"/>
            <w:tcMar>
              <w:top w:w="0" w:type="dxa"/>
              <w:left w:w="108" w:type="dxa"/>
              <w:bottom w:w="0" w:type="dxa"/>
              <w:right w:w="108" w:type="dxa"/>
            </w:tcMar>
            <w:vAlign w:val="center"/>
          </w:tcPr>
          <w:p w14:paraId="11C74B8A"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25A9AE9F"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799CDA28"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1,657.76</w:t>
            </w:r>
          </w:p>
        </w:tc>
        <w:tc>
          <w:tcPr>
            <w:tcW w:w="1029" w:type="pct"/>
            <w:tcMar>
              <w:top w:w="0" w:type="dxa"/>
              <w:left w:w="108" w:type="dxa"/>
              <w:bottom w:w="0" w:type="dxa"/>
              <w:right w:w="108" w:type="dxa"/>
            </w:tcMar>
            <w:vAlign w:val="center"/>
          </w:tcPr>
          <w:p w14:paraId="116A2CEA"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95.24%</w:t>
            </w:r>
          </w:p>
        </w:tc>
      </w:tr>
      <w:tr w:rsidR="008E4984" w:rsidRPr="00DA3766" w14:paraId="67E0AEC4" w14:textId="77777777" w:rsidTr="00DA3766">
        <w:trPr>
          <w:trHeight w:val="397"/>
          <w:jc w:val="center"/>
        </w:trPr>
        <w:tc>
          <w:tcPr>
            <w:tcW w:w="2890" w:type="pct"/>
            <w:gridSpan w:val="2"/>
            <w:tcMar>
              <w:top w:w="0" w:type="dxa"/>
              <w:left w:w="108" w:type="dxa"/>
              <w:bottom w:w="0" w:type="dxa"/>
              <w:right w:w="108" w:type="dxa"/>
            </w:tcMar>
            <w:vAlign w:val="center"/>
          </w:tcPr>
          <w:p w14:paraId="786C840E"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761314EE"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1,657.76</w:t>
            </w:r>
          </w:p>
        </w:tc>
        <w:tc>
          <w:tcPr>
            <w:tcW w:w="1029" w:type="pct"/>
            <w:tcMar>
              <w:top w:w="0" w:type="dxa"/>
              <w:left w:w="108" w:type="dxa"/>
              <w:bottom w:w="0" w:type="dxa"/>
              <w:right w:w="108" w:type="dxa"/>
            </w:tcMar>
            <w:vAlign w:val="center"/>
          </w:tcPr>
          <w:p w14:paraId="5516D470"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95.24%</w:t>
            </w:r>
          </w:p>
        </w:tc>
      </w:tr>
      <w:tr w:rsidR="008E4984" w:rsidRPr="00DA3766" w14:paraId="042377D9" w14:textId="77777777" w:rsidTr="00DA3766">
        <w:trPr>
          <w:trHeight w:val="397"/>
          <w:jc w:val="center"/>
        </w:trPr>
        <w:tc>
          <w:tcPr>
            <w:tcW w:w="5000" w:type="pct"/>
            <w:gridSpan w:val="4"/>
            <w:tcMar>
              <w:top w:w="0" w:type="dxa"/>
              <w:left w:w="108" w:type="dxa"/>
              <w:bottom w:w="0" w:type="dxa"/>
              <w:right w:w="108" w:type="dxa"/>
            </w:tcMar>
            <w:vAlign w:val="center"/>
          </w:tcPr>
          <w:p w14:paraId="319D8C7D"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r>
      <w:tr w:rsidR="008E4984" w:rsidRPr="00DA3766" w14:paraId="55FDCD05" w14:textId="77777777" w:rsidTr="00DA3766">
        <w:trPr>
          <w:trHeight w:val="397"/>
          <w:jc w:val="center"/>
        </w:trPr>
        <w:tc>
          <w:tcPr>
            <w:tcW w:w="763" w:type="pct"/>
            <w:tcMar>
              <w:top w:w="0" w:type="dxa"/>
              <w:left w:w="108" w:type="dxa"/>
              <w:bottom w:w="0" w:type="dxa"/>
              <w:right w:w="108" w:type="dxa"/>
            </w:tcMar>
            <w:vAlign w:val="center"/>
          </w:tcPr>
          <w:p w14:paraId="5FB96A8A"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67391E80"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155403B2"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531E8C6B"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2B5316C7" w14:textId="77777777" w:rsidTr="00DA3766">
        <w:trPr>
          <w:trHeight w:val="397"/>
          <w:jc w:val="center"/>
        </w:trPr>
        <w:tc>
          <w:tcPr>
            <w:tcW w:w="763" w:type="pct"/>
            <w:tcMar>
              <w:top w:w="0" w:type="dxa"/>
              <w:left w:w="108" w:type="dxa"/>
              <w:bottom w:w="0" w:type="dxa"/>
              <w:right w:w="108" w:type="dxa"/>
            </w:tcMar>
            <w:vAlign w:val="center"/>
          </w:tcPr>
          <w:p w14:paraId="04AF2517"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4E2EA8E3"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6F11FBE1"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3,296.14</w:t>
            </w:r>
          </w:p>
        </w:tc>
        <w:tc>
          <w:tcPr>
            <w:tcW w:w="1029" w:type="pct"/>
            <w:tcMar>
              <w:top w:w="0" w:type="dxa"/>
              <w:left w:w="108" w:type="dxa"/>
              <w:bottom w:w="0" w:type="dxa"/>
              <w:right w:w="108" w:type="dxa"/>
            </w:tcMar>
            <w:vAlign w:val="center"/>
          </w:tcPr>
          <w:p w14:paraId="1FF8EAC4"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92.93%</w:t>
            </w:r>
          </w:p>
        </w:tc>
      </w:tr>
      <w:tr w:rsidR="008E4984" w:rsidRPr="00DA3766" w14:paraId="23E93379" w14:textId="77777777" w:rsidTr="00DA3766">
        <w:trPr>
          <w:trHeight w:val="397"/>
          <w:jc w:val="center"/>
        </w:trPr>
        <w:tc>
          <w:tcPr>
            <w:tcW w:w="763" w:type="pct"/>
            <w:tcMar>
              <w:top w:w="0" w:type="dxa"/>
              <w:left w:w="108" w:type="dxa"/>
              <w:bottom w:w="0" w:type="dxa"/>
              <w:right w:w="108" w:type="dxa"/>
            </w:tcMar>
            <w:vAlign w:val="center"/>
          </w:tcPr>
          <w:p w14:paraId="2D9DA543"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2</w:t>
            </w:r>
          </w:p>
        </w:tc>
        <w:tc>
          <w:tcPr>
            <w:tcW w:w="2127" w:type="pct"/>
            <w:tcMar>
              <w:top w:w="0" w:type="dxa"/>
              <w:left w:w="108" w:type="dxa"/>
              <w:bottom w:w="0" w:type="dxa"/>
              <w:right w:w="108" w:type="dxa"/>
            </w:tcMar>
            <w:vAlign w:val="center"/>
          </w:tcPr>
          <w:p w14:paraId="13D9D46F"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081" w:type="pct"/>
            <w:tcMar>
              <w:top w:w="0" w:type="dxa"/>
              <w:left w:w="108" w:type="dxa"/>
              <w:bottom w:w="0" w:type="dxa"/>
              <w:right w:w="108" w:type="dxa"/>
            </w:tcMar>
            <w:vAlign w:val="center"/>
          </w:tcPr>
          <w:p w14:paraId="26B758AE"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206.33</w:t>
            </w:r>
          </w:p>
        </w:tc>
        <w:tc>
          <w:tcPr>
            <w:tcW w:w="1029" w:type="pct"/>
            <w:tcMar>
              <w:top w:w="0" w:type="dxa"/>
              <w:left w:w="108" w:type="dxa"/>
              <w:bottom w:w="0" w:type="dxa"/>
              <w:right w:w="108" w:type="dxa"/>
            </w:tcMar>
            <w:vAlign w:val="center"/>
          </w:tcPr>
          <w:p w14:paraId="62D1C115"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5.82%</w:t>
            </w:r>
          </w:p>
        </w:tc>
      </w:tr>
      <w:tr w:rsidR="008E4984" w:rsidRPr="00DA3766" w14:paraId="39FB1B06" w14:textId="77777777" w:rsidTr="00DA3766">
        <w:trPr>
          <w:trHeight w:val="397"/>
          <w:jc w:val="center"/>
        </w:trPr>
        <w:tc>
          <w:tcPr>
            <w:tcW w:w="2890" w:type="pct"/>
            <w:gridSpan w:val="2"/>
            <w:tcMar>
              <w:top w:w="0" w:type="dxa"/>
              <w:left w:w="108" w:type="dxa"/>
              <w:bottom w:w="0" w:type="dxa"/>
              <w:right w:w="108" w:type="dxa"/>
            </w:tcMar>
            <w:vAlign w:val="center"/>
          </w:tcPr>
          <w:p w14:paraId="44687190"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75D97B86"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 3,502.47 </w:t>
            </w:r>
          </w:p>
        </w:tc>
        <w:tc>
          <w:tcPr>
            <w:tcW w:w="1029" w:type="pct"/>
            <w:tcMar>
              <w:top w:w="0" w:type="dxa"/>
              <w:left w:w="108" w:type="dxa"/>
              <w:bottom w:w="0" w:type="dxa"/>
              <w:right w:w="108" w:type="dxa"/>
            </w:tcMar>
            <w:vAlign w:val="center"/>
          </w:tcPr>
          <w:p w14:paraId="3364B832"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98.74%</w:t>
            </w:r>
          </w:p>
        </w:tc>
      </w:tr>
      <w:tr w:rsidR="008E4984" w:rsidRPr="00DA3766" w14:paraId="07392947" w14:textId="77777777" w:rsidTr="00DA3766">
        <w:trPr>
          <w:trHeight w:val="397"/>
          <w:jc w:val="center"/>
        </w:trPr>
        <w:tc>
          <w:tcPr>
            <w:tcW w:w="5000" w:type="pct"/>
            <w:gridSpan w:val="4"/>
            <w:tcMar>
              <w:top w:w="0" w:type="dxa"/>
              <w:left w:w="108" w:type="dxa"/>
              <w:bottom w:w="0" w:type="dxa"/>
              <w:right w:w="108" w:type="dxa"/>
            </w:tcMar>
            <w:vAlign w:val="center"/>
          </w:tcPr>
          <w:p w14:paraId="71488C3E"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8E4984" w:rsidRPr="00DA3766" w14:paraId="36572164" w14:textId="77777777" w:rsidTr="00DA3766">
        <w:trPr>
          <w:trHeight w:val="397"/>
          <w:jc w:val="center"/>
        </w:trPr>
        <w:tc>
          <w:tcPr>
            <w:tcW w:w="763" w:type="pct"/>
            <w:tcMar>
              <w:top w:w="0" w:type="dxa"/>
              <w:left w:w="108" w:type="dxa"/>
              <w:bottom w:w="0" w:type="dxa"/>
              <w:right w:w="108" w:type="dxa"/>
            </w:tcMar>
            <w:vAlign w:val="center"/>
          </w:tcPr>
          <w:p w14:paraId="36F13AEC"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5F6E3711"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22435E05"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0D7AAD4D"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5FF459CF" w14:textId="77777777" w:rsidTr="00DA3766">
        <w:trPr>
          <w:trHeight w:val="397"/>
          <w:jc w:val="center"/>
        </w:trPr>
        <w:tc>
          <w:tcPr>
            <w:tcW w:w="763" w:type="pct"/>
            <w:tcMar>
              <w:top w:w="0" w:type="dxa"/>
              <w:left w:w="108" w:type="dxa"/>
              <w:bottom w:w="0" w:type="dxa"/>
              <w:right w:w="108" w:type="dxa"/>
            </w:tcMar>
            <w:vAlign w:val="center"/>
          </w:tcPr>
          <w:p w14:paraId="47A8B891"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2EBD7834"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35B94173"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2,785.18</w:t>
            </w:r>
          </w:p>
        </w:tc>
        <w:tc>
          <w:tcPr>
            <w:tcW w:w="1029" w:type="pct"/>
            <w:tcMar>
              <w:top w:w="0" w:type="dxa"/>
              <w:left w:w="108" w:type="dxa"/>
              <w:bottom w:w="0" w:type="dxa"/>
              <w:right w:w="108" w:type="dxa"/>
            </w:tcMar>
            <w:vAlign w:val="center"/>
          </w:tcPr>
          <w:p w14:paraId="1F10BB76"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84.70%</w:t>
            </w:r>
          </w:p>
        </w:tc>
      </w:tr>
      <w:tr w:rsidR="008E4984" w:rsidRPr="00DA3766" w14:paraId="353B6BE7" w14:textId="77777777" w:rsidTr="00DA3766">
        <w:trPr>
          <w:trHeight w:val="397"/>
          <w:jc w:val="center"/>
        </w:trPr>
        <w:tc>
          <w:tcPr>
            <w:tcW w:w="763" w:type="pct"/>
            <w:tcMar>
              <w:top w:w="0" w:type="dxa"/>
              <w:left w:w="108" w:type="dxa"/>
              <w:bottom w:w="0" w:type="dxa"/>
              <w:right w:w="108" w:type="dxa"/>
            </w:tcMar>
            <w:vAlign w:val="center"/>
          </w:tcPr>
          <w:p w14:paraId="3C264007"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2</w:t>
            </w:r>
          </w:p>
        </w:tc>
        <w:tc>
          <w:tcPr>
            <w:tcW w:w="2127" w:type="pct"/>
            <w:tcMar>
              <w:top w:w="0" w:type="dxa"/>
              <w:left w:w="108" w:type="dxa"/>
              <w:bottom w:w="0" w:type="dxa"/>
              <w:right w:w="108" w:type="dxa"/>
            </w:tcMar>
            <w:vAlign w:val="center"/>
          </w:tcPr>
          <w:p w14:paraId="2273209D"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081" w:type="pct"/>
            <w:tcMar>
              <w:top w:w="0" w:type="dxa"/>
              <w:left w:w="108" w:type="dxa"/>
              <w:bottom w:w="0" w:type="dxa"/>
              <w:right w:w="108" w:type="dxa"/>
            </w:tcMar>
            <w:vAlign w:val="center"/>
          </w:tcPr>
          <w:p w14:paraId="35B6F93C"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443.94</w:t>
            </w:r>
          </w:p>
        </w:tc>
        <w:tc>
          <w:tcPr>
            <w:tcW w:w="1029" w:type="pct"/>
            <w:tcMar>
              <w:top w:w="0" w:type="dxa"/>
              <w:left w:w="108" w:type="dxa"/>
              <w:bottom w:w="0" w:type="dxa"/>
              <w:right w:w="108" w:type="dxa"/>
            </w:tcMar>
            <w:vAlign w:val="center"/>
          </w:tcPr>
          <w:p w14:paraId="4784303D"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13.50%</w:t>
            </w:r>
          </w:p>
        </w:tc>
      </w:tr>
      <w:tr w:rsidR="008E4984" w:rsidRPr="00DA3766" w14:paraId="05838E5F" w14:textId="77777777" w:rsidTr="00DA3766">
        <w:trPr>
          <w:trHeight w:val="397"/>
          <w:jc w:val="center"/>
        </w:trPr>
        <w:tc>
          <w:tcPr>
            <w:tcW w:w="2890" w:type="pct"/>
            <w:gridSpan w:val="2"/>
            <w:tcMar>
              <w:top w:w="0" w:type="dxa"/>
              <w:left w:w="108" w:type="dxa"/>
              <w:bottom w:w="0" w:type="dxa"/>
              <w:right w:w="108" w:type="dxa"/>
            </w:tcMar>
            <w:vAlign w:val="center"/>
          </w:tcPr>
          <w:p w14:paraId="43A74B4B"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040055F0"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 3,229.13 </w:t>
            </w:r>
          </w:p>
        </w:tc>
        <w:tc>
          <w:tcPr>
            <w:tcW w:w="1029" w:type="pct"/>
            <w:tcMar>
              <w:top w:w="0" w:type="dxa"/>
              <w:left w:w="108" w:type="dxa"/>
              <w:bottom w:w="0" w:type="dxa"/>
              <w:right w:w="108" w:type="dxa"/>
            </w:tcMar>
            <w:vAlign w:val="center"/>
          </w:tcPr>
          <w:p w14:paraId="1BED9BED"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98.20%</w:t>
            </w:r>
          </w:p>
        </w:tc>
      </w:tr>
    </w:tbl>
    <w:p w14:paraId="6BA2F2F5" w14:textId="052D2A23" w:rsidR="00AD05C0" w:rsidRPr="00DA3766" w:rsidRDefault="00AD05C0" w:rsidP="00AD05C0">
      <w:pPr>
        <w:spacing w:beforeLines="0" w:before="0" w:afterLines="0" w:after="0" w:line="240" w:lineRule="auto"/>
        <w:ind w:firstLine="420"/>
        <w:jc w:val="both"/>
        <w:rPr>
          <w:rFonts w:ascii="Times New Roman" w:hAnsi="Times New Roman" w:cs="Times New Roman"/>
          <w:sz w:val="21"/>
          <w:szCs w:val="20"/>
        </w:rPr>
      </w:pPr>
      <w:r w:rsidRPr="00DA3766">
        <w:rPr>
          <w:rFonts w:ascii="Times New Roman" w:hAnsi="Times New Roman" w:cs="Times New Roman"/>
          <w:sz w:val="21"/>
          <w:szCs w:val="20"/>
        </w:rPr>
        <w:t>注：</w:t>
      </w:r>
      <w:r w:rsidR="001910C7" w:rsidRPr="00DA3766">
        <w:rPr>
          <w:rFonts w:ascii="Times New Roman" w:hAnsi="Times New Roman" w:cs="Times New Roman"/>
          <w:sz w:val="21"/>
          <w:szCs w:val="20"/>
        </w:rPr>
        <w:t>收单外包业务的</w:t>
      </w:r>
      <w:r w:rsidRPr="00DA3766">
        <w:rPr>
          <w:rFonts w:ascii="Times New Roman" w:hAnsi="Times New Roman" w:cs="Times New Roman"/>
          <w:sz w:val="21"/>
          <w:szCs w:val="20"/>
        </w:rPr>
        <w:t>主要客户系当期收单外包服务收入占比超过</w:t>
      </w:r>
      <w:r w:rsidRPr="00DA3766">
        <w:rPr>
          <w:rFonts w:ascii="Times New Roman" w:hAnsi="Times New Roman" w:cs="Times New Roman"/>
          <w:sz w:val="21"/>
          <w:szCs w:val="20"/>
        </w:rPr>
        <w:t>5%</w:t>
      </w:r>
      <w:r w:rsidRPr="00DA3766">
        <w:rPr>
          <w:rFonts w:ascii="Times New Roman" w:hAnsi="Times New Roman" w:cs="Times New Roman"/>
          <w:sz w:val="21"/>
          <w:szCs w:val="20"/>
        </w:rPr>
        <w:t>的收单外包客户</w:t>
      </w:r>
      <w:r w:rsidR="00540918" w:rsidRPr="00DA3766">
        <w:rPr>
          <w:rFonts w:ascii="Times New Roman" w:hAnsi="Times New Roman" w:cs="Times New Roman"/>
          <w:sz w:val="21"/>
          <w:szCs w:val="20"/>
        </w:rPr>
        <w:t>，下同</w:t>
      </w:r>
      <w:r w:rsidRPr="00DA3766">
        <w:rPr>
          <w:rFonts w:ascii="Times New Roman" w:hAnsi="Times New Roman" w:cs="Times New Roman"/>
          <w:sz w:val="21"/>
          <w:szCs w:val="20"/>
        </w:rPr>
        <w:t>。</w:t>
      </w:r>
    </w:p>
    <w:p w14:paraId="5ACBC4DD" w14:textId="4AE91A4E"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、收单外包业务主要客户的业务资质</w:t>
      </w:r>
    </w:p>
    <w:p w14:paraId="564C4287" w14:textId="0C02D79C" w:rsidR="00A661C3" w:rsidRPr="00DA3766" w:rsidRDefault="00A661C3" w:rsidP="007E30A6">
      <w:pPr>
        <w:pStyle w:val="005"/>
        <w:spacing w:before="120" w:after="120"/>
        <w:ind w:firstLine="480"/>
      </w:pPr>
      <w:r w:rsidRPr="00DA3766">
        <w:t>根据中国支付清算协会发布的《收单外包服务机构备案管理规范》第三条规定，</w:t>
      </w:r>
      <w:r w:rsidRPr="00DA3766">
        <w:rPr>
          <w:rFonts w:ascii="宋体" w:hAnsi="宋体"/>
        </w:rPr>
        <w:t>“</w:t>
      </w:r>
      <w:r w:rsidRPr="00DA3766">
        <w:t>外包机构应自主向中国支付清算协会（以下简称</w:t>
      </w:r>
      <w:r w:rsidRPr="00DA3766">
        <w:rPr>
          <w:rFonts w:ascii="宋体" w:hAnsi="宋体"/>
        </w:rPr>
        <w:t>“</w:t>
      </w:r>
      <w:r w:rsidRPr="00DA3766">
        <w:t>协会</w:t>
      </w:r>
      <w:r w:rsidRPr="00DA3766">
        <w:rPr>
          <w:rFonts w:ascii="宋体" w:hAnsi="宋体"/>
        </w:rPr>
        <w:t>”</w:t>
      </w:r>
      <w:r w:rsidRPr="00DA3766">
        <w:t>）提出备案申请，提交符合本规范要求的备案信息及证明材料，经协会审核通过并取得备案证明后，方可与持牌机构开展合作。</w:t>
      </w:r>
      <w:r w:rsidRPr="00DA3766">
        <w:rPr>
          <w:rFonts w:ascii="宋体" w:hAnsi="宋体"/>
        </w:rPr>
        <w:t>”</w:t>
      </w:r>
      <w:r w:rsidR="007B33D1" w:rsidRPr="00DA3766">
        <w:t>因此</w:t>
      </w:r>
      <w:r w:rsidRPr="00DA3766">
        <w:t>，从事收单外包业务的合作客户应当为持牌机</w:t>
      </w:r>
      <w:r w:rsidRPr="00DA3766">
        <w:lastRenderedPageBreak/>
        <w:t>构。为了确保业务经营的合规性，标的资产各开展收单外包业务的客户均已获取由中国人民银行颁发的支付业务许可证，具体情况如下：</w:t>
      </w:r>
    </w:p>
    <w:tbl>
      <w:tblPr>
        <w:tblStyle w:val="201"/>
        <w:tblW w:w="5236" w:type="pct"/>
        <w:jc w:val="center"/>
        <w:tblInd w:w="0" w:type="dxa"/>
        <w:tblBorders>
          <w:top w:val="thinThickSmallGap" w:sz="24" w:space="0" w:color="auto"/>
          <w:bottom w:val="thickThinSmallGap" w:sz="24" w:space="0" w:color="auto"/>
        </w:tblBorders>
        <w:tblLayout w:type="fixed"/>
        <w:tblLook w:val="04A0" w:firstRow="1" w:lastRow="0" w:firstColumn="1" w:lastColumn="0" w:noHBand="0" w:noVBand="1"/>
      </w:tblPr>
      <w:tblGrid>
        <w:gridCol w:w="799"/>
        <w:gridCol w:w="1415"/>
        <w:gridCol w:w="1204"/>
        <w:gridCol w:w="1784"/>
        <w:gridCol w:w="1281"/>
        <w:gridCol w:w="1218"/>
        <w:gridCol w:w="1230"/>
      </w:tblGrid>
      <w:tr w:rsidR="00A661C3" w:rsidRPr="00DA3766" w14:paraId="24CDEA1A" w14:textId="77777777" w:rsidTr="00DA3766">
        <w:trPr>
          <w:trHeight w:val="397"/>
          <w:jc w:val="center"/>
        </w:trPr>
        <w:tc>
          <w:tcPr>
            <w:tcW w:w="799" w:type="dxa"/>
            <w:tcMar>
              <w:top w:w="0" w:type="dxa"/>
              <w:bottom w:w="0" w:type="dxa"/>
            </w:tcMar>
            <w:vAlign w:val="center"/>
            <w:hideMark/>
          </w:tcPr>
          <w:p w14:paraId="46A112A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序号</w:t>
            </w:r>
          </w:p>
        </w:tc>
        <w:tc>
          <w:tcPr>
            <w:tcW w:w="1415" w:type="dxa"/>
            <w:tcMar>
              <w:top w:w="0" w:type="dxa"/>
              <w:bottom w:w="0" w:type="dxa"/>
            </w:tcMar>
            <w:vAlign w:val="center"/>
            <w:hideMark/>
          </w:tcPr>
          <w:p w14:paraId="2C547F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持证主体</w:t>
            </w:r>
          </w:p>
        </w:tc>
        <w:tc>
          <w:tcPr>
            <w:tcW w:w="1204" w:type="dxa"/>
            <w:tcMar>
              <w:top w:w="0" w:type="dxa"/>
              <w:bottom w:w="0" w:type="dxa"/>
            </w:tcMar>
            <w:vAlign w:val="center"/>
            <w:hideMark/>
          </w:tcPr>
          <w:p w14:paraId="40A4C4D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证书名称</w:t>
            </w:r>
          </w:p>
        </w:tc>
        <w:tc>
          <w:tcPr>
            <w:tcW w:w="1784" w:type="dxa"/>
            <w:tcMar>
              <w:top w:w="0" w:type="dxa"/>
              <w:bottom w:w="0" w:type="dxa"/>
            </w:tcMar>
            <w:vAlign w:val="center"/>
            <w:hideMark/>
          </w:tcPr>
          <w:p w14:paraId="0C20C02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证书编号</w:t>
            </w:r>
          </w:p>
        </w:tc>
        <w:tc>
          <w:tcPr>
            <w:tcW w:w="1281" w:type="dxa"/>
            <w:tcMar>
              <w:top w:w="0" w:type="dxa"/>
              <w:bottom w:w="0" w:type="dxa"/>
            </w:tcMar>
            <w:vAlign w:val="center"/>
            <w:hideMark/>
          </w:tcPr>
          <w:p w14:paraId="60706DC0" w14:textId="77777777" w:rsidR="00A81CC2"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首次</w:t>
            </w:r>
          </w:p>
          <w:p w14:paraId="5F7873A7" w14:textId="542F4254"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许可日期</w:t>
            </w:r>
          </w:p>
        </w:tc>
        <w:tc>
          <w:tcPr>
            <w:tcW w:w="1218" w:type="dxa"/>
            <w:tcMar>
              <w:top w:w="0" w:type="dxa"/>
              <w:bottom w:w="0" w:type="dxa"/>
            </w:tcMar>
            <w:vAlign w:val="center"/>
            <w:hideMark/>
          </w:tcPr>
          <w:p w14:paraId="2AF9C58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有效期限</w:t>
            </w:r>
          </w:p>
        </w:tc>
        <w:tc>
          <w:tcPr>
            <w:tcW w:w="1230" w:type="dxa"/>
            <w:tcMar>
              <w:top w:w="0" w:type="dxa"/>
              <w:bottom w:w="0" w:type="dxa"/>
            </w:tcMar>
            <w:vAlign w:val="center"/>
            <w:hideMark/>
          </w:tcPr>
          <w:p w14:paraId="4B1CA40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发证机关</w:t>
            </w:r>
          </w:p>
        </w:tc>
      </w:tr>
      <w:tr w:rsidR="00A661C3" w:rsidRPr="00DA3766" w14:paraId="4848A7FD" w14:textId="77777777" w:rsidTr="00DA3766">
        <w:trPr>
          <w:trHeight w:val="397"/>
          <w:jc w:val="center"/>
        </w:trPr>
        <w:tc>
          <w:tcPr>
            <w:tcW w:w="799" w:type="dxa"/>
            <w:tcMar>
              <w:top w:w="0" w:type="dxa"/>
              <w:bottom w:w="0" w:type="dxa"/>
            </w:tcMar>
            <w:vAlign w:val="center"/>
            <w:hideMark/>
          </w:tcPr>
          <w:p w14:paraId="0A9AB27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5" w:type="dxa"/>
            <w:tcMar>
              <w:top w:w="0" w:type="dxa"/>
              <w:bottom w:w="0" w:type="dxa"/>
            </w:tcMar>
            <w:vAlign w:val="center"/>
            <w:hideMark/>
          </w:tcPr>
          <w:p w14:paraId="6BBCB8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1204" w:type="dxa"/>
            <w:tcMar>
              <w:top w:w="0" w:type="dxa"/>
              <w:bottom w:w="0" w:type="dxa"/>
            </w:tcMar>
            <w:vAlign w:val="center"/>
            <w:hideMark/>
          </w:tcPr>
          <w:p w14:paraId="420A4DD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支付业务许可证</w:t>
            </w:r>
          </w:p>
        </w:tc>
        <w:tc>
          <w:tcPr>
            <w:tcW w:w="1784" w:type="dxa"/>
            <w:tcMar>
              <w:top w:w="0" w:type="dxa"/>
              <w:bottom w:w="0" w:type="dxa"/>
            </w:tcMar>
            <w:vAlign w:val="center"/>
            <w:hideMark/>
          </w:tcPr>
          <w:p w14:paraId="205901F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Z2000931000013</w:t>
            </w:r>
          </w:p>
        </w:tc>
        <w:tc>
          <w:tcPr>
            <w:tcW w:w="1281" w:type="dxa"/>
            <w:tcMar>
              <w:top w:w="0" w:type="dxa"/>
              <w:bottom w:w="0" w:type="dxa"/>
            </w:tcMar>
            <w:vAlign w:val="center"/>
            <w:hideMark/>
          </w:tcPr>
          <w:p w14:paraId="11ACC71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2011.05.03</w:t>
            </w:r>
          </w:p>
        </w:tc>
        <w:tc>
          <w:tcPr>
            <w:tcW w:w="1218" w:type="dxa"/>
            <w:tcMar>
              <w:top w:w="0" w:type="dxa"/>
              <w:bottom w:w="0" w:type="dxa"/>
            </w:tcMar>
            <w:vAlign w:val="center"/>
            <w:hideMark/>
          </w:tcPr>
          <w:p w14:paraId="2C5F2C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2026.05.02</w:t>
            </w:r>
          </w:p>
        </w:tc>
        <w:tc>
          <w:tcPr>
            <w:tcW w:w="1230" w:type="dxa"/>
            <w:tcMar>
              <w:top w:w="0" w:type="dxa"/>
              <w:bottom w:w="0" w:type="dxa"/>
            </w:tcMar>
            <w:vAlign w:val="center"/>
            <w:hideMark/>
          </w:tcPr>
          <w:p w14:paraId="5A27E9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中国人民银行</w:t>
            </w:r>
          </w:p>
        </w:tc>
      </w:tr>
      <w:tr w:rsidR="00A661C3" w:rsidRPr="00DA3766" w14:paraId="78FC428A" w14:textId="77777777" w:rsidTr="00DA3766">
        <w:trPr>
          <w:trHeight w:val="397"/>
          <w:jc w:val="center"/>
        </w:trPr>
        <w:tc>
          <w:tcPr>
            <w:tcW w:w="799" w:type="dxa"/>
            <w:tcMar>
              <w:top w:w="0" w:type="dxa"/>
              <w:bottom w:w="0" w:type="dxa"/>
            </w:tcMar>
            <w:vAlign w:val="center"/>
            <w:hideMark/>
          </w:tcPr>
          <w:p w14:paraId="266172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415" w:type="dxa"/>
            <w:tcMar>
              <w:top w:w="0" w:type="dxa"/>
              <w:bottom w:w="0" w:type="dxa"/>
            </w:tcMar>
            <w:vAlign w:val="center"/>
            <w:hideMark/>
          </w:tcPr>
          <w:p w14:paraId="0369A75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204" w:type="dxa"/>
            <w:tcMar>
              <w:top w:w="0" w:type="dxa"/>
              <w:bottom w:w="0" w:type="dxa"/>
            </w:tcMar>
            <w:vAlign w:val="center"/>
            <w:hideMark/>
          </w:tcPr>
          <w:p w14:paraId="0745B27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支付业务许可证</w:t>
            </w:r>
          </w:p>
        </w:tc>
        <w:tc>
          <w:tcPr>
            <w:tcW w:w="1784" w:type="dxa"/>
            <w:tcMar>
              <w:top w:w="0" w:type="dxa"/>
              <w:bottom w:w="0" w:type="dxa"/>
            </w:tcMar>
            <w:vAlign w:val="center"/>
            <w:hideMark/>
          </w:tcPr>
          <w:p w14:paraId="17DD1EE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Z2026244000010</w:t>
            </w:r>
          </w:p>
        </w:tc>
        <w:tc>
          <w:tcPr>
            <w:tcW w:w="1281" w:type="dxa"/>
            <w:tcMar>
              <w:top w:w="0" w:type="dxa"/>
              <w:bottom w:w="0" w:type="dxa"/>
            </w:tcMar>
            <w:vAlign w:val="center"/>
            <w:hideMark/>
          </w:tcPr>
          <w:p w14:paraId="18F683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2014.07.10</w:t>
            </w:r>
          </w:p>
        </w:tc>
        <w:tc>
          <w:tcPr>
            <w:tcW w:w="1218" w:type="dxa"/>
            <w:tcMar>
              <w:top w:w="0" w:type="dxa"/>
              <w:bottom w:w="0" w:type="dxa"/>
            </w:tcMar>
            <w:vAlign w:val="center"/>
            <w:hideMark/>
          </w:tcPr>
          <w:p w14:paraId="442AC55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30" w:type="dxa"/>
            <w:tcMar>
              <w:top w:w="0" w:type="dxa"/>
              <w:bottom w:w="0" w:type="dxa"/>
            </w:tcMar>
            <w:vAlign w:val="center"/>
            <w:hideMark/>
          </w:tcPr>
          <w:p w14:paraId="37E2204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中国人民银行</w:t>
            </w:r>
          </w:p>
        </w:tc>
      </w:tr>
    </w:tbl>
    <w:p w14:paraId="05FBC2A5"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、收单外包业务主要客户的经营合规性</w:t>
      </w:r>
    </w:p>
    <w:p w14:paraId="3E0CDD7D" w14:textId="64163A63" w:rsidR="00CF3FFC" w:rsidRPr="00DA3766" w:rsidRDefault="00AD03C2" w:rsidP="00C32BBB">
      <w:pPr>
        <w:pStyle w:val="005"/>
        <w:spacing w:before="120" w:after="120"/>
        <w:ind w:firstLine="480"/>
      </w:pPr>
      <w:r w:rsidRPr="00DA3766">
        <w:t>如前所述，</w:t>
      </w:r>
      <w:r w:rsidR="00CF3FFC" w:rsidRPr="00DA3766">
        <w:t>报告期内标的公司与收单外包业务主要客户合作过程中，始终遵循合规要求，履行尽职调查义务，合作双方均具备继续依法开展业务的法律前提与资质基础，标的公司不存在被监管部门实施行政处罚的情形。</w:t>
      </w:r>
    </w:p>
    <w:p w14:paraId="208E9B5B" w14:textId="43CAC314" w:rsidR="00CF3FFC" w:rsidRPr="00DA3766" w:rsidRDefault="00A661C3" w:rsidP="00C32BBB">
      <w:pPr>
        <w:pStyle w:val="005"/>
        <w:spacing w:before="120" w:after="120"/>
        <w:ind w:firstLine="480"/>
      </w:pPr>
      <w:r w:rsidRPr="00DA3766">
        <w:t>根据公开信息，</w:t>
      </w:r>
      <w:r w:rsidR="00C32BBB" w:rsidRPr="00DA3766">
        <w:t>报告期内</w:t>
      </w:r>
      <w:r w:rsidRPr="00DA3766">
        <w:t>标的</w:t>
      </w:r>
      <w:r w:rsidR="00D915FA" w:rsidRPr="00DA3766">
        <w:t>公司</w:t>
      </w:r>
      <w:r w:rsidRPr="00DA3766">
        <w:t>的</w:t>
      </w:r>
      <w:r w:rsidR="00D915FA" w:rsidRPr="00DA3766">
        <w:t>收单外包服务部分</w:t>
      </w:r>
      <w:r w:rsidRPr="00DA3766">
        <w:t>客户</w:t>
      </w:r>
      <w:r w:rsidR="00C32BBB" w:rsidRPr="00DA3766">
        <w:t>曾</w:t>
      </w:r>
      <w:r w:rsidRPr="00DA3766">
        <w:t>受到</w:t>
      </w:r>
      <w:r w:rsidR="00013FC0" w:rsidRPr="00DA3766">
        <w:t>中国人民银行等</w:t>
      </w:r>
      <w:r w:rsidRPr="00DA3766">
        <w:t>监管部门</w:t>
      </w:r>
      <w:r w:rsidR="00013FC0" w:rsidRPr="00DA3766">
        <w:t>的</w:t>
      </w:r>
      <w:r w:rsidRPr="00DA3766">
        <w:t>行政处罚，</w:t>
      </w:r>
      <w:r w:rsidR="00CF3FFC" w:rsidRPr="00DA3766">
        <w:t>但上述行政处罚事由均与标的公司无直接</w:t>
      </w:r>
      <w:r w:rsidR="007B33D1" w:rsidRPr="00DA3766">
        <w:t>关系</w:t>
      </w:r>
      <w:r w:rsidR="00CF3FFC" w:rsidRPr="00DA3766">
        <w:t>，不涉及双方合作内容及合作方式，也未发现标的公司因客户被处罚而遭受连带责任或监管问询的情形。</w:t>
      </w:r>
    </w:p>
    <w:p w14:paraId="08257C29" w14:textId="5BBA74F9" w:rsidR="00A661C3" w:rsidRPr="00DA3766" w:rsidRDefault="00CF3FFC" w:rsidP="00C32BBB">
      <w:pPr>
        <w:pStyle w:val="005"/>
        <w:spacing w:before="120" w:after="120"/>
        <w:ind w:firstLine="480"/>
      </w:pPr>
      <w:r w:rsidRPr="00DA3766">
        <w:t>同时，前述</w:t>
      </w:r>
      <w:r w:rsidR="00A661C3" w:rsidRPr="00DA3766">
        <w:t>处罚主要以警告、没收违法所得及罚款等形式为主，属于日常监管中的一般性行政处理措施，</w:t>
      </w:r>
      <w:r w:rsidR="00C32BBB" w:rsidRPr="00DA3766">
        <w:t>不存在</w:t>
      </w:r>
      <w:r w:rsidR="00A661C3" w:rsidRPr="00DA3766">
        <w:t>涉及吊销或撤销《支付业务许可证》等影响支付业务核心资质的情形。</w:t>
      </w:r>
      <w:r w:rsidRPr="00DA3766">
        <w:t>因此，</w:t>
      </w:r>
      <w:r w:rsidR="00A661C3" w:rsidRPr="00DA3766">
        <w:t>上述处罚事项不涉及客户支付业务许可的实质性准入条件，也未对其持续合法从事支付服务构成根本性障碍。受处罚客户在按规定完成整改、缴纳罚款后，仍具备继续从事支付业务的法定资格，其支付牌照效力未受影响。</w:t>
      </w:r>
    </w:p>
    <w:p w14:paraId="517CB383" w14:textId="358CB252" w:rsidR="00A661C3" w:rsidRPr="00DA3766" w:rsidRDefault="00CF3FFC" w:rsidP="007E30A6">
      <w:pPr>
        <w:pStyle w:val="005"/>
        <w:spacing w:before="120" w:after="120"/>
        <w:ind w:firstLine="480"/>
      </w:pPr>
      <w:r w:rsidRPr="00DA3766">
        <w:t>综上</w:t>
      </w:r>
      <w:r w:rsidR="00BA6F27" w:rsidRPr="00DA3766">
        <w:t>所述</w:t>
      </w:r>
      <w:r w:rsidR="00A661C3" w:rsidRPr="00DA3766">
        <w:t>，尽管存在</w:t>
      </w:r>
      <w:r w:rsidR="00D13607" w:rsidRPr="00DA3766">
        <w:t>收单外包业务主要</w:t>
      </w:r>
      <w:r w:rsidR="00A661C3" w:rsidRPr="00DA3766">
        <w:t>客户受到行政处罚的情况，但其支付业务资质保持完整有效，不影响该类客户与标的公司之间既有业务合作的合规性与持续性。</w:t>
      </w:r>
      <w:r w:rsidRPr="00DA3766">
        <w:t>标的公司</w:t>
      </w:r>
      <w:r w:rsidR="00A661C3" w:rsidRPr="00DA3766">
        <w:t>相关业务开展未因客户受行政处罚而面临实质性障碍，</w:t>
      </w:r>
      <w:r w:rsidR="00D13607" w:rsidRPr="00DA3766">
        <w:t>不存在重大风险</w:t>
      </w:r>
      <w:r w:rsidR="00A661C3" w:rsidRPr="00DA3766">
        <w:t>。</w:t>
      </w:r>
    </w:p>
    <w:p w14:paraId="37FF911E"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、收单外包业务主要客户的有效交易流水、服务费率及变化情况</w:t>
      </w:r>
    </w:p>
    <w:p w14:paraId="626EEE48" w14:textId="77777777" w:rsidR="00A661C3" w:rsidRPr="00DA3766" w:rsidRDefault="00A661C3" w:rsidP="007E30A6">
      <w:pPr>
        <w:pStyle w:val="005"/>
        <w:spacing w:before="120" w:after="120"/>
        <w:ind w:firstLine="480"/>
      </w:pPr>
      <w:r w:rsidRPr="00DA3766">
        <w:t>报告期标的公司与主要收单外包服务客户的有效交易流水、服务费率情况如下表所示：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222"/>
        <w:gridCol w:w="2054"/>
        <w:gridCol w:w="1656"/>
        <w:gridCol w:w="1596"/>
      </w:tblGrid>
      <w:tr w:rsidR="00D03663" w:rsidRPr="00DA3766" w14:paraId="1826375C" w14:textId="77777777" w:rsidTr="00DA3766">
        <w:trPr>
          <w:trHeight w:val="397"/>
          <w:tblHeader/>
          <w:jc w:val="center"/>
        </w:trPr>
        <w:tc>
          <w:tcPr>
            <w:tcW w:w="1889" w:type="pct"/>
            <w:tcMar>
              <w:top w:w="0" w:type="dxa"/>
              <w:left w:w="108" w:type="dxa"/>
              <w:bottom w:w="0" w:type="dxa"/>
              <w:right w:w="108" w:type="dxa"/>
            </w:tcMar>
            <w:vAlign w:val="center"/>
          </w:tcPr>
          <w:p w14:paraId="54B83DCF"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lastRenderedPageBreak/>
              <w:t>客户名称</w:t>
            </w:r>
          </w:p>
        </w:tc>
        <w:tc>
          <w:tcPr>
            <w:tcW w:w="1204" w:type="pct"/>
            <w:tcMar>
              <w:top w:w="0" w:type="dxa"/>
              <w:left w:w="108" w:type="dxa"/>
              <w:bottom w:w="0" w:type="dxa"/>
              <w:right w:w="108" w:type="dxa"/>
            </w:tcMar>
            <w:vAlign w:val="center"/>
          </w:tcPr>
          <w:p w14:paraId="3B281F7E"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期间</w:t>
            </w:r>
          </w:p>
        </w:tc>
        <w:tc>
          <w:tcPr>
            <w:tcW w:w="971" w:type="pct"/>
            <w:tcMar>
              <w:top w:w="0" w:type="dxa"/>
              <w:bottom w:w="0" w:type="dxa"/>
            </w:tcMar>
            <w:vAlign w:val="center"/>
          </w:tcPr>
          <w:p w14:paraId="5BBFB680"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有效交易流水（万元）</w:t>
            </w:r>
          </w:p>
        </w:tc>
        <w:tc>
          <w:tcPr>
            <w:tcW w:w="936" w:type="pct"/>
            <w:tcMar>
              <w:top w:w="0" w:type="dxa"/>
              <w:bottom w:w="0" w:type="dxa"/>
            </w:tcMar>
            <w:vAlign w:val="center"/>
          </w:tcPr>
          <w:p w14:paraId="64C94342" w14:textId="0DEAA8D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服务费率</w:t>
            </w:r>
          </w:p>
        </w:tc>
      </w:tr>
      <w:tr w:rsidR="00EA5C85" w:rsidRPr="00DA3766" w14:paraId="7967E7DB" w14:textId="77777777" w:rsidTr="00DA3766">
        <w:trPr>
          <w:trHeight w:val="397"/>
          <w:jc w:val="center"/>
        </w:trPr>
        <w:tc>
          <w:tcPr>
            <w:tcW w:w="1889" w:type="pct"/>
            <w:vMerge w:val="restart"/>
            <w:tcMar>
              <w:top w:w="0" w:type="dxa"/>
              <w:left w:w="108" w:type="dxa"/>
              <w:bottom w:w="0" w:type="dxa"/>
              <w:right w:w="108" w:type="dxa"/>
            </w:tcMar>
            <w:vAlign w:val="center"/>
          </w:tcPr>
          <w:p w14:paraId="0D268BFB"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1204" w:type="pct"/>
            <w:tcMar>
              <w:top w:w="0" w:type="dxa"/>
              <w:left w:w="108" w:type="dxa"/>
              <w:bottom w:w="0" w:type="dxa"/>
              <w:right w:w="108" w:type="dxa"/>
            </w:tcMar>
            <w:vAlign w:val="center"/>
          </w:tcPr>
          <w:p w14:paraId="1AD4E192"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1-6</w:t>
            </w:r>
            <w:r w:rsidRPr="00DA3766">
              <w:rPr>
                <w:rFonts w:ascii="Times New Roman" w:hAnsi="Times New Roman" w:cs="Times New Roman"/>
                <w:color w:val="000000"/>
                <w:sz w:val="21"/>
                <w:szCs w:val="21"/>
                <w:lang w:bidi="ar"/>
              </w:rPr>
              <w:t>月</w:t>
            </w:r>
          </w:p>
        </w:tc>
        <w:tc>
          <w:tcPr>
            <w:tcW w:w="971" w:type="pct"/>
            <w:tcMar>
              <w:top w:w="0" w:type="dxa"/>
              <w:bottom w:w="0" w:type="dxa"/>
            </w:tcMar>
            <w:vAlign w:val="center"/>
          </w:tcPr>
          <w:p w14:paraId="340F396F" w14:textId="68A84065"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555,396.25</w:t>
            </w:r>
          </w:p>
        </w:tc>
        <w:tc>
          <w:tcPr>
            <w:tcW w:w="936" w:type="pct"/>
            <w:tcMar>
              <w:top w:w="0" w:type="dxa"/>
              <w:bottom w:w="0" w:type="dxa"/>
            </w:tcMar>
            <w:vAlign w:val="center"/>
          </w:tcPr>
          <w:p w14:paraId="471B325D" w14:textId="2AAD5502"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EA5C85" w:rsidRPr="00DA3766" w14:paraId="19F2D1FE" w14:textId="77777777" w:rsidTr="00DA3766">
        <w:trPr>
          <w:trHeight w:val="397"/>
          <w:jc w:val="center"/>
        </w:trPr>
        <w:tc>
          <w:tcPr>
            <w:tcW w:w="1889" w:type="pct"/>
            <w:vMerge/>
            <w:tcMar>
              <w:top w:w="0" w:type="dxa"/>
              <w:left w:w="108" w:type="dxa"/>
              <w:bottom w:w="0" w:type="dxa"/>
              <w:right w:w="108" w:type="dxa"/>
            </w:tcMar>
            <w:vAlign w:val="center"/>
          </w:tcPr>
          <w:p w14:paraId="2236C71A"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2A8104BE"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2024</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32D9E948" w14:textId="40C5CB4B"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1,020,992.26</w:t>
            </w:r>
          </w:p>
        </w:tc>
        <w:tc>
          <w:tcPr>
            <w:tcW w:w="936" w:type="pct"/>
            <w:tcMar>
              <w:top w:w="0" w:type="dxa"/>
              <w:bottom w:w="0" w:type="dxa"/>
            </w:tcMar>
            <w:vAlign w:val="center"/>
          </w:tcPr>
          <w:p w14:paraId="6CD74805" w14:textId="42F3CA90"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EA5C85" w:rsidRPr="00DA3766" w14:paraId="063A564F" w14:textId="77777777" w:rsidTr="00DA3766">
        <w:trPr>
          <w:trHeight w:val="397"/>
          <w:jc w:val="center"/>
        </w:trPr>
        <w:tc>
          <w:tcPr>
            <w:tcW w:w="1889" w:type="pct"/>
            <w:vMerge/>
            <w:tcMar>
              <w:top w:w="0" w:type="dxa"/>
              <w:left w:w="108" w:type="dxa"/>
              <w:bottom w:w="0" w:type="dxa"/>
              <w:right w:w="108" w:type="dxa"/>
            </w:tcMar>
            <w:vAlign w:val="center"/>
          </w:tcPr>
          <w:p w14:paraId="136EBF97"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1AB8ADD1"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6CB2B77F" w14:textId="5AD39947"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824,756.62</w:t>
            </w:r>
          </w:p>
        </w:tc>
        <w:tc>
          <w:tcPr>
            <w:tcW w:w="936" w:type="pct"/>
            <w:tcMar>
              <w:top w:w="0" w:type="dxa"/>
              <w:bottom w:w="0" w:type="dxa"/>
            </w:tcMar>
            <w:vAlign w:val="center"/>
          </w:tcPr>
          <w:p w14:paraId="1F366E83" w14:textId="53BC9923"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4E7FC413" w14:textId="77777777" w:rsidTr="00DA3766">
        <w:trPr>
          <w:trHeight w:val="397"/>
          <w:jc w:val="center"/>
        </w:trPr>
        <w:tc>
          <w:tcPr>
            <w:tcW w:w="1889" w:type="pct"/>
            <w:vMerge w:val="restart"/>
            <w:tcMar>
              <w:top w:w="0" w:type="dxa"/>
              <w:left w:w="108" w:type="dxa"/>
              <w:bottom w:w="0" w:type="dxa"/>
              <w:right w:w="108" w:type="dxa"/>
            </w:tcMar>
            <w:vAlign w:val="center"/>
          </w:tcPr>
          <w:p w14:paraId="070DC974"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204" w:type="pct"/>
            <w:tcMar>
              <w:top w:w="0" w:type="dxa"/>
              <w:left w:w="108" w:type="dxa"/>
              <w:bottom w:w="0" w:type="dxa"/>
              <w:right w:w="108" w:type="dxa"/>
            </w:tcMar>
            <w:vAlign w:val="center"/>
          </w:tcPr>
          <w:p w14:paraId="36F615D2"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1-6</w:t>
            </w:r>
            <w:r w:rsidRPr="00DA3766">
              <w:rPr>
                <w:rFonts w:ascii="Times New Roman" w:hAnsi="Times New Roman" w:cs="Times New Roman"/>
                <w:color w:val="000000"/>
                <w:sz w:val="21"/>
                <w:szCs w:val="21"/>
                <w:lang w:bidi="ar"/>
              </w:rPr>
              <w:t>月</w:t>
            </w:r>
          </w:p>
        </w:tc>
        <w:tc>
          <w:tcPr>
            <w:tcW w:w="971" w:type="pct"/>
            <w:tcMar>
              <w:top w:w="0" w:type="dxa"/>
              <w:bottom w:w="0" w:type="dxa"/>
            </w:tcMar>
            <w:vAlign w:val="center"/>
          </w:tcPr>
          <w:p w14:paraId="0EFD9FEE" w14:textId="21B7BB78"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15,597.23</w:t>
            </w:r>
          </w:p>
        </w:tc>
        <w:tc>
          <w:tcPr>
            <w:tcW w:w="936" w:type="pct"/>
            <w:tcMar>
              <w:top w:w="0" w:type="dxa"/>
              <w:bottom w:w="0" w:type="dxa"/>
            </w:tcMar>
            <w:vAlign w:val="center"/>
          </w:tcPr>
          <w:p w14:paraId="32ED23B6" w14:textId="14E039FD"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75D1EF65" w14:textId="77777777" w:rsidTr="00DA3766">
        <w:trPr>
          <w:trHeight w:val="397"/>
          <w:jc w:val="center"/>
        </w:trPr>
        <w:tc>
          <w:tcPr>
            <w:tcW w:w="1889" w:type="pct"/>
            <w:vMerge/>
            <w:tcMar>
              <w:top w:w="0" w:type="dxa"/>
              <w:left w:w="108" w:type="dxa"/>
              <w:bottom w:w="0" w:type="dxa"/>
              <w:right w:w="108" w:type="dxa"/>
            </w:tcMar>
            <w:vAlign w:val="center"/>
          </w:tcPr>
          <w:p w14:paraId="1691E745"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7661F7C9"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2024</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70FB5EBA" w14:textId="29A4DD01"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53,708.47</w:t>
            </w:r>
          </w:p>
        </w:tc>
        <w:tc>
          <w:tcPr>
            <w:tcW w:w="936" w:type="pct"/>
            <w:tcMar>
              <w:top w:w="0" w:type="dxa"/>
              <w:bottom w:w="0" w:type="dxa"/>
            </w:tcMar>
            <w:vAlign w:val="center"/>
          </w:tcPr>
          <w:p w14:paraId="766E0565" w14:textId="791D5588"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482DCE66" w14:textId="77777777" w:rsidTr="00DA3766">
        <w:trPr>
          <w:trHeight w:val="397"/>
          <w:jc w:val="center"/>
        </w:trPr>
        <w:tc>
          <w:tcPr>
            <w:tcW w:w="1889" w:type="pct"/>
            <w:vMerge/>
            <w:tcMar>
              <w:top w:w="0" w:type="dxa"/>
              <w:left w:w="108" w:type="dxa"/>
              <w:bottom w:w="0" w:type="dxa"/>
              <w:right w:w="108" w:type="dxa"/>
            </w:tcMar>
            <w:vAlign w:val="center"/>
          </w:tcPr>
          <w:p w14:paraId="11D9F1B3"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711A2B2E"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14DDCFC3" w14:textId="27881729"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116,535.74</w:t>
            </w:r>
          </w:p>
        </w:tc>
        <w:tc>
          <w:tcPr>
            <w:tcW w:w="936" w:type="pct"/>
            <w:tcMar>
              <w:top w:w="0" w:type="dxa"/>
              <w:bottom w:w="0" w:type="dxa"/>
            </w:tcMar>
            <w:vAlign w:val="center"/>
          </w:tcPr>
          <w:p w14:paraId="1C7824F0" w14:textId="75672C34"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bl>
    <w:p w14:paraId="607E71D6" w14:textId="327AD5C2" w:rsidR="00A661C3" w:rsidRPr="00DA3766" w:rsidRDefault="00A661C3" w:rsidP="003355FF">
      <w:pPr>
        <w:spacing w:beforeLines="0" w:before="0" w:afterLines="0" w:after="0" w:line="240" w:lineRule="auto"/>
        <w:ind w:firstLine="420"/>
        <w:jc w:val="both"/>
        <w:rPr>
          <w:rFonts w:ascii="Times New Roman" w:hAnsi="Times New Roman" w:cs="Times New Roman"/>
          <w:sz w:val="21"/>
          <w:szCs w:val="20"/>
        </w:rPr>
      </w:pPr>
      <w:r w:rsidRPr="00DA3766">
        <w:rPr>
          <w:rFonts w:ascii="Times New Roman" w:hAnsi="Times New Roman" w:cs="Times New Roman"/>
          <w:sz w:val="21"/>
          <w:szCs w:val="20"/>
        </w:rPr>
        <w:t>注：实际结算的服务费率依据标的公司与收单外包客户签署的协议细则</w:t>
      </w:r>
      <w:r w:rsidR="00306596" w:rsidRPr="00DA3766">
        <w:rPr>
          <w:rFonts w:ascii="Times New Roman" w:hAnsi="Times New Roman" w:cs="Times New Roman"/>
          <w:sz w:val="21"/>
          <w:szCs w:val="20"/>
        </w:rPr>
        <w:t>确定。</w:t>
      </w:r>
    </w:p>
    <w:p w14:paraId="6DE20BFC" w14:textId="77777777" w:rsidR="00A661C3" w:rsidRPr="00DA3766" w:rsidRDefault="00A661C3" w:rsidP="007E30A6">
      <w:pPr>
        <w:pStyle w:val="005"/>
        <w:spacing w:before="120" w:after="120"/>
        <w:ind w:firstLine="480"/>
      </w:pPr>
      <w:r w:rsidRPr="00DA3766">
        <w:t>报告期内，标的公司与主要收单外包服务客户的服务费率未发生重大变化。</w:t>
      </w:r>
    </w:p>
    <w:p w14:paraId="13F2BC4F"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（三）主要客户经营是否发生重大不利变化或存在重大不利变化风险，是否存在</w:t>
      </w:r>
      <w:bookmarkStart w:id="10" w:name="_Hlk217920868"/>
      <w:r w:rsidRPr="00DA3766">
        <w:rPr>
          <w:rFonts w:ascii="Times New Roman" w:hAnsi="Times New Roman" w:cs="Times New Roman"/>
          <w:b/>
          <w:bCs/>
          <w:szCs w:val="28"/>
        </w:rPr>
        <w:t>业务规模收缩情况</w:t>
      </w:r>
      <w:bookmarkEnd w:id="10"/>
      <w:r w:rsidRPr="00DA3766">
        <w:rPr>
          <w:rFonts w:ascii="Times New Roman" w:hAnsi="Times New Roman" w:cs="Times New Roman"/>
          <w:b/>
          <w:bCs/>
          <w:szCs w:val="28"/>
        </w:rPr>
        <w:t>，如是，说明对标的资产收单外包服务业务的影响，该业务是否具备持续经营能力</w:t>
      </w:r>
    </w:p>
    <w:p w14:paraId="081C2F33" w14:textId="35131A28"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、国内支付行业长期发展趋势向好</w:t>
      </w:r>
    </w:p>
    <w:p w14:paraId="59F7CA8C" w14:textId="1F7289C6" w:rsidR="00D915FA" w:rsidRPr="00DA3766" w:rsidRDefault="00A661C3" w:rsidP="007E30A6">
      <w:pPr>
        <w:pStyle w:val="005"/>
        <w:spacing w:before="120" w:after="120"/>
        <w:ind w:firstLine="480"/>
      </w:pPr>
      <w:r w:rsidRPr="00DA3766">
        <w:t>近年来国内支付行业进入高质量发展阶段，持牌机构展业持续规范，传统</w:t>
      </w:r>
      <w:r w:rsidRPr="00DA3766">
        <w:t>POS</w:t>
      </w:r>
      <w:r w:rsidRPr="00DA3766">
        <w:t>收单业务受条码支付替代效应影响持续收缩，头部支付机构纷纷从单一支付通道向</w:t>
      </w:r>
      <w:r w:rsidRPr="00DA3766">
        <w:rPr>
          <w:rFonts w:ascii="宋体" w:hAnsi="宋体"/>
        </w:rPr>
        <w:t>“</w:t>
      </w:r>
      <w:r w:rsidRPr="00DA3766">
        <w:t>支付</w:t>
      </w:r>
      <w:r w:rsidRPr="00DA3766">
        <w:t>+</w:t>
      </w:r>
      <w:r w:rsidR="007A44DA" w:rsidRPr="00DA3766">
        <w:t>SaaS</w:t>
      </w:r>
      <w:r w:rsidRPr="00DA3766">
        <w:t>+</w:t>
      </w:r>
      <w:r w:rsidRPr="00DA3766">
        <w:t>数据</w:t>
      </w:r>
      <w:r w:rsidRPr="00DA3766">
        <w:rPr>
          <w:rFonts w:ascii="宋体" w:hAnsi="宋体"/>
        </w:rPr>
        <w:t>”</w:t>
      </w:r>
      <w:r w:rsidRPr="00DA3766">
        <w:t>综合服务转型。政策层面则以强监管、促合规为主线，鼓励支付机构依法依规服务实体经济、拓展跨境支付等创新场景，推动行业迈向合规有序增长的发展新阶段。</w:t>
      </w:r>
      <w:r w:rsidR="00D915FA" w:rsidRPr="00DA3766">
        <w:t>因此，在监管规范、技术驱动和市场需求升级的共同作用下，国内支付行业长期发展趋势向好。</w:t>
      </w:r>
    </w:p>
    <w:p w14:paraId="0901D3D2" w14:textId="572E221A"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、标的公司主要收单外包服务客户的业务调整情况</w:t>
      </w:r>
    </w:p>
    <w:p w14:paraId="38F481CE" w14:textId="6E44B726" w:rsidR="00A661C3" w:rsidRPr="00DA3766" w:rsidRDefault="00A661C3" w:rsidP="007E30A6">
      <w:pPr>
        <w:pStyle w:val="005"/>
        <w:spacing w:before="120" w:after="120"/>
        <w:ind w:firstLine="480"/>
      </w:pPr>
      <w:r w:rsidRPr="00DA3766">
        <w:t>2024</w:t>
      </w:r>
      <w:r w:rsidRPr="00DA3766">
        <w:t>年</w:t>
      </w:r>
      <w:r w:rsidRPr="00DA3766">
        <w:t>8</w:t>
      </w:r>
      <w:r w:rsidRPr="00DA3766">
        <w:t>月，据《中国经营报》公开报道，上海汇付支付有限公司（以下简称</w:t>
      </w:r>
      <w:r w:rsidRPr="00DA3766">
        <w:rPr>
          <w:rFonts w:ascii="宋体" w:hAnsi="宋体"/>
        </w:rPr>
        <w:t>“</w:t>
      </w:r>
      <w:r w:rsidRPr="00DA3766">
        <w:t>汇付天下</w:t>
      </w:r>
      <w:r w:rsidRPr="00DA3766">
        <w:rPr>
          <w:rFonts w:ascii="宋体" w:hAnsi="宋体"/>
        </w:rPr>
        <w:t>”</w:t>
      </w:r>
      <w:r w:rsidRPr="00DA3766">
        <w:t>）正持续缩减部分境内银行卡收单业务</w:t>
      </w:r>
      <w:r w:rsidR="007B33D1" w:rsidRPr="00DA3766">
        <w:t>，</w:t>
      </w:r>
      <w:r w:rsidRPr="00DA3766">
        <w:t>由于监管趋严和收单业务盈利空间的逐渐缩小，</w:t>
      </w:r>
      <w:r w:rsidR="007B33D1" w:rsidRPr="00DA3766">
        <w:t>汇付天下</w:t>
      </w:r>
      <w:r w:rsidRPr="00DA3766">
        <w:t>计划逐步停止相关业务的拓客。进一步报道称，汇付天下此次退出的是以</w:t>
      </w:r>
      <w:r w:rsidRPr="00DA3766">
        <w:rPr>
          <w:rFonts w:ascii="宋体" w:hAnsi="宋体"/>
        </w:rPr>
        <w:t>“</w:t>
      </w:r>
      <w:r w:rsidRPr="00DA3766">
        <w:t>小微商户</w:t>
      </w:r>
      <w:r w:rsidRPr="00DA3766">
        <w:rPr>
          <w:rFonts w:ascii="宋体" w:hAnsi="宋体"/>
        </w:rPr>
        <w:t>”</w:t>
      </w:r>
      <w:r w:rsidRPr="00DA3766">
        <w:t>为代表的特殊场景收单市场。</w:t>
      </w:r>
    </w:p>
    <w:p w14:paraId="172483EB" w14:textId="00B2619A" w:rsidR="00A661C3" w:rsidRPr="00DA3766" w:rsidRDefault="00A661C3" w:rsidP="00DE23EA">
      <w:pPr>
        <w:pStyle w:val="005"/>
        <w:spacing w:before="120" w:after="120"/>
        <w:ind w:firstLine="480"/>
      </w:pPr>
      <w:r w:rsidRPr="00DA3766">
        <w:t>经</w:t>
      </w:r>
      <w:r w:rsidR="00333A19" w:rsidRPr="00DA3766">
        <w:t>核查</w:t>
      </w:r>
      <w:r w:rsidRPr="00DA3766">
        <w:t>，前述业务调整主要</w:t>
      </w:r>
      <w:r w:rsidR="00BB721B" w:rsidRPr="00DA3766">
        <w:t>系</w:t>
      </w:r>
      <w:r w:rsidR="00D915FA" w:rsidRPr="00DA3766">
        <w:t>汇付天下对以自然人为业务主体的小微商户银行卡收单业务（例如信用卡套现等）的主动清退，</w:t>
      </w:r>
      <w:r w:rsidRPr="00DA3766">
        <w:t>系为适应《非银行支付机构监督管理条例》等</w:t>
      </w:r>
      <w:r w:rsidR="006D22D6" w:rsidRPr="00DA3766">
        <w:t>系列</w:t>
      </w:r>
      <w:r w:rsidRPr="00DA3766">
        <w:t>监管新规出台后的市场形势而采取的必要业务布局调整</w:t>
      </w:r>
      <w:r w:rsidR="00D915FA" w:rsidRPr="00DA3766">
        <w:t>，因此系主动性的业务结构优化，不属于业务规模收缩</w:t>
      </w:r>
      <w:r w:rsidR="00BB721B" w:rsidRPr="00DA3766">
        <w:t>。</w:t>
      </w:r>
      <w:r w:rsidR="00A34AC7" w:rsidRPr="00DA3766">
        <w:t>同时，</w:t>
      </w:r>
      <w:r w:rsidR="00BB721B" w:rsidRPr="00DA3766">
        <w:t>标的公司系汇付天下</w:t>
      </w:r>
      <w:r w:rsidR="00F91DBA" w:rsidRPr="00DA3766">
        <w:t>在智能自助设备</w:t>
      </w:r>
      <w:r w:rsidR="00BB721B" w:rsidRPr="00DA3766">
        <w:t>行业</w:t>
      </w:r>
      <w:r w:rsidR="00F91DBA" w:rsidRPr="00DA3766">
        <w:t>的重点</w:t>
      </w:r>
      <w:r w:rsidR="00BB721B" w:rsidRPr="00DA3766">
        <w:t>客户，不属于小微商户银行卡收单业务</w:t>
      </w:r>
      <w:r w:rsidR="000C5E68" w:rsidRPr="00DA3766">
        <w:t>对象</w:t>
      </w:r>
      <w:r w:rsidR="00BB721B" w:rsidRPr="00DA3766">
        <w:t>。</w:t>
      </w:r>
      <w:r w:rsidR="00A34AC7" w:rsidRPr="00DA3766">
        <w:t>因此</w:t>
      </w:r>
      <w:r w:rsidR="00BB721B" w:rsidRPr="00DA3766">
        <w:t>前</w:t>
      </w:r>
      <w:r w:rsidR="00BB721B" w:rsidRPr="00DA3766">
        <w:lastRenderedPageBreak/>
        <w:t>述业务调整</w:t>
      </w:r>
      <w:r w:rsidRPr="00DA3766">
        <w:t>不影响与标的公司在智能自助设备领域的现有合作业务，</w:t>
      </w:r>
      <w:r w:rsidR="00BB721B" w:rsidRPr="00DA3766">
        <w:t>亦</w:t>
      </w:r>
      <w:r w:rsidRPr="00DA3766">
        <w:t>不会对与标的公司的未来业务合作关系产生重大不利影响。</w:t>
      </w:r>
    </w:p>
    <w:p w14:paraId="5C7AF5A7" w14:textId="6A82D2F1"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bookmarkStart w:id="11" w:name="OLE_LINK64"/>
      <w:r w:rsidRPr="00DA3766">
        <w:rPr>
          <w:rFonts w:ascii="Times New Roman" w:hAnsi="Times New Roman" w:cs="Times New Roman"/>
          <w:b/>
          <w:bCs/>
          <w:szCs w:val="28"/>
        </w:rPr>
        <w:t>3</w:t>
      </w:r>
      <w:r w:rsidRPr="00DA3766">
        <w:rPr>
          <w:rFonts w:ascii="Times New Roman" w:hAnsi="Times New Roman" w:cs="Times New Roman"/>
          <w:b/>
          <w:bCs/>
          <w:szCs w:val="28"/>
        </w:rPr>
        <w:t>、标的公司的有效交易流水规模总体呈增长趋势</w:t>
      </w:r>
    </w:p>
    <w:bookmarkEnd w:id="11"/>
    <w:p w14:paraId="2E542F72" w14:textId="3D419C29" w:rsidR="007E43F2" w:rsidRPr="00DA3766" w:rsidRDefault="00A661C3" w:rsidP="007E30A6">
      <w:pPr>
        <w:pStyle w:val="005"/>
        <w:spacing w:before="120" w:after="120"/>
        <w:ind w:firstLine="480"/>
        <w:rPr>
          <w:szCs w:val="24"/>
          <w14:ligatures w14:val="standardContextual"/>
        </w:rPr>
      </w:pPr>
      <w:r w:rsidRPr="00DA3766">
        <w:t>报告期各期，标的公司与主要收单外包客户相关的有效交易流水规模及变化情况如下表所示：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0"/>
        <w:gridCol w:w="1539"/>
        <w:gridCol w:w="1538"/>
        <w:gridCol w:w="1538"/>
        <w:gridCol w:w="1533"/>
      </w:tblGrid>
      <w:tr w:rsidR="008E4984" w:rsidRPr="00DA3766" w14:paraId="4AA8AEDA" w14:textId="77777777" w:rsidTr="00DA3766">
        <w:trPr>
          <w:trHeight w:val="397"/>
          <w:jc w:val="center"/>
        </w:trPr>
        <w:tc>
          <w:tcPr>
            <w:tcW w:w="1395" w:type="pct"/>
            <w:vMerge w:val="restart"/>
            <w:tcMar>
              <w:top w:w="0" w:type="dxa"/>
              <w:left w:w="108" w:type="dxa"/>
              <w:bottom w:w="0" w:type="dxa"/>
              <w:right w:w="108" w:type="dxa"/>
            </w:tcMar>
            <w:vAlign w:val="center"/>
          </w:tcPr>
          <w:p w14:paraId="1E413B71"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2" w:name="_Hlk220057918"/>
            <w:r w:rsidRPr="00DA3766">
              <w:rPr>
                <w:rFonts w:ascii="Times New Roman" w:hAnsi="Times New Roman" w:cs="Times New Roman"/>
                <w:b/>
                <w:bCs/>
                <w:sz w:val="21"/>
                <w:szCs w:val="21"/>
              </w:rPr>
              <w:t>客户名称</w:t>
            </w:r>
          </w:p>
        </w:tc>
        <w:tc>
          <w:tcPr>
            <w:tcW w:w="3605" w:type="pct"/>
            <w:gridSpan w:val="4"/>
            <w:tcMar>
              <w:top w:w="0" w:type="dxa"/>
              <w:left w:w="108" w:type="dxa"/>
              <w:bottom w:w="0" w:type="dxa"/>
              <w:right w:w="108" w:type="dxa"/>
            </w:tcMar>
            <w:vAlign w:val="center"/>
          </w:tcPr>
          <w:p w14:paraId="479217D2"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有效交易流水（万元）</w:t>
            </w:r>
          </w:p>
        </w:tc>
      </w:tr>
      <w:tr w:rsidR="007E43F2" w:rsidRPr="00DA3766" w14:paraId="4FF90405" w14:textId="77777777" w:rsidTr="00DA3766">
        <w:trPr>
          <w:trHeight w:val="397"/>
          <w:jc w:val="center"/>
        </w:trPr>
        <w:tc>
          <w:tcPr>
            <w:tcW w:w="1395" w:type="pct"/>
            <w:vMerge/>
            <w:tcMar>
              <w:top w:w="0" w:type="dxa"/>
              <w:left w:w="108" w:type="dxa"/>
              <w:bottom w:w="0" w:type="dxa"/>
              <w:right w:w="108" w:type="dxa"/>
            </w:tcMar>
            <w:vAlign w:val="center"/>
          </w:tcPr>
          <w:p w14:paraId="4448B9B0" w14:textId="77777777"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902" w:type="pct"/>
            <w:tcMar>
              <w:top w:w="0" w:type="dxa"/>
              <w:left w:w="108" w:type="dxa"/>
              <w:bottom w:w="0" w:type="dxa"/>
              <w:right w:w="108" w:type="dxa"/>
            </w:tcMar>
            <w:vAlign w:val="center"/>
          </w:tcPr>
          <w:p w14:paraId="35085C45" w14:textId="77777777"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902" w:type="pct"/>
            <w:tcMar>
              <w:top w:w="0" w:type="dxa"/>
              <w:bottom w:w="0" w:type="dxa"/>
            </w:tcMar>
            <w:vAlign w:val="center"/>
          </w:tcPr>
          <w:p w14:paraId="1CC899E9" w14:textId="54C2BE8E"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902" w:type="pct"/>
            <w:tcMar>
              <w:top w:w="0" w:type="dxa"/>
              <w:bottom w:w="0" w:type="dxa"/>
            </w:tcMar>
            <w:vAlign w:val="center"/>
          </w:tcPr>
          <w:p w14:paraId="56C54720" w14:textId="1448DE78"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c>
          <w:tcPr>
            <w:tcW w:w="899" w:type="pct"/>
            <w:tcMar>
              <w:top w:w="0" w:type="dxa"/>
              <w:bottom w:w="0" w:type="dxa"/>
            </w:tcMar>
            <w:vAlign w:val="center"/>
          </w:tcPr>
          <w:p w14:paraId="69467B67" w14:textId="0D9EE316"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00A6487C" w:rsidRPr="00DA3766">
              <w:rPr>
                <w:rFonts w:ascii="Times New Roman" w:hAnsi="Times New Roman" w:cs="Times New Roman"/>
                <w:b/>
                <w:bCs/>
                <w:sz w:val="21"/>
                <w:szCs w:val="21"/>
              </w:rPr>
              <w:t>度</w:t>
            </w:r>
            <w:r w:rsidRPr="00DA3766">
              <w:rPr>
                <w:rFonts w:ascii="Times New Roman" w:hAnsi="Times New Roman" w:cs="Times New Roman"/>
                <w:b/>
                <w:bCs/>
                <w:sz w:val="21"/>
                <w:szCs w:val="21"/>
              </w:rPr>
              <w:t>同比增长率</w:t>
            </w:r>
          </w:p>
        </w:tc>
      </w:tr>
      <w:tr w:rsidR="00EA5C85" w:rsidRPr="00DA3766" w14:paraId="52DCBEF1" w14:textId="77777777" w:rsidTr="00DA3766">
        <w:trPr>
          <w:trHeight w:val="397"/>
          <w:jc w:val="center"/>
        </w:trPr>
        <w:tc>
          <w:tcPr>
            <w:tcW w:w="1395" w:type="pct"/>
            <w:tcMar>
              <w:top w:w="0" w:type="dxa"/>
              <w:left w:w="108" w:type="dxa"/>
              <w:bottom w:w="0" w:type="dxa"/>
              <w:right w:w="108" w:type="dxa"/>
            </w:tcMar>
            <w:vAlign w:val="center"/>
          </w:tcPr>
          <w:p w14:paraId="1F1C1959"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902" w:type="pct"/>
            <w:tcMar>
              <w:top w:w="0" w:type="dxa"/>
              <w:left w:w="108" w:type="dxa"/>
              <w:bottom w:w="0" w:type="dxa"/>
              <w:right w:w="108" w:type="dxa"/>
            </w:tcMar>
            <w:vAlign w:val="center"/>
          </w:tcPr>
          <w:p w14:paraId="14052388" w14:textId="7174E232"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555,396.25</w:t>
            </w:r>
          </w:p>
        </w:tc>
        <w:tc>
          <w:tcPr>
            <w:tcW w:w="902" w:type="pct"/>
            <w:tcMar>
              <w:top w:w="0" w:type="dxa"/>
              <w:bottom w:w="0" w:type="dxa"/>
            </w:tcMar>
            <w:vAlign w:val="center"/>
          </w:tcPr>
          <w:p w14:paraId="2430D4BA" w14:textId="2C16912D"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1,020,992.26</w:t>
            </w:r>
          </w:p>
        </w:tc>
        <w:tc>
          <w:tcPr>
            <w:tcW w:w="902" w:type="pct"/>
            <w:tcMar>
              <w:top w:w="0" w:type="dxa"/>
              <w:bottom w:w="0" w:type="dxa"/>
            </w:tcMar>
            <w:vAlign w:val="center"/>
          </w:tcPr>
          <w:p w14:paraId="005D9F84" w14:textId="78CC2C4F"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824,756.62</w:t>
            </w:r>
          </w:p>
        </w:tc>
        <w:tc>
          <w:tcPr>
            <w:tcW w:w="899" w:type="pct"/>
            <w:tcMar>
              <w:top w:w="0" w:type="dxa"/>
              <w:bottom w:w="0" w:type="dxa"/>
            </w:tcMar>
            <w:vAlign w:val="center"/>
          </w:tcPr>
          <w:p w14:paraId="22BD4A6B" w14:textId="4BCCBF0C"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23.79%</w:t>
            </w:r>
          </w:p>
        </w:tc>
      </w:tr>
      <w:tr w:rsidR="00EA5C85" w:rsidRPr="00DA3766" w14:paraId="2538802A" w14:textId="77777777" w:rsidTr="00DA3766">
        <w:trPr>
          <w:trHeight w:val="397"/>
          <w:jc w:val="center"/>
        </w:trPr>
        <w:tc>
          <w:tcPr>
            <w:tcW w:w="1395" w:type="pct"/>
            <w:tcMar>
              <w:top w:w="0" w:type="dxa"/>
              <w:left w:w="108" w:type="dxa"/>
              <w:bottom w:w="0" w:type="dxa"/>
              <w:right w:w="108" w:type="dxa"/>
            </w:tcMar>
            <w:vAlign w:val="center"/>
          </w:tcPr>
          <w:p w14:paraId="79960421"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902" w:type="pct"/>
            <w:tcMar>
              <w:top w:w="0" w:type="dxa"/>
              <w:left w:w="108" w:type="dxa"/>
              <w:bottom w:w="0" w:type="dxa"/>
              <w:right w:w="108" w:type="dxa"/>
            </w:tcMar>
            <w:vAlign w:val="center"/>
          </w:tcPr>
          <w:p w14:paraId="0B296B5D" w14:textId="72796037"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15,597.23 </w:t>
            </w:r>
          </w:p>
        </w:tc>
        <w:tc>
          <w:tcPr>
            <w:tcW w:w="902" w:type="pct"/>
            <w:tcMar>
              <w:top w:w="0" w:type="dxa"/>
              <w:bottom w:w="0" w:type="dxa"/>
            </w:tcMar>
            <w:vAlign w:val="center"/>
          </w:tcPr>
          <w:p w14:paraId="4F088E8C" w14:textId="70B945F0"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53,708.47 </w:t>
            </w:r>
          </w:p>
        </w:tc>
        <w:tc>
          <w:tcPr>
            <w:tcW w:w="902" w:type="pct"/>
            <w:tcMar>
              <w:top w:w="0" w:type="dxa"/>
              <w:bottom w:w="0" w:type="dxa"/>
            </w:tcMar>
            <w:vAlign w:val="center"/>
          </w:tcPr>
          <w:p w14:paraId="165180CE" w14:textId="33046FAE"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116,535.74 </w:t>
            </w:r>
          </w:p>
        </w:tc>
        <w:tc>
          <w:tcPr>
            <w:tcW w:w="899" w:type="pct"/>
            <w:tcMar>
              <w:top w:w="0" w:type="dxa"/>
              <w:bottom w:w="0" w:type="dxa"/>
            </w:tcMar>
            <w:vAlign w:val="center"/>
          </w:tcPr>
          <w:p w14:paraId="4FC7208C" w14:textId="5A452376"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w:t>
            </w:r>
            <w:r w:rsidR="00C22D30" w:rsidRPr="00DA3766">
              <w:rPr>
                <w:rFonts w:ascii="Times New Roman" w:hAnsi="Times New Roman" w:cs="Times New Roman"/>
                <w:color w:val="000000"/>
                <w:sz w:val="21"/>
                <w:szCs w:val="21"/>
                <w:lang w:bidi="ar"/>
              </w:rPr>
              <w:t>91</w:t>
            </w:r>
            <w:r w:rsidRPr="00DA3766">
              <w:rPr>
                <w:rFonts w:ascii="Times New Roman" w:hAnsi="Times New Roman" w:cs="Times New Roman"/>
                <w:color w:val="000000"/>
                <w:sz w:val="21"/>
                <w:szCs w:val="21"/>
                <w:lang w:bidi="ar"/>
              </w:rPr>
              <w:t>%</w:t>
            </w:r>
          </w:p>
        </w:tc>
      </w:tr>
      <w:tr w:rsidR="00F519FC" w:rsidRPr="00DA3766" w14:paraId="018DB55D" w14:textId="77777777" w:rsidTr="00DA3766">
        <w:trPr>
          <w:trHeight w:val="397"/>
          <w:jc w:val="center"/>
        </w:trPr>
        <w:tc>
          <w:tcPr>
            <w:tcW w:w="1395" w:type="pct"/>
            <w:tcMar>
              <w:top w:w="0" w:type="dxa"/>
              <w:left w:w="108" w:type="dxa"/>
              <w:bottom w:w="0" w:type="dxa"/>
              <w:right w:w="108" w:type="dxa"/>
            </w:tcMar>
            <w:vAlign w:val="center"/>
          </w:tcPr>
          <w:p w14:paraId="039994EB" w14:textId="77777777" w:rsidR="00F519FC" w:rsidRPr="00DA3766" w:rsidRDefault="00F519F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合计</w:t>
            </w:r>
          </w:p>
        </w:tc>
        <w:tc>
          <w:tcPr>
            <w:tcW w:w="902" w:type="pct"/>
            <w:tcMar>
              <w:top w:w="0" w:type="dxa"/>
              <w:left w:w="108" w:type="dxa"/>
              <w:bottom w:w="0" w:type="dxa"/>
              <w:right w:w="108" w:type="dxa"/>
            </w:tcMar>
            <w:vAlign w:val="center"/>
          </w:tcPr>
          <w:p w14:paraId="35F29DB0" w14:textId="05BF8493"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570,993.48</w:t>
            </w:r>
          </w:p>
        </w:tc>
        <w:tc>
          <w:tcPr>
            <w:tcW w:w="902" w:type="pct"/>
            <w:tcMar>
              <w:top w:w="0" w:type="dxa"/>
              <w:bottom w:w="0" w:type="dxa"/>
            </w:tcMar>
            <w:vAlign w:val="center"/>
          </w:tcPr>
          <w:p w14:paraId="37984A1F" w14:textId="02F2B723"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1,074,700.74</w:t>
            </w:r>
          </w:p>
        </w:tc>
        <w:tc>
          <w:tcPr>
            <w:tcW w:w="902" w:type="pct"/>
            <w:tcMar>
              <w:top w:w="0" w:type="dxa"/>
              <w:bottom w:w="0" w:type="dxa"/>
            </w:tcMar>
            <w:vAlign w:val="center"/>
          </w:tcPr>
          <w:p w14:paraId="6860514A" w14:textId="25D87AFA"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941,292.37</w:t>
            </w:r>
          </w:p>
        </w:tc>
        <w:tc>
          <w:tcPr>
            <w:tcW w:w="899" w:type="pct"/>
            <w:tcMar>
              <w:top w:w="0" w:type="dxa"/>
              <w:bottom w:w="0" w:type="dxa"/>
            </w:tcMar>
            <w:vAlign w:val="center"/>
          </w:tcPr>
          <w:p w14:paraId="521B6F67" w14:textId="55CF26EA"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14.17%</w:t>
            </w:r>
          </w:p>
        </w:tc>
      </w:tr>
    </w:tbl>
    <w:bookmarkEnd w:id="12"/>
    <w:p w14:paraId="09A6BC06" w14:textId="0C7E1811" w:rsidR="00A661C3" w:rsidRPr="00DA3766" w:rsidRDefault="00A661C3" w:rsidP="007E30A6">
      <w:pPr>
        <w:pStyle w:val="005"/>
        <w:spacing w:before="120" w:after="120"/>
        <w:ind w:firstLine="480"/>
      </w:pPr>
      <w:r w:rsidRPr="00DA3766">
        <w:t>2024</w:t>
      </w:r>
      <w:r w:rsidRPr="00DA3766">
        <w:t>年，标的公司与主要收单外包客户相关的有效交易流水规模同比增长</w:t>
      </w:r>
      <w:r w:rsidRPr="00DA3766">
        <w:t>1</w:t>
      </w:r>
      <w:r w:rsidR="00F519FC" w:rsidRPr="00DA3766">
        <w:t>4.17</w:t>
      </w:r>
      <w:r w:rsidRPr="00DA3766">
        <w:t>%</w:t>
      </w:r>
      <w:r w:rsidRPr="00DA3766">
        <w:t>，流水结构分布发生一定调整</w:t>
      </w:r>
      <w:r w:rsidR="00206DB9" w:rsidRPr="00DA3766">
        <w:t>，主要系由于从支付机构本身而言，汇付属于支付业务龙头企业，系统稳定性较其余支付平台更高，随着标的公司业务体量的增大，对系统稳定性要求也越来越高，标的公司战略上决定加大与汇付合作力度，同步下调其余支付机构的支付频次占比，以保证支付体系稳定性。</w:t>
      </w:r>
    </w:p>
    <w:p w14:paraId="6379FF23" w14:textId="17929641"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、标的公司</w:t>
      </w:r>
      <w:r w:rsidR="00683EDB" w:rsidRPr="00DA3766">
        <w:rPr>
          <w:rFonts w:ascii="Times New Roman" w:hAnsi="Times New Roman" w:cs="Times New Roman"/>
          <w:b/>
          <w:bCs/>
          <w:szCs w:val="28"/>
        </w:rPr>
        <w:t>对支付渠道的选择</w:t>
      </w:r>
      <w:r w:rsidRPr="00DA3766">
        <w:rPr>
          <w:rFonts w:ascii="Times New Roman" w:hAnsi="Times New Roman" w:cs="Times New Roman"/>
          <w:b/>
          <w:bCs/>
          <w:szCs w:val="28"/>
        </w:rPr>
        <w:t>具有</w:t>
      </w:r>
      <w:r w:rsidR="00683EDB" w:rsidRPr="00DA3766">
        <w:rPr>
          <w:rFonts w:ascii="Times New Roman" w:hAnsi="Times New Roman" w:cs="Times New Roman"/>
          <w:b/>
          <w:bCs/>
          <w:szCs w:val="28"/>
        </w:rPr>
        <w:t>主动权</w:t>
      </w:r>
      <w:r w:rsidRPr="00DA3766">
        <w:rPr>
          <w:rFonts w:ascii="Times New Roman" w:hAnsi="Times New Roman" w:cs="Times New Roman"/>
          <w:b/>
          <w:bCs/>
          <w:szCs w:val="28"/>
        </w:rPr>
        <w:t>，受到单一支付渠道的影响较小</w:t>
      </w:r>
    </w:p>
    <w:p w14:paraId="64936EED" w14:textId="7C35A274" w:rsidR="00A661C3" w:rsidRPr="00DA3766" w:rsidRDefault="00A661C3" w:rsidP="007E30A6">
      <w:pPr>
        <w:pStyle w:val="005"/>
        <w:spacing w:before="120" w:after="120"/>
        <w:ind w:firstLine="480"/>
      </w:pPr>
      <w:r w:rsidRPr="00DA3766">
        <w:t>标的公司作为旗下</w:t>
      </w:r>
      <w:r w:rsidRPr="00DA3766">
        <w:t>IoT</w:t>
      </w:r>
      <w:r w:rsidRPr="00DA3766">
        <w:t>硬件及</w:t>
      </w:r>
      <w:r w:rsidR="007A44DA" w:rsidRPr="00DA3766">
        <w:t>SaaS</w:t>
      </w:r>
      <w:r w:rsidRPr="00DA3766">
        <w:t>云平台的平台运营方，在相关支付场景下具有</w:t>
      </w:r>
      <w:r w:rsidR="0035258B" w:rsidRPr="00DA3766">
        <w:t>重要</w:t>
      </w:r>
      <w:r w:rsidRPr="00DA3766">
        <w:t>地位，在支付渠道选择方面拥有</w:t>
      </w:r>
      <w:r w:rsidR="007B0B46" w:rsidRPr="00DA3766">
        <w:t>一定的</w:t>
      </w:r>
      <w:r w:rsidRPr="00DA3766">
        <w:t>主动权。同时，标的公司已</w:t>
      </w:r>
      <w:r w:rsidR="00683EDB" w:rsidRPr="00DA3766">
        <w:t>与数家第三方持牌支付机构</w:t>
      </w:r>
      <w:r w:rsidRPr="00DA3766">
        <w:t>建立</w:t>
      </w:r>
      <w:r w:rsidR="00683EDB" w:rsidRPr="00DA3766">
        <w:t>常态化</w:t>
      </w:r>
      <w:r w:rsidRPr="00DA3766">
        <w:t>合作关系，</w:t>
      </w:r>
      <w:r w:rsidR="00683EDB" w:rsidRPr="00DA3766">
        <w:t>且</w:t>
      </w:r>
      <w:r w:rsidRPr="00DA3766">
        <w:t>报告期内陆续引入新增</w:t>
      </w:r>
      <w:r w:rsidR="00B42C8F" w:rsidRPr="00DA3766">
        <w:t>支付渠道</w:t>
      </w:r>
      <w:r w:rsidRPr="00DA3766">
        <w:t>，从而在部分收单外包服务客户发生业务调整的情况下，能够及时切换至其他支付渠道，因此受到单一支付渠道的影响较小。</w:t>
      </w:r>
    </w:p>
    <w:p w14:paraId="07136121" w14:textId="344B80DC" w:rsidR="00A661C3" w:rsidRDefault="00A661C3" w:rsidP="007E30A6">
      <w:pPr>
        <w:pStyle w:val="005"/>
        <w:spacing w:before="120" w:after="120"/>
        <w:ind w:firstLine="480"/>
      </w:pPr>
      <w:r w:rsidRPr="00DA3766">
        <w:t>综上所述，截至本回复出具之日，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bookmarkEnd w:id="4"/>
    <w:bookmarkEnd w:id="5"/>
    <w:p w14:paraId="5DFD39B7" w14:textId="77777777" w:rsidR="00E76498" w:rsidRPr="00BB7CF4" w:rsidRDefault="00E76498" w:rsidP="00E76498">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lastRenderedPageBreak/>
        <w:t>六、</w:t>
      </w:r>
      <w:r>
        <w:rPr>
          <w:rFonts w:ascii="Times New Roman" w:hAnsi="Times New Roman" w:cs="Times New Roman" w:hint="eastAsia"/>
          <w:b/>
          <w:bCs/>
          <w:szCs w:val="28"/>
        </w:rPr>
        <w:t>中介机构</w:t>
      </w:r>
      <w:r w:rsidRPr="00DA3766">
        <w:rPr>
          <w:rFonts w:ascii="Times New Roman" w:hAnsi="Times New Roman" w:cs="Times New Roman"/>
          <w:b/>
          <w:bCs/>
          <w:szCs w:val="28"/>
        </w:rPr>
        <w:t>核查过程及核查意见</w:t>
      </w:r>
    </w:p>
    <w:p w14:paraId="569BFC38" w14:textId="77777777" w:rsidR="00E76498" w:rsidRPr="00DA3766" w:rsidRDefault="00E76498" w:rsidP="00E76498">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w:t>
      </w:r>
      <w:r w:rsidRPr="00BB7CF4">
        <w:rPr>
          <w:rFonts w:ascii="Times New Roman" w:hAnsi="Times New Roman" w:cs="Times New Roman"/>
          <w:b/>
          <w:bCs/>
          <w:szCs w:val="28"/>
        </w:rPr>
        <w:t>独立财务顾问核查过程及核查意见</w:t>
      </w:r>
    </w:p>
    <w:p w14:paraId="3927C8E9" w14:textId="77777777" w:rsidR="00E76498" w:rsidRPr="00BB7CF4" w:rsidRDefault="00E76498" w:rsidP="00E76498">
      <w:pPr>
        <w:keepNext/>
        <w:keepLines/>
        <w:spacing w:before="120" w:after="120"/>
        <w:ind w:firstLine="482"/>
        <w:jc w:val="both"/>
        <w:outlineLvl w:val="3"/>
        <w:rPr>
          <w:rFonts w:ascii="Times New Roman" w:hAnsi="Times New Roman" w:cs="Times New Roman"/>
          <w:b/>
          <w:bCs/>
          <w:szCs w:val="28"/>
        </w:rPr>
      </w:pPr>
      <w:r>
        <w:rPr>
          <w:rFonts w:ascii="Times New Roman" w:hAnsi="Times New Roman" w:cs="Times New Roman" w:hint="eastAsia"/>
          <w:b/>
          <w:bCs/>
          <w:szCs w:val="28"/>
        </w:rPr>
        <w:t>1</w:t>
      </w:r>
      <w:r w:rsidRPr="00DA3766">
        <w:rPr>
          <w:rFonts w:ascii="Times New Roman" w:hAnsi="Times New Roman" w:cs="Times New Roman"/>
          <w:b/>
          <w:bCs/>
          <w:szCs w:val="28"/>
        </w:rPr>
        <w:t>、</w:t>
      </w:r>
      <w:r>
        <w:rPr>
          <w:rFonts w:ascii="Times New Roman" w:hAnsi="Times New Roman" w:cs="Times New Roman" w:hint="eastAsia"/>
          <w:b/>
          <w:bCs/>
          <w:szCs w:val="28"/>
        </w:rPr>
        <w:t>核查程序</w:t>
      </w:r>
    </w:p>
    <w:p w14:paraId="465360F2" w14:textId="77777777" w:rsidR="00E76498" w:rsidRPr="00DA3766" w:rsidRDefault="00E76498" w:rsidP="00E76498">
      <w:pPr>
        <w:pStyle w:val="005"/>
        <w:spacing w:before="120" w:after="120"/>
        <w:ind w:firstLine="480"/>
      </w:pPr>
      <w:r w:rsidRPr="00DA3766">
        <w:t>针对前述事项，独立财务顾问主要实施了以下核查程序：</w:t>
      </w:r>
    </w:p>
    <w:p w14:paraId="07BAF6A3"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访问标的资产相关境内网站、</w:t>
      </w:r>
      <w:r w:rsidRPr="00DA3766">
        <w:t>APP</w:t>
      </w:r>
      <w:r w:rsidRPr="00DA3766">
        <w:t>、小程序查阅相关业务情况；</w:t>
      </w:r>
    </w:p>
    <w:p w14:paraId="2A949313"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查阅《深圳证券交易所创业板企业发行上市申报及推荐暂行规定（</w:t>
      </w:r>
      <w:r w:rsidRPr="00DA3766">
        <w:t>2024</w:t>
      </w:r>
      <w:r w:rsidRPr="00DA3766">
        <w:t>年修订）》；</w:t>
      </w:r>
    </w:p>
    <w:p w14:paraId="20DAFACC"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访谈标的公司业务人员，了解标的公司的业务、所处行业、具体应用领域、核心技术、技术先进性及具体表征等情况；</w:t>
      </w:r>
    </w:p>
    <w:p w14:paraId="0BD4351C"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访谈上市公司和标的公司业务人员，了解上市公司和标的公司的具体经营业务、服务应用领域、客户及供应商等情况；</w:t>
      </w:r>
    </w:p>
    <w:p w14:paraId="67063435"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查阅《国民经济行业分类》（</w:t>
      </w:r>
      <w:r w:rsidRPr="00DA3766">
        <w:t>GB/T4754-2017</w:t>
      </w:r>
      <w:r w:rsidRPr="00DA3766">
        <w:t>）；</w:t>
      </w:r>
    </w:p>
    <w:p w14:paraId="740DC891"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查阅《演出经纪人员管理办法》《营业性演出管理条例实施细则》；</w:t>
      </w:r>
    </w:p>
    <w:p w14:paraId="4FD4516B"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访谈标的公司业务人员，了解标的公司及其子公司是否开展演出经纪活动；</w:t>
      </w:r>
    </w:p>
    <w:p w14:paraId="1F4461B2"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查阅《收单外包服务机构备案管理规范》；</w:t>
      </w:r>
    </w:p>
    <w:p w14:paraId="1D64ABC1"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查阅标的公司及其子公司取得的收单外包服务机构备案回执证书；</w:t>
      </w:r>
    </w:p>
    <w:p w14:paraId="3A1DC688" w14:textId="77777777" w:rsidR="00E76498" w:rsidRPr="001D2630" w:rsidRDefault="00E76498" w:rsidP="00E76498">
      <w:pPr>
        <w:pStyle w:val="005"/>
        <w:spacing w:before="120" w:after="120"/>
        <w:ind w:firstLine="480"/>
      </w:pPr>
      <w:r>
        <w:rPr>
          <w:rFonts w:hint="eastAsia"/>
        </w:rPr>
        <w:t>（</w:t>
      </w:r>
      <w:r w:rsidRPr="001D2630">
        <w:t>10</w:t>
      </w:r>
      <w:r w:rsidRPr="001D2630">
        <w:t>）查阅《信息系统安全等级保护实施指南》；</w:t>
      </w:r>
    </w:p>
    <w:p w14:paraId="23562AD2" w14:textId="77777777" w:rsidR="00E76498" w:rsidRPr="001D2630" w:rsidRDefault="00E76498" w:rsidP="00E76498">
      <w:pPr>
        <w:pStyle w:val="005"/>
        <w:spacing w:before="120" w:after="120"/>
        <w:ind w:firstLine="480"/>
      </w:pPr>
      <w:r w:rsidRPr="001D2630">
        <w:t>（</w:t>
      </w:r>
      <w:r w:rsidRPr="001D2630">
        <w:t>11</w:t>
      </w:r>
      <w:r w:rsidRPr="001D2630">
        <w:t>）查询中国人民银行、国家金融监督管理总局和中国支付清算协会等收单外包服务相关监管部门官网的处罚信息；</w:t>
      </w:r>
    </w:p>
    <w:p w14:paraId="3BB584D8" w14:textId="77777777" w:rsidR="00E76498" w:rsidRPr="001D2630" w:rsidRDefault="00E76498" w:rsidP="00E76498">
      <w:pPr>
        <w:pStyle w:val="005"/>
        <w:spacing w:before="120" w:after="120"/>
        <w:ind w:firstLine="480"/>
      </w:pPr>
      <w:r w:rsidRPr="001D2630">
        <w:t>（</w:t>
      </w:r>
      <w:r w:rsidRPr="001D2630">
        <w:t>12</w:t>
      </w:r>
      <w:r w:rsidRPr="001D2630">
        <w:t>）取得并核查标的公司主要收单外包服务客户的业务资质；</w:t>
      </w:r>
    </w:p>
    <w:p w14:paraId="3DB6220B" w14:textId="77777777" w:rsidR="00E76498" w:rsidRPr="001D2630" w:rsidRDefault="00E76498" w:rsidP="00E76498">
      <w:pPr>
        <w:pStyle w:val="005"/>
        <w:spacing w:before="120" w:after="120"/>
        <w:ind w:firstLine="480"/>
      </w:pPr>
      <w:r w:rsidRPr="001D2630">
        <w:t>（</w:t>
      </w:r>
      <w:r w:rsidRPr="001D2630">
        <w:t>13</w:t>
      </w:r>
      <w:r w:rsidRPr="001D2630">
        <w:t>）取得并核查报告期内标的公司与主要收单外包服务客户的有效交易流水和合作协议；</w:t>
      </w:r>
    </w:p>
    <w:p w14:paraId="0F44D618" w14:textId="77777777" w:rsidR="00E76498" w:rsidRPr="001D2630" w:rsidRDefault="00E76498" w:rsidP="00E76498">
      <w:pPr>
        <w:pStyle w:val="005"/>
        <w:spacing w:before="120" w:after="120"/>
        <w:ind w:firstLine="480"/>
      </w:pPr>
      <w:r w:rsidRPr="001D2630">
        <w:t>（</w:t>
      </w:r>
      <w:r w:rsidRPr="001D2630">
        <w:t>14</w:t>
      </w:r>
      <w:r w:rsidRPr="001D2630">
        <w:t>）访谈标的公司业务人员，了解收单外包业务的规范情况以及主要客户合作情况；</w:t>
      </w:r>
    </w:p>
    <w:p w14:paraId="5ED5FEE1" w14:textId="77777777" w:rsidR="00E76498" w:rsidRPr="00DA3766" w:rsidRDefault="00E76498" w:rsidP="00E76498">
      <w:pPr>
        <w:pStyle w:val="005"/>
        <w:spacing w:before="120" w:after="120"/>
        <w:ind w:firstLine="480"/>
      </w:pPr>
      <w:r w:rsidRPr="001D2630">
        <w:lastRenderedPageBreak/>
        <w:t>（</w:t>
      </w:r>
      <w:r w:rsidRPr="001D2630">
        <w:t>15</w:t>
      </w:r>
      <w:r>
        <w:rPr>
          <w:rFonts w:hint="eastAsia"/>
        </w:rPr>
        <w:t>）</w:t>
      </w:r>
      <w:r w:rsidRPr="001D2630">
        <w:t>使</w:t>
      </w:r>
      <w:r w:rsidRPr="00DA3766">
        <w:t>用搜索引擎、财经软件等公开信息渠道，了解支付行业近年来的发展情况，查询标的公司主要收单外包客户的业务变化情况；</w:t>
      </w:r>
    </w:p>
    <w:p w14:paraId="529FE55D" w14:textId="77777777" w:rsidR="00E76498" w:rsidRDefault="00E76498" w:rsidP="00E76498">
      <w:pPr>
        <w:pStyle w:val="005"/>
        <w:spacing w:before="120" w:after="120"/>
        <w:ind w:firstLine="480"/>
      </w:pPr>
      <w:r>
        <w:rPr>
          <w:rFonts w:hint="eastAsia"/>
        </w:rPr>
        <w:t>（</w:t>
      </w:r>
      <w:r>
        <w:rPr>
          <w:rFonts w:hint="eastAsia"/>
        </w:rPr>
        <w:t>16</w:t>
      </w:r>
      <w:r>
        <w:rPr>
          <w:rFonts w:hint="eastAsia"/>
        </w:rPr>
        <w:t>）</w:t>
      </w:r>
      <w:r w:rsidRPr="00DA3766">
        <w:t>访谈汇付天下业务对接人员，了解公开报道涉及的业务调整情况，确认其是否与标的公司业务合作关系相关。</w:t>
      </w:r>
    </w:p>
    <w:p w14:paraId="5B2F02A4" w14:textId="77777777" w:rsidR="00E76498" w:rsidRPr="00BB7CF4" w:rsidRDefault="00E76498" w:rsidP="00E76498">
      <w:pPr>
        <w:keepNext/>
        <w:keepLines/>
        <w:spacing w:before="120" w:after="120"/>
        <w:ind w:firstLine="482"/>
        <w:jc w:val="both"/>
        <w:outlineLvl w:val="3"/>
        <w:rPr>
          <w:rFonts w:ascii="Times New Roman" w:hAnsi="Times New Roman" w:cs="Times New Roman"/>
          <w:b/>
          <w:bCs/>
          <w:szCs w:val="28"/>
        </w:rPr>
      </w:pPr>
      <w:r>
        <w:rPr>
          <w:rFonts w:ascii="Times New Roman" w:hAnsi="Times New Roman" w:cs="Times New Roman" w:hint="eastAsia"/>
          <w:b/>
          <w:bCs/>
          <w:szCs w:val="28"/>
        </w:rPr>
        <w:t>2</w:t>
      </w:r>
      <w:r w:rsidRPr="00DA3766">
        <w:rPr>
          <w:rFonts w:ascii="Times New Roman" w:hAnsi="Times New Roman" w:cs="Times New Roman"/>
          <w:b/>
          <w:bCs/>
          <w:szCs w:val="28"/>
        </w:rPr>
        <w:t>、</w:t>
      </w:r>
      <w:r>
        <w:rPr>
          <w:rFonts w:ascii="Times New Roman" w:hAnsi="Times New Roman" w:cs="Times New Roman" w:hint="eastAsia"/>
          <w:b/>
          <w:bCs/>
          <w:szCs w:val="28"/>
        </w:rPr>
        <w:t>核查意见</w:t>
      </w:r>
    </w:p>
    <w:p w14:paraId="35852FF6" w14:textId="77777777" w:rsidR="00E76498" w:rsidRPr="00DA3766" w:rsidRDefault="00E76498" w:rsidP="00E76498">
      <w:pPr>
        <w:pStyle w:val="005"/>
        <w:spacing w:before="120" w:after="120"/>
        <w:ind w:firstLine="480"/>
      </w:pPr>
      <w:r w:rsidRPr="00DA3766">
        <w:t>经核查，独立财务顾问认为：</w:t>
      </w:r>
    </w:p>
    <w:p w14:paraId="518DB6CD"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标的资产符合《深圳证券交易所创业板企业发行上市申报及推荐暂行规定（</w:t>
      </w:r>
      <w:r w:rsidRPr="00DA3766">
        <w:t>2024</w:t>
      </w:r>
      <w:r w:rsidRPr="00DA3766">
        <w:t>年修订）》相关规定，相关依据充分；</w:t>
      </w:r>
    </w:p>
    <w:p w14:paraId="44AAA66C"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标的资产与上市公司处于同行业，相关依据充分，本次交易符合《持续监管办法》第十八条和《重组审核规则》第八条的规定；</w:t>
      </w:r>
    </w:p>
    <w:p w14:paraId="61BF4FCE"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标的资产开展业务存在收集用户个人信息的情形，标的资产互联网相关业务和用户个人信息收集使用具有经营合规性；</w:t>
      </w:r>
    </w:p>
    <w:p w14:paraId="0365721F"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报告期内标的公司及其下属子公司均未实际开展演出经纪业务，截至本回复出具之日，标的公司及其下属子公司的经营范围亦未包含演出经纪业务；</w:t>
      </w:r>
    </w:p>
    <w:p w14:paraId="65D7D265" w14:textId="77777777" w:rsidR="00E76498" w:rsidRDefault="00E76498" w:rsidP="00E76498">
      <w:pPr>
        <w:pStyle w:val="005"/>
        <w:spacing w:before="120" w:after="120"/>
        <w:ind w:firstLine="480"/>
      </w:pPr>
      <w:r>
        <w:rPr>
          <w:rFonts w:hint="eastAsia"/>
        </w:rPr>
        <w:t>（</w:t>
      </w:r>
      <w:r>
        <w:rPr>
          <w:rFonts w:hint="eastAsia"/>
        </w:rPr>
        <w:t>5</w:t>
      </w:r>
      <w:r>
        <w:rPr>
          <w:rFonts w:hint="eastAsia"/>
        </w:rPr>
        <w:t>）</w:t>
      </w:r>
      <w:r w:rsidRPr="00DA3766">
        <w:t>标的资产的收单外包业务具有经营合规性，其主要收单外包业务客户均具有支付业务许可证，具备经营资质。主要客户上海汇付支付有限公司等虽然在报告期内存在行政处罚事宜，但是并不影响其支付业务资质，亦不影响与标的公司的业务合作关系。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p w14:paraId="23AF634E" w14:textId="77777777" w:rsidR="00E76498" w:rsidRPr="00DA3766" w:rsidRDefault="00E76498" w:rsidP="00E76498">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w:t>
      </w:r>
      <w:r>
        <w:rPr>
          <w:rFonts w:ascii="Times New Roman" w:hAnsi="Times New Roman" w:cs="Times New Roman" w:hint="eastAsia"/>
          <w:b/>
          <w:bCs/>
          <w:szCs w:val="28"/>
        </w:rPr>
        <w:t>二</w:t>
      </w:r>
      <w:r w:rsidRPr="00DA3766">
        <w:rPr>
          <w:rFonts w:ascii="Times New Roman" w:hAnsi="Times New Roman" w:cs="Times New Roman"/>
          <w:b/>
          <w:bCs/>
          <w:szCs w:val="28"/>
        </w:rPr>
        <w:t>）</w:t>
      </w:r>
      <w:r>
        <w:rPr>
          <w:rFonts w:ascii="Times New Roman" w:hAnsi="Times New Roman" w:cs="Times New Roman" w:hint="eastAsia"/>
          <w:b/>
          <w:bCs/>
          <w:szCs w:val="28"/>
        </w:rPr>
        <w:t>律师</w:t>
      </w:r>
      <w:r w:rsidRPr="00BB7CF4">
        <w:rPr>
          <w:rFonts w:ascii="Times New Roman" w:hAnsi="Times New Roman" w:cs="Times New Roman"/>
          <w:b/>
          <w:bCs/>
          <w:szCs w:val="28"/>
        </w:rPr>
        <w:t>核查过程及核查意见</w:t>
      </w:r>
    </w:p>
    <w:p w14:paraId="1A816F6B" w14:textId="77777777" w:rsidR="00E76498" w:rsidRDefault="00E76498" w:rsidP="00E76498">
      <w:pPr>
        <w:keepNext/>
        <w:keepLines/>
        <w:spacing w:before="120" w:after="120"/>
        <w:ind w:firstLine="482"/>
        <w:jc w:val="both"/>
        <w:outlineLvl w:val="3"/>
        <w:rPr>
          <w:rFonts w:ascii="Times New Roman" w:hAnsi="Times New Roman" w:cs="Times New Roman"/>
          <w:b/>
          <w:bCs/>
          <w:szCs w:val="28"/>
        </w:rPr>
      </w:pPr>
      <w:r>
        <w:rPr>
          <w:rFonts w:ascii="Times New Roman" w:hAnsi="Times New Roman" w:cs="Times New Roman" w:hint="eastAsia"/>
          <w:b/>
          <w:bCs/>
          <w:szCs w:val="28"/>
        </w:rPr>
        <w:t>1</w:t>
      </w:r>
      <w:r w:rsidRPr="00DA3766">
        <w:rPr>
          <w:rFonts w:ascii="Times New Roman" w:hAnsi="Times New Roman" w:cs="Times New Roman"/>
          <w:b/>
          <w:bCs/>
          <w:szCs w:val="28"/>
        </w:rPr>
        <w:t>、</w:t>
      </w:r>
      <w:r>
        <w:rPr>
          <w:rFonts w:ascii="Times New Roman" w:hAnsi="Times New Roman" w:cs="Times New Roman" w:hint="eastAsia"/>
          <w:b/>
          <w:bCs/>
          <w:szCs w:val="28"/>
        </w:rPr>
        <w:t>核查程序</w:t>
      </w:r>
    </w:p>
    <w:p w14:paraId="729C2BAB" w14:textId="77777777" w:rsidR="00E76498" w:rsidRDefault="00E76498" w:rsidP="00E76498">
      <w:pPr>
        <w:pStyle w:val="005"/>
        <w:spacing w:before="120" w:after="120"/>
        <w:ind w:firstLine="480"/>
      </w:pPr>
      <w:r>
        <w:rPr>
          <w:rFonts w:hint="eastAsia"/>
        </w:rPr>
        <w:t>针对前述事项，律师主要实施了以下核查程序：</w:t>
      </w:r>
    </w:p>
    <w:p w14:paraId="6C442A1E" w14:textId="77777777" w:rsidR="00E76498" w:rsidRDefault="00E76498" w:rsidP="00E76498">
      <w:pPr>
        <w:pStyle w:val="005"/>
        <w:spacing w:before="120" w:after="120"/>
        <w:ind w:firstLine="480"/>
      </w:pPr>
      <w:r>
        <w:rPr>
          <w:rFonts w:hint="eastAsia"/>
        </w:rPr>
        <w:t>（</w:t>
      </w:r>
      <w:r>
        <w:rPr>
          <w:rFonts w:hint="eastAsia"/>
        </w:rPr>
        <w:t>1</w:t>
      </w:r>
      <w:r>
        <w:rPr>
          <w:rFonts w:hint="eastAsia"/>
        </w:rPr>
        <w:t>）访问标的资产相关境内网站、</w:t>
      </w:r>
      <w:r>
        <w:rPr>
          <w:rFonts w:hint="eastAsia"/>
        </w:rPr>
        <w:t>APP</w:t>
      </w:r>
      <w:r>
        <w:rPr>
          <w:rFonts w:hint="eastAsia"/>
        </w:rPr>
        <w:t>、小程序查阅相关业务情况；</w:t>
      </w:r>
    </w:p>
    <w:p w14:paraId="0E10A96D" w14:textId="77777777" w:rsidR="00E76498" w:rsidRDefault="00E76498" w:rsidP="00E76498">
      <w:pPr>
        <w:pStyle w:val="005"/>
        <w:spacing w:before="120" w:after="120"/>
        <w:ind w:firstLine="480"/>
      </w:pPr>
      <w:r>
        <w:rPr>
          <w:rFonts w:hint="eastAsia"/>
        </w:rPr>
        <w:t>（</w:t>
      </w:r>
      <w:r>
        <w:rPr>
          <w:rFonts w:hint="eastAsia"/>
        </w:rPr>
        <w:t>2</w:t>
      </w:r>
      <w:r>
        <w:rPr>
          <w:rFonts w:hint="eastAsia"/>
        </w:rPr>
        <w:t>）查阅《深圳证券交易所创业板企业发行上市申报及推荐暂行规定（</w:t>
      </w:r>
      <w:r>
        <w:rPr>
          <w:rFonts w:hint="eastAsia"/>
        </w:rPr>
        <w:t>2024</w:t>
      </w:r>
      <w:r>
        <w:rPr>
          <w:rFonts w:hint="eastAsia"/>
        </w:rPr>
        <w:lastRenderedPageBreak/>
        <w:t>年修订）》；</w:t>
      </w:r>
    </w:p>
    <w:p w14:paraId="30407D0F" w14:textId="77777777" w:rsidR="00E76498" w:rsidRDefault="00E76498" w:rsidP="00E76498">
      <w:pPr>
        <w:pStyle w:val="005"/>
        <w:spacing w:before="120" w:after="120"/>
        <w:ind w:firstLine="480"/>
      </w:pPr>
      <w:r>
        <w:rPr>
          <w:rFonts w:hint="eastAsia"/>
        </w:rPr>
        <w:t>（</w:t>
      </w:r>
      <w:r>
        <w:rPr>
          <w:rFonts w:hint="eastAsia"/>
        </w:rPr>
        <w:t>3</w:t>
      </w:r>
      <w:r>
        <w:rPr>
          <w:rFonts w:hint="eastAsia"/>
        </w:rPr>
        <w:t>）访谈标的公司业务人员，了解标的公司的业务、所处行业、具体应用领域、核心技术、技术先进性及具体表征等情况；</w:t>
      </w:r>
    </w:p>
    <w:p w14:paraId="350A86B6" w14:textId="77777777" w:rsidR="00E76498" w:rsidRDefault="00E76498" w:rsidP="00E76498">
      <w:pPr>
        <w:pStyle w:val="005"/>
        <w:spacing w:before="120" w:after="120"/>
        <w:ind w:firstLine="480"/>
      </w:pPr>
      <w:r>
        <w:rPr>
          <w:rFonts w:hint="eastAsia"/>
        </w:rPr>
        <w:t>（</w:t>
      </w:r>
      <w:r>
        <w:rPr>
          <w:rFonts w:hint="eastAsia"/>
        </w:rPr>
        <w:t>4</w:t>
      </w:r>
      <w:r>
        <w:rPr>
          <w:rFonts w:hint="eastAsia"/>
        </w:rPr>
        <w:t>）访谈上市公司和标的公司业务人员，了解上市公司和标的公司的具体经营业务、服务应用领域、客户及供应商等情况；</w:t>
      </w:r>
    </w:p>
    <w:p w14:paraId="6FDEBAEC" w14:textId="77777777" w:rsidR="00E76498" w:rsidRDefault="00E76498" w:rsidP="00E76498">
      <w:pPr>
        <w:pStyle w:val="005"/>
        <w:spacing w:before="120" w:after="120"/>
        <w:ind w:firstLine="480"/>
      </w:pPr>
      <w:r>
        <w:rPr>
          <w:rFonts w:hint="eastAsia"/>
        </w:rPr>
        <w:t>（</w:t>
      </w:r>
      <w:r>
        <w:rPr>
          <w:rFonts w:hint="eastAsia"/>
        </w:rPr>
        <w:t>5</w:t>
      </w:r>
      <w:r>
        <w:rPr>
          <w:rFonts w:hint="eastAsia"/>
        </w:rPr>
        <w:t>）查阅《国民经济行业分类》（</w:t>
      </w:r>
      <w:r>
        <w:rPr>
          <w:rFonts w:hint="eastAsia"/>
        </w:rPr>
        <w:t>GB/T4754-2017</w:t>
      </w:r>
      <w:r>
        <w:rPr>
          <w:rFonts w:hint="eastAsia"/>
        </w:rPr>
        <w:t>）；</w:t>
      </w:r>
    </w:p>
    <w:p w14:paraId="4EB5E286" w14:textId="77777777" w:rsidR="00E76498" w:rsidRDefault="00E76498" w:rsidP="00E76498">
      <w:pPr>
        <w:pStyle w:val="005"/>
        <w:spacing w:before="120" w:after="120"/>
        <w:ind w:firstLine="480"/>
      </w:pPr>
      <w:r>
        <w:rPr>
          <w:rFonts w:hint="eastAsia"/>
        </w:rPr>
        <w:t>（</w:t>
      </w:r>
      <w:r>
        <w:rPr>
          <w:rFonts w:hint="eastAsia"/>
        </w:rPr>
        <w:t>6</w:t>
      </w:r>
      <w:r>
        <w:rPr>
          <w:rFonts w:hint="eastAsia"/>
        </w:rPr>
        <w:t>）查阅《演出经纪人员管理办法》《营业性演出管理条例实施细则》；</w:t>
      </w:r>
    </w:p>
    <w:p w14:paraId="32C01303" w14:textId="77777777" w:rsidR="00E76498" w:rsidRDefault="00E76498" w:rsidP="00E76498">
      <w:pPr>
        <w:pStyle w:val="005"/>
        <w:spacing w:before="120" w:after="120"/>
        <w:ind w:firstLine="480"/>
      </w:pPr>
      <w:r>
        <w:rPr>
          <w:rFonts w:hint="eastAsia"/>
        </w:rPr>
        <w:t>（</w:t>
      </w:r>
      <w:r>
        <w:rPr>
          <w:rFonts w:hint="eastAsia"/>
        </w:rPr>
        <w:t>7</w:t>
      </w:r>
      <w:r>
        <w:rPr>
          <w:rFonts w:hint="eastAsia"/>
        </w:rPr>
        <w:t>）访谈标的公司业务人员，了解标的公司及其子公司是否开展演出经纪活动；</w:t>
      </w:r>
    </w:p>
    <w:p w14:paraId="0DA615E3" w14:textId="77777777" w:rsidR="00E76498" w:rsidRDefault="00E76498" w:rsidP="00E76498">
      <w:pPr>
        <w:pStyle w:val="005"/>
        <w:spacing w:before="120" w:after="120"/>
        <w:ind w:firstLine="480"/>
      </w:pPr>
      <w:r>
        <w:rPr>
          <w:rFonts w:hint="eastAsia"/>
        </w:rPr>
        <w:t>（</w:t>
      </w:r>
      <w:r>
        <w:rPr>
          <w:rFonts w:hint="eastAsia"/>
        </w:rPr>
        <w:t>8</w:t>
      </w:r>
      <w:r>
        <w:rPr>
          <w:rFonts w:hint="eastAsia"/>
        </w:rPr>
        <w:t>）查阅《收单外包服务机构备案管理规范》；</w:t>
      </w:r>
    </w:p>
    <w:p w14:paraId="37A256FE" w14:textId="77777777" w:rsidR="00E76498" w:rsidRDefault="00E76498" w:rsidP="00E76498">
      <w:pPr>
        <w:pStyle w:val="005"/>
        <w:spacing w:before="120" w:after="120"/>
        <w:ind w:firstLine="480"/>
      </w:pPr>
      <w:r>
        <w:rPr>
          <w:rFonts w:hint="eastAsia"/>
        </w:rPr>
        <w:t>（</w:t>
      </w:r>
      <w:r>
        <w:rPr>
          <w:rFonts w:hint="eastAsia"/>
        </w:rPr>
        <w:t>9</w:t>
      </w:r>
      <w:r>
        <w:rPr>
          <w:rFonts w:hint="eastAsia"/>
        </w:rPr>
        <w:t>）查阅标的公司及其子公司取得的收单外包服务机构备案回执证书；</w:t>
      </w:r>
    </w:p>
    <w:p w14:paraId="69F02A95" w14:textId="77777777" w:rsidR="00E76498" w:rsidRDefault="00E76498" w:rsidP="00E76498">
      <w:pPr>
        <w:pStyle w:val="005"/>
        <w:spacing w:before="120" w:after="120"/>
        <w:ind w:firstLine="480"/>
      </w:pPr>
      <w:r>
        <w:rPr>
          <w:rFonts w:hint="eastAsia"/>
        </w:rPr>
        <w:t>（</w:t>
      </w:r>
      <w:r>
        <w:rPr>
          <w:rFonts w:hint="eastAsia"/>
        </w:rPr>
        <w:t>10</w:t>
      </w:r>
      <w:r>
        <w:rPr>
          <w:rFonts w:hint="eastAsia"/>
        </w:rPr>
        <w:t>）查阅《信息系统安全等级保护实施指南》；</w:t>
      </w:r>
    </w:p>
    <w:p w14:paraId="3D9E8DF1" w14:textId="77777777" w:rsidR="00E76498" w:rsidRDefault="00E76498" w:rsidP="00E76498">
      <w:pPr>
        <w:pStyle w:val="005"/>
        <w:spacing w:before="120" w:after="120"/>
        <w:ind w:firstLine="480"/>
      </w:pPr>
      <w:r>
        <w:rPr>
          <w:rFonts w:hint="eastAsia"/>
        </w:rPr>
        <w:t>（</w:t>
      </w:r>
      <w:r>
        <w:rPr>
          <w:rFonts w:hint="eastAsia"/>
        </w:rPr>
        <w:t>11</w:t>
      </w:r>
      <w:r>
        <w:rPr>
          <w:rFonts w:hint="eastAsia"/>
        </w:rPr>
        <w:t>）查询中国人民银行、国家金融监督管理总局和中国支付清算协会等收单外包服务相关监管部门官网的处罚信息；</w:t>
      </w:r>
    </w:p>
    <w:p w14:paraId="06B81B0A" w14:textId="77777777" w:rsidR="00E76498" w:rsidRDefault="00E76498" w:rsidP="00E76498">
      <w:pPr>
        <w:pStyle w:val="005"/>
        <w:spacing w:before="120" w:after="120"/>
        <w:ind w:firstLine="480"/>
      </w:pPr>
      <w:r>
        <w:rPr>
          <w:rFonts w:hint="eastAsia"/>
        </w:rPr>
        <w:t>（</w:t>
      </w:r>
      <w:r>
        <w:rPr>
          <w:rFonts w:hint="eastAsia"/>
        </w:rPr>
        <w:t>12</w:t>
      </w:r>
      <w:r>
        <w:rPr>
          <w:rFonts w:hint="eastAsia"/>
        </w:rPr>
        <w:t>）取得并核查标的公司主要收单外包服务客户的业务资质；</w:t>
      </w:r>
    </w:p>
    <w:p w14:paraId="5FF202DB" w14:textId="77777777" w:rsidR="00E76498" w:rsidRDefault="00E76498" w:rsidP="00E76498">
      <w:pPr>
        <w:pStyle w:val="005"/>
        <w:spacing w:before="120" w:after="120"/>
        <w:ind w:firstLine="480"/>
      </w:pPr>
      <w:r>
        <w:rPr>
          <w:rFonts w:hint="eastAsia"/>
        </w:rPr>
        <w:t>（</w:t>
      </w:r>
      <w:r>
        <w:rPr>
          <w:rFonts w:hint="eastAsia"/>
        </w:rPr>
        <w:t>13</w:t>
      </w:r>
      <w:r>
        <w:rPr>
          <w:rFonts w:hint="eastAsia"/>
        </w:rPr>
        <w:t>）取得并核查报告期内标的公司与主要收单外包服务客户的有效交易流水和合作协议；</w:t>
      </w:r>
    </w:p>
    <w:p w14:paraId="62647C8C" w14:textId="77777777" w:rsidR="00E76498" w:rsidRDefault="00E76498" w:rsidP="00E76498">
      <w:pPr>
        <w:pStyle w:val="005"/>
        <w:spacing w:before="120" w:after="120"/>
        <w:ind w:firstLine="480"/>
      </w:pPr>
      <w:r>
        <w:rPr>
          <w:rFonts w:hint="eastAsia"/>
        </w:rPr>
        <w:t>（</w:t>
      </w:r>
      <w:r>
        <w:rPr>
          <w:rFonts w:hint="eastAsia"/>
        </w:rPr>
        <w:t>14</w:t>
      </w:r>
      <w:r>
        <w:rPr>
          <w:rFonts w:hint="eastAsia"/>
        </w:rPr>
        <w:t>）访谈标的公司业务人员，了解收单外包业务的规范情况以及主要客户合作情况；</w:t>
      </w:r>
    </w:p>
    <w:p w14:paraId="440B03C4" w14:textId="77777777" w:rsidR="00E76498" w:rsidRDefault="00E76498" w:rsidP="00E76498">
      <w:pPr>
        <w:pStyle w:val="005"/>
        <w:spacing w:before="120" w:after="120"/>
        <w:ind w:firstLine="480"/>
      </w:pPr>
      <w:r>
        <w:rPr>
          <w:rFonts w:hint="eastAsia"/>
        </w:rPr>
        <w:t>（</w:t>
      </w:r>
      <w:r>
        <w:rPr>
          <w:rFonts w:hint="eastAsia"/>
        </w:rPr>
        <w:t>15</w:t>
      </w:r>
      <w:r>
        <w:rPr>
          <w:rFonts w:hint="eastAsia"/>
        </w:rPr>
        <w:t>）使用搜索引擎、财经软件等公开信息渠道，了解支付行业近年来的发展情况，查询标的公司主要收单外包客户的业务变化情况；</w:t>
      </w:r>
    </w:p>
    <w:p w14:paraId="759C482C" w14:textId="77777777" w:rsidR="00E76498" w:rsidRPr="00BB7CF4" w:rsidRDefault="00E76498" w:rsidP="00E76498">
      <w:pPr>
        <w:pStyle w:val="005"/>
        <w:spacing w:before="120" w:after="120"/>
        <w:ind w:firstLine="480"/>
      </w:pPr>
      <w:r>
        <w:rPr>
          <w:rFonts w:hint="eastAsia"/>
        </w:rPr>
        <w:t>（</w:t>
      </w:r>
      <w:r>
        <w:rPr>
          <w:rFonts w:hint="eastAsia"/>
        </w:rPr>
        <w:t>16</w:t>
      </w:r>
      <w:r>
        <w:rPr>
          <w:rFonts w:hint="eastAsia"/>
        </w:rPr>
        <w:t>）访谈汇付天下业务对接人员，了解公开报道涉及的业务调整情况，确认其是否与标的公司业务合作关系相关。</w:t>
      </w:r>
    </w:p>
    <w:p w14:paraId="0789B540" w14:textId="77777777" w:rsidR="00E76498" w:rsidRPr="00BB7CF4" w:rsidRDefault="00E76498" w:rsidP="00E76498">
      <w:pPr>
        <w:keepNext/>
        <w:keepLines/>
        <w:spacing w:before="120" w:after="120"/>
        <w:ind w:firstLine="482"/>
        <w:jc w:val="both"/>
        <w:outlineLvl w:val="3"/>
        <w:rPr>
          <w:rFonts w:ascii="Times New Roman" w:hAnsi="Times New Roman" w:cs="Times New Roman"/>
          <w:b/>
          <w:bCs/>
          <w:szCs w:val="28"/>
        </w:rPr>
      </w:pPr>
      <w:r>
        <w:rPr>
          <w:rFonts w:ascii="Times New Roman" w:hAnsi="Times New Roman" w:cs="Times New Roman" w:hint="eastAsia"/>
          <w:b/>
          <w:bCs/>
          <w:szCs w:val="28"/>
        </w:rPr>
        <w:t>2</w:t>
      </w:r>
      <w:r w:rsidRPr="00DA3766">
        <w:rPr>
          <w:rFonts w:ascii="Times New Roman" w:hAnsi="Times New Roman" w:cs="Times New Roman"/>
          <w:b/>
          <w:bCs/>
          <w:szCs w:val="28"/>
        </w:rPr>
        <w:t>、</w:t>
      </w:r>
      <w:r>
        <w:rPr>
          <w:rFonts w:ascii="Times New Roman" w:hAnsi="Times New Roman" w:cs="Times New Roman" w:hint="eastAsia"/>
          <w:b/>
          <w:bCs/>
          <w:szCs w:val="28"/>
        </w:rPr>
        <w:t>核查意见</w:t>
      </w:r>
    </w:p>
    <w:p w14:paraId="48FB1611" w14:textId="77777777" w:rsidR="00E76498" w:rsidRPr="00DA3766" w:rsidRDefault="00E76498" w:rsidP="00E76498">
      <w:pPr>
        <w:pStyle w:val="005"/>
        <w:spacing w:before="120" w:after="120"/>
        <w:ind w:firstLine="480"/>
      </w:pPr>
      <w:r w:rsidRPr="00DA3766">
        <w:t>经核查，</w:t>
      </w:r>
      <w:r>
        <w:rPr>
          <w:rFonts w:hint="eastAsia"/>
        </w:rPr>
        <w:t>律师</w:t>
      </w:r>
      <w:r w:rsidRPr="00DA3766">
        <w:t>认为：</w:t>
      </w:r>
    </w:p>
    <w:p w14:paraId="638A5E65" w14:textId="77777777" w:rsidR="00E76498" w:rsidRDefault="00E76498" w:rsidP="00E76498">
      <w:pPr>
        <w:pStyle w:val="005"/>
        <w:spacing w:before="120" w:after="120"/>
        <w:ind w:firstLine="480"/>
      </w:pPr>
      <w:r>
        <w:rPr>
          <w:rFonts w:hint="eastAsia"/>
        </w:rPr>
        <w:lastRenderedPageBreak/>
        <w:t>（</w:t>
      </w:r>
      <w:r>
        <w:rPr>
          <w:rFonts w:hint="eastAsia"/>
        </w:rPr>
        <w:t>1</w:t>
      </w:r>
      <w:r>
        <w:rPr>
          <w:rFonts w:hint="eastAsia"/>
        </w:rPr>
        <w:t>）标的资产符合《深圳证券交易所创业板企业发行上市申报及推荐暂行规定（</w:t>
      </w:r>
      <w:r>
        <w:rPr>
          <w:rFonts w:hint="eastAsia"/>
        </w:rPr>
        <w:t>2024</w:t>
      </w:r>
      <w:r>
        <w:rPr>
          <w:rFonts w:hint="eastAsia"/>
        </w:rPr>
        <w:t>年修订）》相关规定，相关依据充分；</w:t>
      </w:r>
    </w:p>
    <w:p w14:paraId="4E5428D3" w14:textId="77777777" w:rsidR="00E76498" w:rsidRDefault="00E76498" w:rsidP="00E76498">
      <w:pPr>
        <w:pStyle w:val="005"/>
        <w:spacing w:before="120" w:after="120"/>
        <w:ind w:firstLine="480"/>
      </w:pPr>
      <w:r>
        <w:rPr>
          <w:rFonts w:hint="eastAsia"/>
        </w:rPr>
        <w:t>（</w:t>
      </w:r>
      <w:r>
        <w:rPr>
          <w:rFonts w:hint="eastAsia"/>
        </w:rPr>
        <w:t>2</w:t>
      </w:r>
      <w:r>
        <w:rPr>
          <w:rFonts w:hint="eastAsia"/>
        </w:rPr>
        <w:t>）标的资产与上市公司处于同行业，相关依据充分，本次交易符合《持续监管办法》第十八条和《重组审核规则》第八条的规定；</w:t>
      </w:r>
    </w:p>
    <w:p w14:paraId="0DAF0238" w14:textId="77777777" w:rsidR="00E76498" w:rsidRDefault="00E76498" w:rsidP="00E76498">
      <w:pPr>
        <w:pStyle w:val="005"/>
        <w:spacing w:before="120" w:after="120"/>
        <w:ind w:firstLine="480"/>
      </w:pPr>
      <w:r>
        <w:rPr>
          <w:rFonts w:hint="eastAsia"/>
        </w:rPr>
        <w:t>（</w:t>
      </w:r>
      <w:r>
        <w:rPr>
          <w:rFonts w:hint="eastAsia"/>
        </w:rPr>
        <w:t>3</w:t>
      </w:r>
      <w:r>
        <w:rPr>
          <w:rFonts w:hint="eastAsia"/>
        </w:rPr>
        <w:t>）标的资产开展业务存在收集用户个人信息的情形，标的资产互联网相关业务和用户个人信息收集使用具有经营合规性；</w:t>
      </w:r>
    </w:p>
    <w:p w14:paraId="0DF4D079" w14:textId="77777777" w:rsidR="00E76498" w:rsidRDefault="00E76498" w:rsidP="00E76498">
      <w:pPr>
        <w:pStyle w:val="005"/>
        <w:spacing w:before="120" w:after="120"/>
        <w:ind w:firstLine="480"/>
      </w:pPr>
      <w:r>
        <w:rPr>
          <w:rFonts w:hint="eastAsia"/>
        </w:rPr>
        <w:t>（</w:t>
      </w:r>
      <w:r>
        <w:rPr>
          <w:rFonts w:hint="eastAsia"/>
        </w:rPr>
        <w:t>4</w:t>
      </w:r>
      <w:r>
        <w:rPr>
          <w:rFonts w:hint="eastAsia"/>
        </w:rPr>
        <w:t>）报告期内标的公司及其下属子公司均未实际开展演出经纪业务，截至本补充法律意见书出具之日，标的公司及其下属子公司的经营范围亦未包含演出经纪业务；</w:t>
      </w:r>
    </w:p>
    <w:p w14:paraId="03EE794B"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标的资产的收单外包业务具有经营合规性，其主要收单外包业务客户均具有支付业务许可证，具备经营资质。主要客户上海汇付支付有限公司等虽然在报告期内存在行政处罚事宜，但是并不影响其支付业务资质，亦不影响与标的公司的业务合作关系。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p w14:paraId="55AC4B6C" w14:textId="1BE589FE" w:rsidR="00BB7CF4" w:rsidRPr="00BB7CF4" w:rsidRDefault="00BB7CF4" w:rsidP="007E30A6">
      <w:pPr>
        <w:pStyle w:val="005"/>
        <w:spacing w:before="120" w:after="120"/>
        <w:ind w:firstLine="480"/>
        <w:sectPr w:rsidR="00BB7CF4" w:rsidRPr="00BB7CF4" w:rsidSect="00A81CC2">
          <w:footerReference w:type="default" r:id="rId15"/>
          <w:pgSz w:w="11906" w:h="16838"/>
          <w:pgMar w:top="1440" w:right="1797" w:bottom="1440" w:left="1797" w:header="851" w:footer="992" w:gutter="0"/>
          <w:pgNumType w:start="1"/>
          <w:cols w:space="425"/>
          <w:docGrid w:linePitch="312"/>
        </w:sectPr>
      </w:pPr>
    </w:p>
    <w:p w14:paraId="3B57606D" w14:textId="78854905" w:rsidR="00E93DA8" w:rsidRPr="00DA3766" w:rsidRDefault="00E93DA8" w:rsidP="00E93DA8">
      <w:pPr>
        <w:pStyle w:val="001"/>
        <w:spacing w:before="120" w:after="120"/>
        <w:ind w:firstLine="480"/>
      </w:pPr>
      <w:bookmarkStart w:id="13" w:name="_Toc220344117"/>
      <w:r w:rsidRPr="00DA3766">
        <w:lastRenderedPageBreak/>
        <w:t>问题</w:t>
      </w:r>
      <w:r w:rsidRPr="00DA3766">
        <w:t>2</w:t>
      </w:r>
      <w:r w:rsidRPr="00DA3766">
        <w:t>、关于标的资产的经营业绩</w:t>
      </w:r>
      <w:bookmarkEnd w:id="13"/>
    </w:p>
    <w:p w14:paraId="221B0C97" w14:textId="1F6580BA" w:rsidR="00E93DA8" w:rsidRPr="00DA3766" w:rsidRDefault="00E93DA8" w:rsidP="00E93DA8">
      <w:pPr>
        <w:pStyle w:val="0050"/>
        <w:spacing w:before="120" w:after="120"/>
        <w:ind w:firstLine="480"/>
      </w:pPr>
      <w:r w:rsidRPr="00DA3766">
        <w:t>申请文件显示：（</w:t>
      </w:r>
      <w:r w:rsidRPr="00DA3766">
        <w:t>1</w:t>
      </w:r>
      <w:r w:rsidRPr="00DA3766">
        <w:t>）标的资产是一家智能自助设备数字化服务提供商，专注于提供</w:t>
      </w:r>
      <w:r w:rsidRPr="00DA3766">
        <w:rPr>
          <w:rFonts w:ascii="宋体" w:eastAsia="宋体" w:hAnsi="宋体"/>
        </w:rPr>
        <w:t>“</w:t>
      </w:r>
      <w:r w:rsidRPr="00DA3766">
        <w:t>IoT</w:t>
      </w:r>
      <w:r w:rsidRPr="00DA3766">
        <w:t>智能硬件</w:t>
      </w:r>
      <w:r w:rsidRPr="00DA3766">
        <w:t>+</w:t>
      </w:r>
      <w:r w:rsidR="007A44DA" w:rsidRPr="00DA3766">
        <w:t>SaaS</w:t>
      </w:r>
      <w:r w:rsidRPr="00DA3766">
        <w:t>云平台</w:t>
      </w:r>
      <w:r w:rsidRPr="00DA3766">
        <w:rPr>
          <w:rFonts w:ascii="宋体" w:eastAsia="宋体" w:hAnsi="宋体"/>
        </w:rPr>
        <w:t>”</w:t>
      </w:r>
      <w:r w:rsidRPr="00DA3766">
        <w:t>一体化解决方案，主营业务包括</w:t>
      </w:r>
      <w:r w:rsidR="007A44DA" w:rsidRPr="00DA3766">
        <w:t>SaaS</w:t>
      </w:r>
      <w:r w:rsidRPr="00DA3766">
        <w:t>云平台、</w:t>
      </w:r>
      <w:r w:rsidRPr="00DA3766">
        <w:t>IoT</w:t>
      </w:r>
      <w:r w:rsidRPr="00DA3766">
        <w:t>硬件智能、数字增值服务。（</w:t>
      </w:r>
      <w:r w:rsidRPr="00DA3766">
        <w:t>2</w:t>
      </w:r>
      <w:r w:rsidRPr="00DA3766">
        <w:t>）</w:t>
      </w:r>
      <w:r w:rsidRPr="00DA3766">
        <w:t>2023</w:t>
      </w:r>
      <w:r w:rsidRPr="00DA3766">
        <w:t>年及</w:t>
      </w:r>
      <w:r w:rsidRPr="00DA3766">
        <w:t>2024</w:t>
      </w:r>
      <w:r w:rsidRPr="00DA3766">
        <w:t>年，标的资产营业收入同比增长率分别为</w:t>
      </w:r>
      <w:r w:rsidRPr="00DA3766">
        <w:t>7.98%</w:t>
      </w:r>
      <w:r w:rsidRPr="00DA3766">
        <w:t>和</w:t>
      </w:r>
      <w:r w:rsidRPr="00DA3766">
        <w:t>16.14%</w:t>
      </w:r>
      <w:r w:rsidRPr="00DA3766">
        <w:t>，净利润同比增长率分别为</w:t>
      </w:r>
      <w:r w:rsidRPr="00DA3766">
        <w:t>-234.17%</w:t>
      </w:r>
      <w:r w:rsidRPr="00DA3766">
        <w:t>和</w:t>
      </w:r>
      <w:r w:rsidRPr="00DA3766">
        <w:t>180.98%</w:t>
      </w:r>
      <w:r w:rsidRPr="00DA3766">
        <w:t>。（</w:t>
      </w:r>
      <w:r w:rsidRPr="00DA3766">
        <w:t>3</w:t>
      </w:r>
      <w:r w:rsidRPr="00DA3766">
        <w:t>）报告期各期，</w:t>
      </w:r>
      <w:r w:rsidR="007A44DA" w:rsidRPr="00DA3766">
        <w:t>SaaS</w:t>
      </w:r>
      <w:r w:rsidRPr="00DA3766">
        <w:t>云平台业务毛利率分别为</w:t>
      </w:r>
      <w:r w:rsidRPr="00DA3766">
        <w:t>89.93%</w:t>
      </w:r>
      <w:r w:rsidRPr="00DA3766">
        <w:t>、</w:t>
      </w:r>
      <w:r w:rsidRPr="00DA3766">
        <w:t>87.41%</w:t>
      </w:r>
      <w:r w:rsidRPr="00DA3766">
        <w:t>和</w:t>
      </w:r>
      <w:r w:rsidRPr="00DA3766">
        <w:t>82.07%</w:t>
      </w:r>
      <w:r w:rsidRPr="00DA3766">
        <w:t>，</w:t>
      </w:r>
      <w:r w:rsidRPr="00DA3766">
        <w:t>IoT</w:t>
      </w:r>
      <w:r w:rsidRPr="00DA3766">
        <w:t>智能硬件业务毛利率分别为</w:t>
      </w:r>
      <w:r w:rsidRPr="00DA3766">
        <w:t>30.90%</w:t>
      </w:r>
      <w:r w:rsidRPr="00DA3766">
        <w:t>、</w:t>
      </w:r>
      <w:r w:rsidRPr="00DA3766">
        <w:t>37.55%</w:t>
      </w:r>
      <w:r w:rsidRPr="00DA3766">
        <w:t>和</w:t>
      </w:r>
      <w:r w:rsidRPr="00DA3766">
        <w:t>37.38%</w:t>
      </w:r>
      <w:r w:rsidRPr="00DA3766">
        <w:t>，数字增值服务业务毛利率分别为</w:t>
      </w:r>
      <w:r w:rsidRPr="00DA3766">
        <w:t>43.24%</w:t>
      </w:r>
      <w:r w:rsidRPr="00DA3766">
        <w:t>、</w:t>
      </w:r>
      <w:r w:rsidRPr="00DA3766">
        <w:t>60.25%</w:t>
      </w:r>
      <w:r w:rsidRPr="00DA3766">
        <w:t>和</w:t>
      </w:r>
      <w:r w:rsidRPr="00DA3766">
        <w:t>60.14%</w:t>
      </w:r>
      <w:r w:rsidRPr="00DA3766">
        <w:t>。标的资产综合毛利率高于同行业可比公司综合毛利率的平均值。（</w:t>
      </w:r>
      <w:r w:rsidRPr="00DA3766">
        <w:t>4</w:t>
      </w:r>
      <w:r w:rsidRPr="00DA3766">
        <w:t>）</w:t>
      </w:r>
      <w:r w:rsidR="007A44DA" w:rsidRPr="00DA3766">
        <w:t>SaaS</w:t>
      </w:r>
      <w:r w:rsidRPr="00DA3766">
        <w:t>云平台业务主要提供商家服务、会员服务和收单外包服务等，主要采购通信及云计算等服务。</w:t>
      </w:r>
      <w:r w:rsidRPr="00DA3766">
        <w:t>2024</w:t>
      </w:r>
      <w:r w:rsidRPr="00DA3766">
        <w:t>年，标的资产</w:t>
      </w:r>
      <w:r w:rsidR="007A44DA" w:rsidRPr="00DA3766">
        <w:t>SaaS</w:t>
      </w:r>
      <w:r w:rsidRPr="00DA3766">
        <w:t>云平台收入同比增长</w:t>
      </w:r>
      <w:r w:rsidRPr="00DA3766">
        <w:t>5.29%</w:t>
      </w:r>
      <w:r w:rsidRPr="00DA3766">
        <w:t>，云服务、通信服务采购金额分别下降</w:t>
      </w:r>
      <w:r w:rsidRPr="00DA3766">
        <w:t>42.98%</w:t>
      </w:r>
      <w:r w:rsidRPr="00DA3766">
        <w:t>、</w:t>
      </w:r>
      <w:r w:rsidRPr="00DA3766">
        <w:t>13.85%</w:t>
      </w:r>
      <w:r w:rsidRPr="00DA3766">
        <w:t>。（</w:t>
      </w:r>
      <w:r w:rsidRPr="00DA3766">
        <w:t>5</w:t>
      </w:r>
      <w:r w:rsidRPr="00DA3766">
        <w:t>）标的</w:t>
      </w:r>
      <w:r w:rsidRPr="00DA3766">
        <w:t>IoT</w:t>
      </w:r>
      <w:r w:rsidRPr="00DA3766">
        <w:t>智能硬件产品主要采用外协生产模式。（</w:t>
      </w:r>
      <w:r w:rsidRPr="00DA3766">
        <w:t>6</w:t>
      </w:r>
      <w:r w:rsidRPr="00DA3766">
        <w:t>）标的资产提供的数字增值服务在收到客户对工作量数据等核实确认后，已收取价款或取得收款权利且相关的经济利益很可能流入时确认收入。（</w:t>
      </w:r>
      <w:r w:rsidRPr="00DA3766">
        <w:t>7</w:t>
      </w:r>
      <w:r w:rsidRPr="00DA3766">
        <w:t>）</w:t>
      </w:r>
      <w:r w:rsidRPr="00DA3766">
        <w:t>2024</w:t>
      </w:r>
      <w:r w:rsidRPr="00DA3766">
        <w:t>年，标的资产销售费用同比减少</w:t>
      </w:r>
      <w:r w:rsidRPr="00DA3766">
        <w:t>10.89%</w:t>
      </w:r>
      <w:r w:rsidRPr="00DA3766">
        <w:t>，销售费用率由</w:t>
      </w:r>
      <w:r w:rsidRPr="00DA3766">
        <w:t>20.65%</w:t>
      </w:r>
      <w:r w:rsidRPr="00DA3766">
        <w:t>下降至</w:t>
      </w:r>
      <w:r w:rsidRPr="00DA3766">
        <w:t>15.84%</w:t>
      </w:r>
      <w:r w:rsidRPr="00DA3766">
        <w:t>，主要系市场推广费同比减少；研发费用同比减少</w:t>
      </w:r>
      <w:r w:rsidRPr="00DA3766">
        <w:t>8.86%</w:t>
      </w:r>
      <w:r w:rsidRPr="00DA3766">
        <w:t>，研发费用率由</w:t>
      </w:r>
      <w:r w:rsidRPr="00DA3766">
        <w:t>18.37%</w:t>
      </w:r>
      <w:r w:rsidRPr="00DA3766">
        <w:t>下降至</w:t>
      </w:r>
      <w:r w:rsidRPr="00DA3766">
        <w:t>14.42%</w:t>
      </w:r>
      <w:r w:rsidRPr="00DA3766">
        <w:t>，主要系直接人工费用同比减少。（</w:t>
      </w:r>
      <w:r w:rsidRPr="00DA3766">
        <w:t>8</w:t>
      </w:r>
      <w:r w:rsidRPr="00DA3766">
        <w:t>）报告期内，标的资产存在自然人客户，且存在客户与供应商重叠情况。（</w:t>
      </w:r>
      <w:r w:rsidRPr="00DA3766">
        <w:t>9</w:t>
      </w:r>
      <w:r w:rsidRPr="00DA3766">
        <w:t>）报告期内，标的资产存在第三方回款情况。（</w:t>
      </w:r>
      <w:r w:rsidRPr="00DA3766">
        <w:t>10</w:t>
      </w:r>
      <w:r w:rsidRPr="00DA3766">
        <w:t>）</w:t>
      </w:r>
      <w:r w:rsidRPr="00DA3766">
        <w:t>2015</w:t>
      </w:r>
      <w:r w:rsidRPr="00DA3766">
        <w:t>年</w:t>
      </w:r>
      <w:r w:rsidRPr="00DA3766">
        <w:t>1-6</w:t>
      </w:r>
      <w:r w:rsidRPr="00DA3766">
        <w:t>月，标的资产处置其持有的广州科蝶信息科技有限公司（以下简称科蝶信息）、</w:t>
      </w:r>
      <w:r w:rsidRPr="00DA3766">
        <w:t>STARTHINGPTE.LTD.</w:t>
      </w:r>
      <w:r w:rsidRPr="00DA3766">
        <w:t>的股权。（</w:t>
      </w:r>
      <w:r w:rsidRPr="00DA3766">
        <w:t>11</w:t>
      </w:r>
      <w:r w:rsidRPr="00DA3766">
        <w:t>）本次交易完成后，上市公司新增商誉</w:t>
      </w:r>
      <w:r w:rsidRPr="00DA3766">
        <w:t>10.49</w:t>
      </w:r>
      <w:r w:rsidRPr="00DA3766">
        <w:t>亿元，占</w:t>
      </w:r>
      <w:r w:rsidRPr="00DA3766">
        <w:t>2025</w:t>
      </w:r>
      <w:r w:rsidRPr="00DA3766">
        <w:t>年</w:t>
      </w:r>
      <w:r w:rsidRPr="00DA3766">
        <w:t>6</w:t>
      </w:r>
      <w:r w:rsidRPr="00DA3766">
        <w:t>月末上市公司备考合并报表总资产和归母净资产的比例分别为</w:t>
      </w:r>
      <w:r w:rsidRPr="00DA3766">
        <w:t>37.19%</w:t>
      </w:r>
      <w:r w:rsidRPr="00DA3766">
        <w:t>、</w:t>
      </w:r>
      <w:r w:rsidRPr="00DA3766">
        <w:t>77.56%</w:t>
      </w:r>
      <w:r w:rsidRPr="00DA3766">
        <w:t>。</w:t>
      </w:r>
    </w:p>
    <w:p w14:paraId="6D95A3F7" w14:textId="11669AFF" w:rsidR="00E93DA8" w:rsidRPr="00DA3766" w:rsidRDefault="00E93DA8" w:rsidP="00E93DA8">
      <w:pPr>
        <w:pStyle w:val="0050"/>
        <w:spacing w:before="120" w:after="120"/>
        <w:ind w:firstLine="480"/>
      </w:pPr>
      <w:r w:rsidRPr="00DA3766">
        <w:t>请上市公司补充说明：（</w:t>
      </w:r>
      <w:r w:rsidRPr="00DA3766">
        <w:t>1</w:t>
      </w:r>
      <w:r w:rsidRPr="00DA3766">
        <w:t>）标的资产提供</w:t>
      </w:r>
      <w:r w:rsidRPr="00DA3766">
        <w:rPr>
          <w:rFonts w:ascii="宋体" w:eastAsia="宋体" w:hAnsi="宋体"/>
        </w:rPr>
        <w:t>“</w:t>
      </w:r>
      <w:r w:rsidRPr="00DA3766">
        <w:t>IoT</w:t>
      </w:r>
      <w:r w:rsidRPr="00DA3766">
        <w:t>智能硬件</w:t>
      </w:r>
      <w:r w:rsidRPr="00DA3766">
        <w:t>+</w:t>
      </w:r>
      <w:r w:rsidR="007A44DA" w:rsidRPr="00DA3766">
        <w:t>SaaS</w:t>
      </w:r>
      <w:r w:rsidRPr="00DA3766">
        <w:t>云平台</w:t>
      </w:r>
      <w:r w:rsidRPr="00DA3766">
        <w:rPr>
          <w:rFonts w:ascii="宋体" w:eastAsia="宋体" w:hAnsi="宋体"/>
        </w:rPr>
        <w:t>”</w:t>
      </w:r>
      <w:r w:rsidRPr="00DA3766">
        <w:t>一体化解决方案的具体业务模式及运营情况，同时向标的资产采购硬件及云平台服务的客户数量、收入规模及占比，主要客户情况及合作稳定性。（</w:t>
      </w:r>
      <w:r w:rsidRPr="00DA3766">
        <w:t>2</w:t>
      </w:r>
      <w:r w:rsidRPr="00DA3766">
        <w:t>）标的资产</w:t>
      </w:r>
      <w:r w:rsidR="007A44DA" w:rsidRPr="00DA3766">
        <w:t>SaaS</w:t>
      </w:r>
      <w:r w:rsidRPr="00DA3766">
        <w:t>云平台业务中各类细分业务的具体运营模式及盈利模式，包括但不限于标的资产在产业链中所处的环节及角色功能、上下游情况、资金的权属及流转情况，标的资产与客户的对账方式、频次、对差异的处理方式，服务费率标准、收入金额的确认及结算方式、结算周期等及其与同行业可比公司的对比情况，并结合上</w:t>
      </w:r>
      <w:r w:rsidRPr="00DA3766">
        <w:lastRenderedPageBreak/>
        <w:t>述情况说明相关收入确认是否符合《企业会计准则》的有关规定。（</w:t>
      </w:r>
      <w:r w:rsidRPr="00DA3766">
        <w:t>3</w:t>
      </w:r>
      <w:r w:rsidRPr="00DA3766">
        <w:t>）</w:t>
      </w:r>
      <w:r w:rsidRPr="00DA3766">
        <w:t>2024</w:t>
      </w:r>
      <w:r w:rsidRPr="00DA3766">
        <w:t>年</w:t>
      </w:r>
      <w:r w:rsidR="007A44DA" w:rsidRPr="00DA3766">
        <w:t>SaaS</w:t>
      </w:r>
      <w:r w:rsidRPr="00DA3766">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Pr="00DA3766">
        <w:t>云平台各类细分业务收入的变动原因及合理性，与同行业可比公司变动趋势是否一致。（</w:t>
      </w:r>
      <w:r w:rsidRPr="00DA3766">
        <w:t>4</w:t>
      </w:r>
      <w:r w:rsidRPr="00DA3766">
        <w:t>）结合具体业务结构、各类服务价格及成本的变动情况及其影响因素、同行业可比公司同类业务毛利率变动情况等，说明报告期内</w:t>
      </w:r>
      <w:r w:rsidR="007A44DA" w:rsidRPr="00DA3766">
        <w:t>SaaS</w:t>
      </w:r>
      <w:r w:rsidRPr="00DA3766">
        <w:t>云平台业务毛利率下滑的原因及合理性，未来是否存在进一步下滑的风险。（</w:t>
      </w:r>
      <w:r w:rsidRPr="00DA3766">
        <w:t>5</w:t>
      </w:r>
      <w:r w:rsidRPr="00DA3766">
        <w:t>）</w:t>
      </w:r>
      <w:r w:rsidRPr="00DA3766">
        <w:t>IoT</w:t>
      </w:r>
      <w:r w:rsidRPr="00DA3766">
        <w:t>智能硬件业务采用外协生产模式的具体情况及合理性，控制外协产品质量、供货及时性的相关内控制度、具体措施及其有效性，与外协供应商关于产品质量责任划分、延期交付补偿的具体安排，报告期内是否存在争议或纠纷。（</w:t>
      </w:r>
      <w:r w:rsidRPr="00DA3766">
        <w:t>6</w:t>
      </w:r>
      <w:r w:rsidRPr="00DA3766">
        <w:t>）结合行业发展情况、标的资产</w:t>
      </w:r>
      <w:r w:rsidRPr="00DA3766">
        <w:t>IoT</w:t>
      </w:r>
      <w:r w:rsidRPr="00DA3766">
        <w:t>智能硬件各类产品销量、单价及单位成本的变动情况及原因，外协加工费的定价依据及定价公允性、相关成本确认的完整性、准确性、是否符合《企业会计准则》的有关规定，以及是否存在代垫成本费用的情形等，说明报告期内</w:t>
      </w:r>
      <w:r w:rsidRPr="00DA3766">
        <w:t>IoT</w:t>
      </w:r>
      <w:r w:rsidRPr="00DA3766">
        <w:t>智能硬件业务收入、毛利率提升的原因及合理性，与同行业可比公司的对比情况及差异原因。（</w:t>
      </w:r>
      <w:r w:rsidRPr="00DA3766">
        <w:t>7</w:t>
      </w:r>
      <w:r w:rsidRPr="00DA3766">
        <w:t>）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r w:rsidRPr="00DA3766">
        <w:t>8</w:t>
      </w:r>
      <w:r w:rsidRPr="00DA3766">
        <w:t>）结合行业发展情况、标的资产新增客户及订单情况、成本变动情况及原因等，说明</w:t>
      </w:r>
      <w:r w:rsidRPr="00DA3766">
        <w:t>2024</w:t>
      </w:r>
      <w:r w:rsidRPr="00DA3766">
        <w:t>年数字增值服务业务收入、毛利率增长的原因及合理性，与同行业可比公司的对比情况及差异原因。（</w:t>
      </w:r>
      <w:r w:rsidRPr="00DA3766">
        <w:t>9</w:t>
      </w:r>
      <w:r w:rsidRPr="00DA3766">
        <w:t>）结合业务类别、收入结构、同类业务毛利率等方面与同行业可比公司的对比情况及差异原因，毛利率偏离综合毛利率较多的主要客户情况及合理性等，补充说明报告期内标的资产综合毛利率高于同行业可比公司平均值的原因及合理性。（</w:t>
      </w:r>
      <w:r w:rsidRPr="00DA3766">
        <w:t>10</w:t>
      </w:r>
      <w:r w:rsidRPr="00DA3766">
        <w:t>）标的资产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w:t>
      </w:r>
      <w:r w:rsidRPr="00DA3766">
        <w:lastRenderedPageBreak/>
        <w:t>构成股份支付，是否存在通过低价入股替代支付费用的情形。（</w:t>
      </w:r>
      <w:r w:rsidRPr="00DA3766">
        <w:t>11</w:t>
      </w:r>
      <w:r w:rsidRPr="00DA3766">
        <w:t>）结合前述分析以及其他损益类科目变动情况，量化分析标的资产</w:t>
      </w:r>
      <w:r w:rsidRPr="00DA3766">
        <w:t>2023</w:t>
      </w:r>
      <w:r w:rsidRPr="00DA3766">
        <w:t>年增收不增利、报告期内存在业绩波动的原因及合理性。（</w:t>
      </w:r>
      <w:r w:rsidRPr="00DA3766">
        <w:t>12</w:t>
      </w:r>
      <w:r w:rsidRPr="00DA3766">
        <w:t>）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rsidRPr="00DA3766">
        <w:t>13</w:t>
      </w:r>
      <w:r w:rsidRPr="00DA3766">
        <w:t>）标的资产向自然人客户销售的具体情况、原因及必要性，向主要自然人客户的销售内容、收入金额、占比情况及回款情况，其与标的资产是否存在关联关系、潜在关联关系或其他利益安排。（</w:t>
      </w:r>
      <w:r w:rsidRPr="00DA3766">
        <w:t>14</w:t>
      </w:r>
      <w:r w:rsidRPr="00DA3766">
        <w:t>）报告期内标的资产客户与供应商重叠的具体情况，相关销售、采购交易的必要性、真实性及公允性。（</w:t>
      </w:r>
      <w:r w:rsidRPr="00DA3766">
        <w:t>15</w:t>
      </w:r>
      <w:r w:rsidRPr="00DA3766">
        <w:t>）标的资产第三方回款的具体情况、原因及商业合理性，第三方回款的支付方与标的资产是否存在关联关系及其他利益安排，对应收入的真实性；标的资产对第三方回款拟采取的整改措施及其有效性。（</w:t>
      </w:r>
      <w:r w:rsidRPr="00DA3766">
        <w:t>16</w:t>
      </w:r>
      <w:r w:rsidRPr="00DA3766">
        <w:t>）标的资产处置持有的科蝶信息、</w:t>
      </w:r>
      <w:r w:rsidRPr="00DA3766">
        <w:t>STARTHINGPTE.LTD.</w:t>
      </w:r>
      <w:r w:rsidRPr="00DA3766">
        <w:t>的股权的原因、处置价款的公允性，该事项对标的资产财务数据及未来持续经营能力的影响。</w:t>
      </w:r>
    </w:p>
    <w:p w14:paraId="20C02116" w14:textId="00DD9AA5" w:rsidR="00E93DA8" w:rsidRPr="00DA3766" w:rsidRDefault="00E93DA8" w:rsidP="00E93DA8">
      <w:pPr>
        <w:pStyle w:val="0050"/>
        <w:spacing w:before="120" w:after="120"/>
        <w:ind w:firstLine="480"/>
      </w:pPr>
      <w:r w:rsidRPr="00DA3766">
        <w:t>请独立财务顾问和会计师：（</w:t>
      </w:r>
      <w:r w:rsidRPr="00DA3766">
        <w:t>1</w:t>
      </w:r>
      <w:r w:rsidRPr="00DA3766">
        <w:t>）对上述事项进行核查并发表明确意见。（</w:t>
      </w:r>
      <w:r w:rsidRPr="00DA3766">
        <w:t>2</w:t>
      </w:r>
      <w:r w:rsidRPr="00DA3766">
        <w:t>）参考《监管规则适用指引</w:t>
      </w:r>
      <w:r w:rsidRPr="00DA3766">
        <w:t>——</w:t>
      </w:r>
      <w:r w:rsidRPr="00DA3766">
        <w:t>发行类第</w:t>
      </w:r>
      <w:r w:rsidRPr="00DA3766">
        <w:t>5</w:t>
      </w:r>
      <w:r w:rsidRPr="00DA3766">
        <w:t>号》</w:t>
      </w:r>
      <w:r w:rsidRPr="00DA3766">
        <w:t>5-11</w:t>
      </w:r>
      <w:r w:rsidRPr="00DA3766">
        <w:t>、</w:t>
      </w:r>
      <w:r w:rsidRPr="00DA3766">
        <w:t>5-13</w:t>
      </w:r>
      <w:r w:rsidRPr="00DA3766">
        <w:t>及</w:t>
      </w:r>
      <w:r w:rsidRPr="00DA3766">
        <w:t>5-14</w:t>
      </w:r>
      <w:r w:rsidRPr="00DA3766">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rsidRPr="00DA3766">
        <w:t>IP</w:t>
      </w:r>
      <w:r w:rsidRPr="00DA3766">
        <w:t>异常消费、消费时间分布异常等异常情形，是否存在刷单、自充值等虚假交易情况，系统收款或交易金额与第三方支付渠道交易金额是否一致。（</w:t>
      </w:r>
      <w:r w:rsidRPr="00DA3766">
        <w:t>3</w:t>
      </w:r>
      <w:r w:rsidRPr="00DA3766">
        <w:t>）详细说明对收入截止性测试的具体执行情况，包括样本选取方法、核查过程、核查比例、核查依据及核查结论，标的资产</w:t>
      </w:r>
      <w:r w:rsidRPr="00DA3766">
        <w:lastRenderedPageBreak/>
        <w:t>收入确认时点是否准确。（</w:t>
      </w:r>
      <w:r w:rsidRPr="00DA3766">
        <w:t>4</w:t>
      </w:r>
      <w:r w:rsidRPr="00DA3766">
        <w:t>）结合上述核查情况对标的资产业绩真实性、准确性发表明确意见。</w:t>
      </w:r>
    </w:p>
    <w:p w14:paraId="05C21832" w14:textId="77777777" w:rsidR="00E93DA8" w:rsidRPr="00DA3766" w:rsidRDefault="00E93DA8" w:rsidP="00E93DA8">
      <w:pPr>
        <w:pStyle w:val="005"/>
        <w:spacing w:before="120" w:after="120"/>
        <w:ind w:firstLine="480"/>
      </w:pPr>
      <w:r w:rsidRPr="00DA3766">
        <w:t>【回复】</w:t>
      </w:r>
    </w:p>
    <w:p w14:paraId="0226E96B" w14:textId="5D7594B6" w:rsidR="00E93DA8" w:rsidRPr="00DA3766" w:rsidRDefault="00E93DA8" w:rsidP="00E93DA8">
      <w:pPr>
        <w:pStyle w:val="002"/>
        <w:spacing w:before="120" w:after="120"/>
        <w:ind w:firstLine="482"/>
      </w:pPr>
      <w:r w:rsidRPr="00DA3766">
        <w:t>一、</w:t>
      </w:r>
      <w:bookmarkStart w:id="14" w:name="_Hlk217939392"/>
      <w:r w:rsidR="00231DBA" w:rsidRPr="00DA3766">
        <w:t>标的资产提供</w:t>
      </w:r>
      <w:r w:rsidR="00231DBA" w:rsidRPr="00DA3766">
        <w:rPr>
          <w:rFonts w:ascii="宋体" w:hAnsi="宋体"/>
        </w:rPr>
        <w:t>“</w:t>
      </w:r>
      <w:r w:rsidR="00231DBA" w:rsidRPr="00DA3766">
        <w:t>IoT</w:t>
      </w:r>
      <w:r w:rsidR="00231DBA" w:rsidRPr="00DA3766">
        <w:t>智能硬件</w:t>
      </w:r>
      <w:r w:rsidR="00231DBA" w:rsidRPr="00DA3766">
        <w:t>+</w:t>
      </w:r>
      <w:r w:rsidR="007A44DA" w:rsidRPr="00DA3766">
        <w:t>SaaS</w:t>
      </w:r>
      <w:r w:rsidR="00231DBA" w:rsidRPr="00DA3766">
        <w:t>云平台</w:t>
      </w:r>
      <w:r w:rsidR="00231DBA" w:rsidRPr="00DA3766">
        <w:rPr>
          <w:rFonts w:ascii="宋体" w:hAnsi="宋体"/>
        </w:rPr>
        <w:t>”</w:t>
      </w:r>
      <w:r w:rsidR="00231DBA" w:rsidRPr="00DA3766">
        <w:t>一体化解决方案的具体业务模式及运营情况</w:t>
      </w:r>
      <w:bookmarkEnd w:id="14"/>
      <w:r w:rsidR="00231DBA" w:rsidRPr="00DA3766">
        <w:t>，同时向标的资产采购硬件及云平台服务的客户数量、收入规模及占比，主要客户情况及合作稳定性</w:t>
      </w:r>
    </w:p>
    <w:p w14:paraId="5BEBBC4D" w14:textId="09E854B0" w:rsidR="0077534C" w:rsidRPr="00DA3766" w:rsidRDefault="0077534C" w:rsidP="0077534C">
      <w:pPr>
        <w:pStyle w:val="003"/>
        <w:spacing w:before="120" w:after="120"/>
        <w:ind w:firstLine="482"/>
      </w:pPr>
      <w:r w:rsidRPr="00DA3766">
        <w:t>（一）标的资产提供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一体化解决方案的具体业务模式及运营情况</w:t>
      </w:r>
    </w:p>
    <w:p w14:paraId="6BB8C0F3" w14:textId="77777777" w:rsidR="00CB5B1C" w:rsidRPr="00DA3766" w:rsidRDefault="00CB5B1C" w:rsidP="00CB5B1C">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w:t>
      </w:r>
    </w:p>
    <w:p w14:paraId="29CF1DBE" w14:textId="77777777" w:rsidR="00CB5B1C" w:rsidRPr="004C2193" w:rsidRDefault="00CB5B1C" w:rsidP="004C2193">
      <w:pPr>
        <w:pStyle w:val="005"/>
        <w:spacing w:before="120" w:after="120"/>
        <w:ind w:firstLine="464"/>
        <w:rPr>
          <w:spacing w:val="-4"/>
        </w:rPr>
      </w:pPr>
      <w:r w:rsidRPr="004C2193">
        <w:rPr>
          <w:spacing w:val="-4"/>
        </w:rPr>
        <w:t>标的公司</w:t>
      </w:r>
      <w:r w:rsidRPr="004C2193">
        <w:rPr>
          <w:spacing w:val="-4"/>
        </w:rPr>
        <w:t>SaaS</w:t>
      </w:r>
      <w:r w:rsidRPr="004C2193">
        <w:rPr>
          <w:spacing w:val="-4"/>
        </w:rPr>
        <w:t>云平台业务针对</w:t>
      </w:r>
      <w:r w:rsidRPr="004C2193">
        <w:rPr>
          <w:rFonts w:ascii="宋体" w:hAnsi="宋体"/>
          <w:spacing w:val="-4"/>
        </w:rPr>
        <w:t>“</w:t>
      </w:r>
      <w:r w:rsidRPr="004C2193">
        <w:rPr>
          <w:spacing w:val="-4"/>
        </w:rPr>
        <w:t>IoT</w:t>
      </w:r>
      <w:r w:rsidRPr="004C2193">
        <w:rPr>
          <w:spacing w:val="-4"/>
        </w:rPr>
        <w:t>智能硬件</w:t>
      </w:r>
      <w:r w:rsidRPr="004C2193">
        <w:rPr>
          <w:spacing w:val="-4"/>
        </w:rPr>
        <w:t>+SaaS</w:t>
      </w:r>
      <w:r w:rsidRPr="004C2193">
        <w:rPr>
          <w:spacing w:val="-4"/>
        </w:rPr>
        <w:t>云平台</w:t>
      </w:r>
      <w:r w:rsidRPr="004C2193">
        <w:rPr>
          <w:rFonts w:ascii="宋体" w:hAnsi="宋体"/>
          <w:spacing w:val="-4"/>
        </w:rPr>
        <w:t>”</w:t>
      </w:r>
      <w:r w:rsidRPr="004C2193">
        <w:rPr>
          <w:spacing w:val="-4"/>
        </w:rPr>
        <w:t>一体化解决方案的软件平台侧，主要提供商家服务、会员服务和收单外包服务等服务，具体包括面向智能自助设备运营商等客户提供基础</w:t>
      </w:r>
      <w:r w:rsidRPr="004C2193">
        <w:rPr>
          <w:spacing w:val="-4"/>
        </w:rPr>
        <w:t>SaaS</w:t>
      </w:r>
      <w:r w:rsidRPr="004C2193">
        <w:rPr>
          <w:spacing w:val="-4"/>
        </w:rPr>
        <w:t>服务、增值</w:t>
      </w:r>
      <w:r w:rsidRPr="004C2193">
        <w:rPr>
          <w:spacing w:val="-4"/>
        </w:rPr>
        <w:t>SaaS</w:t>
      </w:r>
      <w:r w:rsidRPr="004C2193">
        <w:rPr>
          <w:spacing w:val="-4"/>
        </w:rPr>
        <w:t>服务等多元化</w:t>
      </w:r>
      <w:r w:rsidRPr="004C2193">
        <w:rPr>
          <w:spacing w:val="-4"/>
        </w:rPr>
        <w:t>SaaS</w:t>
      </w:r>
      <w:r w:rsidRPr="004C2193">
        <w:rPr>
          <w:spacing w:val="-4"/>
        </w:rPr>
        <w:t>服务，面向终端消费者群体提供会员服务，以及与第三方持牌支付机构开展收单外包合作等。报告期内标的公司</w:t>
      </w:r>
      <w:r w:rsidRPr="004C2193">
        <w:rPr>
          <w:spacing w:val="-4"/>
        </w:rPr>
        <w:t>SaaS</w:t>
      </w:r>
      <w:r w:rsidRPr="004C2193">
        <w:rPr>
          <w:spacing w:val="-4"/>
        </w:rPr>
        <w:t>云平台业务运营情况良好，业务收入呈增长趋势，各期分别为</w:t>
      </w:r>
      <w:r w:rsidRPr="004C2193">
        <w:rPr>
          <w:spacing w:val="-4"/>
        </w:rPr>
        <w:t>17,639.27</w:t>
      </w:r>
      <w:r w:rsidRPr="004C2193">
        <w:rPr>
          <w:spacing w:val="-4"/>
        </w:rPr>
        <w:t>万元、</w:t>
      </w:r>
      <w:r w:rsidRPr="004C2193">
        <w:rPr>
          <w:spacing w:val="-4"/>
        </w:rPr>
        <w:t>18,571.86</w:t>
      </w:r>
      <w:r w:rsidRPr="004C2193">
        <w:rPr>
          <w:spacing w:val="-4"/>
        </w:rPr>
        <w:t>万元和</w:t>
      </w:r>
      <w:r w:rsidRPr="004C2193">
        <w:rPr>
          <w:spacing w:val="-4"/>
        </w:rPr>
        <w:t>11,347.36</w:t>
      </w:r>
      <w:r w:rsidRPr="004C2193">
        <w:rPr>
          <w:spacing w:val="-4"/>
        </w:rPr>
        <w:t>万元，其中</w:t>
      </w:r>
      <w:r w:rsidRPr="004C2193">
        <w:rPr>
          <w:spacing w:val="-4"/>
        </w:rPr>
        <w:t>2024</w:t>
      </w:r>
      <w:r w:rsidRPr="004C2193">
        <w:rPr>
          <w:spacing w:val="-4"/>
        </w:rPr>
        <w:t>年业务收入较</w:t>
      </w:r>
      <w:r w:rsidRPr="004C2193">
        <w:rPr>
          <w:spacing w:val="-4"/>
        </w:rPr>
        <w:t>2023</w:t>
      </w:r>
      <w:r w:rsidRPr="004C2193">
        <w:rPr>
          <w:spacing w:val="-4"/>
        </w:rPr>
        <w:t>年增长</w:t>
      </w:r>
      <w:r w:rsidRPr="004C2193">
        <w:rPr>
          <w:spacing w:val="-4"/>
        </w:rPr>
        <w:t>5.29%</w:t>
      </w:r>
      <w:r w:rsidRPr="004C2193">
        <w:rPr>
          <w:spacing w:val="-4"/>
        </w:rPr>
        <w:t>，</w:t>
      </w:r>
      <w:r w:rsidRPr="004C2193">
        <w:rPr>
          <w:spacing w:val="-4"/>
        </w:rPr>
        <w:t>2025</w:t>
      </w:r>
      <w:r w:rsidRPr="004C2193">
        <w:rPr>
          <w:spacing w:val="-4"/>
        </w:rPr>
        <w:t>年</w:t>
      </w:r>
      <w:r w:rsidRPr="004C2193">
        <w:rPr>
          <w:spacing w:val="-4"/>
        </w:rPr>
        <w:t>1-6</w:t>
      </w:r>
      <w:r w:rsidRPr="004C2193">
        <w:rPr>
          <w:spacing w:val="-4"/>
        </w:rPr>
        <w:t>月业务收入达到</w:t>
      </w:r>
      <w:r w:rsidRPr="004C2193">
        <w:rPr>
          <w:spacing w:val="-4"/>
        </w:rPr>
        <w:t>2024</w:t>
      </w:r>
      <w:r w:rsidRPr="004C2193">
        <w:rPr>
          <w:spacing w:val="-4"/>
        </w:rPr>
        <w:t>年的</w:t>
      </w:r>
      <w:r w:rsidRPr="004C2193">
        <w:rPr>
          <w:spacing w:val="-4"/>
        </w:rPr>
        <w:t>61.10%</w:t>
      </w:r>
      <w:r w:rsidRPr="004C2193">
        <w:rPr>
          <w:spacing w:val="-4"/>
        </w:rPr>
        <w:t>。</w:t>
      </w:r>
    </w:p>
    <w:p w14:paraId="09B4D86B" w14:textId="77777777" w:rsidR="00CB5B1C" w:rsidRPr="00DA3766" w:rsidRDefault="00CB5B1C" w:rsidP="00CB5B1C">
      <w:pPr>
        <w:pStyle w:val="005"/>
        <w:spacing w:before="120" w:after="120"/>
        <w:ind w:firstLine="480"/>
      </w:pPr>
      <w:r w:rsidRPr="00DA3766">
        <w:t>标的公司</w:t>
      </w:r>
      <w:r w:rsidRPr="00DA3766">
        <w:t>IoT</w:t>
      </w:r>
      <w:r w:rsidRPr="00DA3766">
        <w:t>智能硬件业务针对</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一体化解决方案的硬件入口侧，主要包括面向下游智能自助设备厂家和运营商等客户销售各类模块模组和智能设备等</w:t>
      </w:r>
      <w:r w:rsidRPr="00DA3766">
        <w:t>IoT</w:t>
      </w:r>
      <w:r w:rsidRPr="00DA3766">
        <w:t>智能硬件。报告期内标的公司</w:t>
      </w:r>
      <w:r w:rsidRPr="00DA3766">
        <w:t>IoT</w:t>
      </w:r>
      <w:r w:rsidRPr="00DA3766">
        <w:t>智能硬件业务运营情况良好，业务收入呈增长趋势，各期分别为</w:t>
      </w:r>
      <w:r w:rsidRPr="00DA3766">
        <w:t>14,601.82</w:t>
      </w:r>
      <w:r w:rsidRPr="00DA3766">
        <w:t>万元、</w:t>
      </w:r>
      <w:r w:rsidRPr="00DA3766">
        <w:t>16,968.02</w:t>
      </w:r>
      <w:r w:rsidRPr="00DA3766">
        <w:t>万元和</w:t>
      </w:r>
      <w:r w:rsidRPr="00DA3766">
        <w:t>8,778.91</w:t>
      </w:r>
      <w:r w:rsidRPr="00DA3766">
        <w:t>万元，其中</w:t>
      </w:r>
      <w:r w:rsidRPr="00DA3766">
        <w:t>2024</w:t>
      </w:r>
      <w:r w:rsidRPr="00DA3766">
        <w:t>年业务收入较</w:t>
      </w:r>
      <w:r w:rsidRPr="00DA3766">
        <w:t>2023</w:t>
      </w:r>
      <w:r w:rsidRPr="00DA3766">
        <w:t>年增长</w:t>
      </w:r>
      <w:r w:rsidRPr="00DA3766">
        <w:t>16.20%</w:t>
      </w:r>
      <w:r w:rsidRPr="00DA3766">
        <w:t>，</w:t>
      </w:r>
      <w:r w:rsidRPr="00DA3766">
        <w:t>2025</w:t>
      </w:r>
      <w:r w:rsidRPr="00DA3766">
        <w:t>年</w:t>
      </w:r>
      <w:r w:rsidRPr="00DA3766">
        <w:t>1-6</w:t>
      </w:r>
      <w:r w:rsidRPr="00DA3766">
        <w:t>月业务收入达到</w:t>
      </w:r>
      <w:r w:rsidRPr="00DA3766">
        <w:t>2024</w:t>
      </w:r>
      <w:r w:rsidRPr="00DA3766">
        <w:t>年的</w:t>
      </w:r>
      <w:r w:rsidRPr="00DA3766">
        <w:t>51.74%</w:t>
      </w:r>
      <w:r w:rsidRPr="00DA3766">
        <w:t>。</w:t>
      </w:r>
    </w:p>
    <w:p w14:paraId="79DF44E7" w14:textId="7848905A" w:rsidR="00CB5B1C" w:rsidRPr="00DA3766" w:rsidRDefault="00CB5B1C" w:rsidP="00CB5B1C">
      <w:pPr>
        <w:pStyle w:val="005"/>
        <w:spacing w:before="120" w:after="120"/>
        <w:ind w:firstLine="480"/>
      </w:pPr>
      <w:r w:rsidRPr="00DA3766">
        <w:t>报告期内，标的公司</w:t>
      </w:r>
      <w:r w:rsidRPr="00DA3766">
        <w:t>IoT</w:t>
      </w:r>
      <w:r w:rsidRPr="00DA3766">
        <w:t>智能硬件相关产品中各类模块模组主要面向下游智能自助设备厂家销售，作为组件用于其智能自助设备产品的生产。上述智能自助设备生产完成后，由智能自助设备厂家向其下游智能自助设备运营商销售，而后由智能自助设备运营商用于商业化经营。一般情况下，标的公司不直接向上述智能自助设备厂家提供</w:t>
      </w:r>
      <w:r w:rsidRPr="00DA3766">
        <w:t>SaaS</w:t>
      </w:r>
      <w:r w:rsidRPr="00DA3766">
        <w:t>云平台相关服务，而是向智能自助设备运营商提供</w:t>
      </w:r>
      <w:r w:rsidRPr="00DA3766">
        <w:lastRenderedPageBreak/>
        <w:t>SaaS</w:t>
      </w:r>
      <w:r w:rsidRPr="00DA3766">
        <w:t>云平台相关服务。</w:t>
      </w:r>
    </w:p>
    <w:p w14:paraId="4F410517" w14:textId="1A1F79F4" w:rsidR="0077534C" w:rsidRPr="00DA3766" w:rsidRDefault="00CB5B1C" w:rsidP="00CB5B1C">
      <w:pPr>
        <w:pStyle w:val="005"/>
        <w:spacing w:before="120" w:after="120"/>
        <w:ind w:firstLine="480"/>
      </w:pPr>
      <w:r w:rsidRPr="00DA3766">
        <w:t>报告期内，标的公司</w:t>
      </w:r>
      <w:r w:rsidRPr="00DA3766">
        <w:t>IoT</w:t>
      </w:r>
      <w:r w:rsidRPr="00DA3766">
        <w:t>智能硬件相关产品中</w:t>
      </w:r>
      <w:r w:rsidR="00FC4DA5" w:rsidRPr="00DA3766">
        <w:t>智能设备</w:t>
      </w:r>
      <w:r w:rsidRPr="00DA3766">
        <w:t>主要面向下游智能自助设备运营商销售，并由其用于商业化经营。同时，标的公司还向上述智能自助设备运营商提供</w:t>
      </w:r>
      <w:r w:rsidRPr="00DA3766">
        <w:t>SaaS</w:t>
      </w:r>
      <w:r w:rsidRPr="00DA3766">
        <w:t>云平台相关服务。</w:t>
      </w:r>
    </w:p>
    <w:p w14:paraId="44C992DD" w14:textId="6C590BB8" w:rsidR="0077534C" w:rsidRPr="00DA3766" w:rsidRDefault="0077534C" w:rsidP="0077534C">
      <w:pPr>
        <w:pStyle w:val="003"/>
        <w:spacing w:before="120" w:after="120"/>
        <w:ind w:firstLine="482"/>
      </w:pPr>
      <w:r w:rsidRPr="00DA3766">
        <w:t>（二）同时向标的资产采购硬件及云平台服务的客户数量、收入规模及占比，主要客户情况及合作稳定性</w:t>
      </w:r>
    </w:p>
    <w:p w14:paraId="607785D6" w14:textId="2BB40E5D" w:rsidR="00B85474" w:rsidRPr="00DA3766" w:rsidRDefault="00CB5B1C" w:rsidP="00B85474">
      <w:pPr>
        <w:widowControl w:val="0"/>
        <w:spacing w:before="120" w:after="120"/>
        <w:ind w:firstLine="480"/>
        <w:jc w:val="both"/>
        <w:rPr>
          <w:rFonts w:ascii="Times New Roman" w:hAnsi="Times New Roman" w:cs="Times New Roman"/>
          <w:kern w:val="2"/>
          <w:szCs w:val="22"/>
        </w:rPr>
      </w:pPr>
      <w:bookmarkStart w:id="15" w:name="OLE_LINK95"/>
      <w:r w:rsidRPr="00DA3766">
        <w:rPr>
          <w:rFonts w:ascii="Times New Roman" w:hAnsi="Times New Roman" w:cs="Times New Roman"/>
          <w:kern w:val="2"/>
          <w:szCs w:val="22"/>
        </w:rPr>
        <w:t>报告期内，标的公司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智能硬件中</w:t>
      </w:r>
      <w:r w:rsidR="00FC4DA5" w:rsidRPr="00DA3766">
        <w:rPr>
          <w:rFonts w:ascii="Times New Roman" w:hAnsi="Times New Roman" w:cs="Times New Roman"/>
          <w:kern w:val="2"/>
          <w:szCs w:val="22"/>
        </w:rPr>
        <w:t>智能设备产品</w:t>
      </w:r>
      <w:r w:rsidRPr="00DA3766">
        <w:rPr>
          <w:rFonts w:ascii="Times New Roman" w:hAnsi="Times New Roman" w:cs="Times New Roman"/>
          <w:kern w:val="2"/>
          <w:szCs w:val="22"/>
        </w:rPr>
        <w:t>主要为场地自助设备和</w:t>
      </w:r>
      <w:r w:rsidR="00AF6DF1" w:rsidRPr="00DA3766">
        <w:rPr>
          <w:rFonts w:ascii="Times New Roman" w:hAnsi="Times New Roman" w:cs="Times New Roman"/>
          <w:kern w:val="2"/>
          <w:szCs w:val="22"/>
        </w:rPr>
        <w:t>四轮</w:t>
      </w:r>
      <w:r w:rsidRPr="00DA3766">
        <w:rPr>
          <w:rFonts w:ascii="Times New Roman" w:hAnsi="Times New Roman" w:cs="Times New Roman"/>
          <w:kern w:val="2"/>
          <w:szCs w:val="22"/>
        </w:rPr>
        <w:t>充电桩，采购场地自助设备产品的客户通常同时向标的公司采购相关</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云平台服务，各期相关客户数量、收入规模及占比情况如下：</w:t>
      </w:r>
    </w:p>
    <w:p w14:paraId="645643D9" w14:textId="77777777" w:rsidR="00B85474" w:rsidRPr="00DA3766" w:rsidRDefault="00B85474" w:rsidP="00B85474">
      <w:pPr>
        <w:keepNext/>
        <w:widowControl w:val="0"/>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t>单位：万元、个</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0"/>
        <w:gridCol w:w="1562"/>
        <w:gridCol w:w="1507"/>
        <w:gridCol w:w="1507"/>
      </w:tblGrid>
      <w:tr w:rsidR="00B85474" w:rsidRPr="00DA3766" w14:paraId="06B4D0E0" w14:textId="77777777" w:rsidTr="00DA3766">
        <w:trPr>
          <w:trHeight w:val="397"/>
          <w:jc w:val="center"/>
        </w:trPr>
        <w:tc>
          <w:tcPr>
            <w:tcW w:w="2307" w:type="pct"/>
            <w:tcMar>
              <w:top w:w="0" w:type="dxa"/>
              <w:left w:w="108" w:type="dxa"/>
              <w:bottom w:w="0" w:type="dxa"/>
              <w:right w:w="108" w:type="dxa"/>
            </w:tcMar>
            <w:vAlign w:val="center"/>
          </w:tcPr>
          <w:p w14:paraId="5C75C541"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项目</w:t>
            </w:r>
          </w:p>
        </w:tc>
        <w:tc>
          <w:tcPr>
            <w:tcW w:w="919" w:type="pct"/>
            <w:tcMar>
              <w:top w:w="0" w:type="dxa"/>
              <w:left w:w="108" w:type="dxa"/>
              <w:bottom w:w="0" w:type="dxa"/>
              <w:right w:w="108" w:type="dxa"/>
            </w:tcMar>
            <w:vAlign w:val="center"/>
          </w:tcPr>
          <w:p w14:paraId="2D1D3E42"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2025</w:t>
            </w:r>
            <w:r w:rsidRPr="00DA3766">
              <w:rPr>
                <w:rFonts w:ascii="Times New Roman" w:hAnsi="Times New Roman" w:cs="Times New Roman"/>
                <w:b/>
                <w:kern w:val="2"/>
                <w:sz w:val="21"/>
                <w:szCs w:val="21"/>
              </w:rPr>
              <w:t>年</w:t>
            </w:r>
            <w:r w:rsidRPr="00DA3766">
              <w:rPr>
                <w:rFonts w:ascii="Times New Roman" w:hAnsi="Times New Roman" w:cs="Times New Roman"/>
                <w:b/>
                <w:kern w:val="2"/>
                <w:sz w:val="21"/>
                <w:szCs w:val="21"/>
              </w:rPr>
              <w:t>1-6</w:t>
            </w:r>
            <w:r w:rsidRPr="00DA3766">
              <w:rPr>
                <w:rFonts w:ascii="Times New Roman" w:hAnsi="Times New Roman" w:cs="Times New Roman"/>
                <w:b/>
                <w:kern w:val="2"/>
                <w:sz w:val="21"/>
                <w:szCs w:val="21"/>
              </w:rPr>
              <w:t>月</w:t>
            </w:r>
          </w:p>
        </w:tc>
        <w:tc>
          <w:tcPr>
            <w:tcW w:w="887" w:type="pct"/>
            <w:tcMar>
              <w:top w:w="0" w:type="dxa"/>
              <w:left w:w="108" w:type="dxa"/>
              <w:bottom w:w="0" w:type="dxa"/>
              <w:right w:w="108" w:type="dxa"/>
            </w:tcMar>
            <w:vAlign w:val="center"/>
          </w:tcPr>
          <w:p w14:paraId="55EA362D"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2024</w:t>
            </w:r>
            <w:r w:rsidRPr="00DA3766">
              <w:rPr>
                <w:rFonts w:ascii="Times New Roman" w:hAnsi="Times New Roman" w:cs="Times New Roman"/>
                <w:b/>
                <w:kern w:val="2"/>
                <w:sz w:val="21"/>
                <w:szCs w:val="21"/>
              </w:rPr>
              <w:t>年度</w:t>
            </w:r>
          </w:p>
        </w:tc>
        <w:tc>
          <w:tcPr>
            <w:tcW w:w="887" w:type="pct"/>
            <w:tcMar>
              <w:top w:w="0" w:type="dxa"/>
              <w:left w:w="108" w:type="dxa"/>
              <w:bottom w:w="0" w:type="dxa"/>
              <w:right w:w="108" w:type="dxa"/>
            </w:tcMar>
            <w:vAlign w:val="center"/>
          </w:tcPr>
          <w:p w14:paraId="152D5223"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2023</w:t>
            </w:r>
            <w:r w:rsidRPr="00DA3766">
              <w:rPr>
                <w:rFonts w:ascii="Times New Roman" w:hAnsi="Times New Roman" w:cs="Times New Roman"/>
                <w:b/>
                <w:kern w:val="2"/>
                <w:sz w:val="21"/>
                <w:szCs w:val="21"/>
              </w:rPr>
              <w:t>年度</w:t>
            </w:r>
          </w:p>
        </w:tc>
      </w:tr>
      <w:tr w:rsidR="0056053C" w:rsidRPr="00DA3766" w14:paraId="35704C8C" w14:textId="77777777" w:rsidTr="0056053C">
        <w:trPr>
          <w:trHeight w:val="397"/>
          <w:jc w:val="center"/>
        </w:trPr>
        <w:tc>
          <w:tcPr>
            <w:tcW w:w="2307" w:type="pct"/>
            <w:tcMar>
              <w:top w:w="0" w:type="dxa"/>
              <w:left w:w="108" w:type="dxa"/>
              <w:bottom w:w="0" w:type="dxa"/>
              <w:right w:w="108" w:type="dxa"/>
            </w:tcMar>
            <w:vAlign w:val="center"/>
          </w:tcPr>
          <w:p w14:paraId="61BDD1C7" w14:textId="51BC1BDE"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bookmarkStart w:id="16" w:name="OLE_LINK32"/>
            <w:r w:rsidRPr="00DA3766">
              <w:rPr>
                <w:rFonts w:ascii="Times New Roman" w:hAnsi="Times New Roman" w:cs="Times New Roman"/>
                <w:color w:val="000000"/>
                <w:kern w:val="2"/>
                <w:sz w:val="21"/>
                <w:szCs w:val="21"/>
              </w:rPr>
              <w:t>同时向标的公司采购智能设备产品及相关</w:t>
            </w:r>
            <w:r w:rsidRPr="00DA3766">
              <w:rPr>
                <w:rFonts w:ascii="Times New Roman" w:hAnsi="Times New Roman" w:cs="Times New Roman"/>
                <w:color w:val="000000"/>
                <w:kern w:val="2"/>
                <w:sz w:val="21"/>
                <w:szCs w:val="21"/>
              </w:rPr>
              <w:t>SaaS</w:t>
            </w:r>
            <w:r w:rsidRPr="00DA3766">
              <w:rPr>
                <w:rFonts w:ascii="Times New Roman" w:hAnsi="Times New Roman" w:cs="Times New Roman"/>
                <w:color w:val="000000"/>
                <w:kern w:val="2"/>
                <w:sz w:val="21"/>
                <w:szCs w:val="21"/>
              </w:rPr>
              <w:t>云平台服务的客户数量</w:t>
            </w:r>
            <w:bookmarkEnd w:id="16"/>
          </w:p>
        </w:tc>
        <w:tc>
          <w:tcPr>
            <w:tcW w:w="919" w:type="pct"/>
            <w:tcMar>
              <w:top w:w="0" w:type="dxa"/>
              <w:left w:w="108" w:type="dxa"/>
              <w:bottom w:w="0" w:type="dxa"/>
              <w:right w:w="108" w:type="dxa"/>
            </w:tcMar>
            <w:vAlign w:val="center"/>
          </w:tcPr>
          <w:p w14:paraId="4A25A62B" w14:textId="1D9B268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2,179</w:t>
            </w:r>
          </w:p>
        </w:tc>
        <w:tc>
          <w:tcPr>
            <w:tcW w:w="887" w:type="pct"/>
            <w:tcMar>
              <w:top w:w="0" w:type="dxa"/>
              <w:left w:w="108" w:type="dxa"/>
              <w:bottom w:w="0" w:type="dxa"/>
              <w:right w:w="108" w:type="dxa"/>
            </w:tcMar>
            <w:vAlign w:val="center"/>
          </w:tcPr>
          <w:p w14:paraId="2164A886" w14:textId="4EE518A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3,299</w:t>
            </w:r>
          </w:p>
        </w:tc>
        <w:tc>
          <w:tcPr>
            <w:tcW w:w="887" w:type="pct"/>
            <w:tcMar>
              <w:top w:w="0" w:type="dxa"/>
              <w:left w:w="108" w:type="dxa"/>
              <w:bottom w:w="0" w:type="dxa"/>
              <w:right w:w="108" w:type="dxa"/>
            </w:tcMar>
            <w:vAlign w:val="center"/>
          </w:tcPr>
          <w:p w14:paraId="2DA1DB8C" w14:textId="5E48BBDD"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2,652</w:t>
            </w:r>
          </w:p>
        </w:tc>
      </w:tr>
      <w:tr w:rsidR="0056053C" w:rsidRPr="00DA3766" w14:paraId="32DAF3A1" w14:textId="77777777" w:rsidTr="0056053C">
        <w:trPr>
          <w:trHeight w:val="397"/>
          <w:jc w:val="center"/>
        </w:trPr>
        <w:tc>
          <w:tcPr>
            <w:tcW w:w="2307" w:type="pct"/>
            <w:tcMar>
              <w:top w:w="0" w:type="dxa"/>
              <w:left w:w="108" w:type="dxa"/>
              <w:bottom w:w="0" w:type="dxa"/>
              <w:right w:w="108" w:type="dxa"/>
            </w:tcMar>
            <w:vAlign w:val="center"/>
          </w:tcPr>
          <w:p w14:paraId="303563AA" w14:textId="038A7662"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同时向标的公司采购智能设备产品及相关</w:t>
            </w:r>
            <w:r w:rsidRPr="00DA3766">
              <w:rPr>
                <w:rFonts w:ascii="Times New Roman" w:hAnsi="Times New Roman" w:cs="Times New Roman"/>
                <w:color w:val="000000"/>
                <w:kern w:val="2"/>
                <w:sz w:val="21"/>
                <w:szCs w:val="21"/>
              </w:rPr>
              <w:t>SaaS</w:t>
            </w:r>
            <w:r w:rsidRPr="00DA3766">
              <w:rPr>
                <w:rFonts w:ascii="Times New Roman" w:hAnsi="Times New Roman" w:cs="Times New Roman"/>
                <w:color w:val="000000"/>
                <w:kern w:val="2"/>
                <w:sz w:val="21"/>
                <w:szCs w:val="21"/>
              </w:rPr>
              <w:t>云平台服务的收入金额</w:t>
            </w:r>
          </w:p>
        </w:tc>
        <w:tc>
          <w:tcPr>
            <w:tcW w:w="919" w:type="pct"/>
            <w:tcMar>
              <w:top w:w="0" w:type="dxa"/>
              <w:left w:w="108" w:type="dxa"/>
              <w:bottom w:w="0" w:type="dxa"/>
              <w:right w:w="108" w:type="dxa"/>
            </w:tcMar>
            <w:vAlign w:val="center"/>
          </w:tcPr>
          <w:p w14:paraId="0B3D2B35" w14:textId="5B861682"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5,499.62</w:t>
            </w:r>
          </w:p>
        </w:tc>
        <w:tc>
          <w:tcPr>
            <w:tcW w:w="887" w:type="pct"/>
            <w:tcMar>
              <w:top w:w="0" w:type="dxa"/>
              <w:left w:w="108" w:type="dxa"/>
              <w:bottom w:w="0" w:type="dxa"/>
              <w:right w:w="108" w:type="dxa"/>
            </w:tcMar>
            <w:vAlign w:val="center"/>
          </w:tcPr>
          <w:p w14:paraId="44AF3771" w14:textId="7EC1540C"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11,568.19</w:t>
            </w:r>
          </w:p>
        </w:tc>
        <w:tc>
          <w:tcPr>
            <w:tcW w:w="887" w:type="pct"/>
            <w:tcMar>
              <w:top w:w="0" w:type="dxa"/>
              <w:left w:w="108" w:type="dxa"/>
              <w:bottom w:w="0" w:type="dxa"/>
              <w:right w:w="108" w:type="dxa"/>
            </w:tcMar>
            <w:vAlign w:val="center"/>
          </w:tcPr>
          <w:p w14:paraId="10EEC3D1" w14:textId="54C08735"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9,040.79</w:t>
            </w:r>
          </w:p>
        </w:tc>
      </w:tr>
      <w:tr w:rsidR="0056053C" w:rsidRPr="00DA3766" w14:paraId="4CACA95B" w14:textId="77777777" w:rsidTr="0056053C">
        <w:trPr>
          <w:trHeight w:val="397"/>
          <w:jc w:val="center"/>
        </w:trPr>
        <w:tc>
          <w:tcPr>
            <w:tcW w:w="2307" w:type="pct"/>
            <w:tcMar>
              <w:top w:w="0" w:type="dxa"/>
              <w:left w:w="108" w:type="dxa"/>
              <w:bottom w:w="0" w:type="dxa"/>
              <w:right w:w="108" w:type="dxa"/>
            </w:tcMar>
            <w:vAlign w:val="center"/>
          </w:tcPr>
          <w:p w14:paraId="14C14500" w14:textId="77777777"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营业收入</w:t>
            </w:r>
          </w:p>
        </w:tc>
        <w:tc>
          <w:tcPr>
            <w:tcW w:w="919" w:type="pct"/>
            <w:tcMar>
              <w:top w:w="0" w:type="dxa"/>
              <w:left w:w="108" w:type="dxa"/>
              <w:bottom w:w="0" w:type="dxa"/>
              <w:right w:w="108" w:type="dxa"/>
            </w:tcMar>
            <w:vAlign w:val="center"/>
          </w:tcPr>
          <w:p w14:paraId="5580DED9" w14:textId="7AEA37A3"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24,799.86</w:t>
            </w:r>
          </w:p>
        </w:tc>
        <w:tc>
          <w:tcPr>
            <w:tcW w:w="887" w:type="pct"/>
            <w:tcMar>
              <w:top w:w="0" w:type="dxa"/>
              <w:left w:w="108" w:type="dxa"/>
              <w:bottom w:w="0" w:type="dxa"/>
              <w:right w:w="108" w:type="dxa"/>
            </w:tcMar>
            <w:vAlign w:val="center"/>
          </w:tcPr>
          <w:p w14:paraId="4BF22078" w14:textId="5443ADF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44,716.44</w:t>
            </w:r>
          </w:p>
        </w:tc>
        <w:tc>
          <w:tcPr>
            <w:tcW w:w="887" w:type="pct"/>
            <w:tcMar>
              <w:top w:w="0" w:type="dxa"/>
              <w:left w:w="108" w:type="dxa"/>
              <w:bottom w:w="0" w:type="dxa"/>
              <w:right w:w="108" w:type="dxa"/>
            </w:tcMar>
            <w:vAlign w:val="center"/>
          </w:tcPr>
          <w:p w14:paraId="22D47C2E" w14:textId="2B07C1EE"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38,501.66</w:t>
            </w:r>
          </w:p>
        </w:tc>
      </w:tr>
      <w:tr w:rsidR="001C5C3E" w:rsidRPr="00DA3766" w14:paraId="6DF33DFC" w14:textId="77777777" w:rsidTr="001C5C3E">
        <w:trPr>
          <w:trHeight w:val="397"/>
          <w:jc w:val="center"/>
        </w:trPr>
        <w:tc>
          <w:tcPr>
            <w:tcW w:w="2307" w:type="pct"/>
            <w:tcMar>
              <w:top w:w="0" w:type="dxa"/>
              <w:left w:w="108" w:type="dxa"/>
              <w:bottom w:w="0" w:type="dxa"/>
              <w:right w:w="108" w:type="dxa"/>
            </w:tcMar>
            <w:vAlign w:val="center"/>
          </w:tcPr>
          <w:p w14:paraId="16E9EE30" w14:textId="77777777" w:rsidR="001C5C3E" w:rsidRPr="00DA3766" w:rsidRDefault="001C5C3E" w:rsidP="001C5C3E">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占营业收入比例</w:t>
            </w:r>
          </w:p>
        </w:tc>
        <w:tc>
          <w:tcPr>
            <w:tcW w:w="919" w:type="pct"/>
            <w:tcMar>
              <w:top w:w="0" w:type="dxa"/>
              <w:left w:w="108" w:type="dxa"/>
              <w:bottom w:w="0" w:type="dxa"/>
              <w:right w:w="108" w:type="dxa"/>
            </w:tcMar>
            <w:vAlign w:val="center"/>
          </w:tcPr>
          <w:p w14:paraId="27637105" w14:textId="74D736D8"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22.18%</w:t>
            </w:r>
          </w:p>
        </w:tc>
        <w:tc>
          <w:tcPr>
            <w:tcW w:w="887" w:type="pct"/>
            <w:tcMar>
              <w:top w:w="0" w:type="dxa"/>
              <w:left w:w="108" w:type="dxa"/>
              <w:bottom w:w="0" w:type="dxa"/>
              <w:right w:w="108" w:type="dxa"/>
            </w:tcMar>
            <w:vAlign w:val="center"/>
          </w:tcPr>
          <w:p w14:paraId="2CF38E88" w14:textId="1D7C11A8"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25.87%</w:t>
            </w:r>
          </w:p>
        </w:tc>
        <w:tc>
          <w:tcPr>
            <w:tcW w:w="887" w:type="pct"/>
            <w:tcMar>
              <w:top w:w="0" w:type="dxa"/>
              <w:left w:w="108" w:type="dxa"/>
              <w:bottom w:w="0" w:type="dxa"/>
              <w:right w:w="108" w:type="dxa"/>
            </w:tcMar>
            <w:vAlign w:val="center"/>
          </w:tcPr>
          <w:p w14:paraId="16AFB659" w14:textId="06C272C3"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23.48%</w:t>
            </w:r>
          </w:p>
        </w:tc>
      </w:tr>
    </w:tbl>
    <w:p w14:paraId="2A0D2CCA" w14:textId="29FDB661" w:rsidR="00B8455C" w:rsidRPr="00DA3766" w:rsidRDefault="00CB5B1C" w:rsidP="00B85474">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rPr>
        <w:t>报告期内，标的公司与</w:t>
      </w:r>
      <w:r w:rsidR="00E616A7" w:rsidRPr="00DA3766">
        <w:rPr>
          <w:rFonts w:ascii="Times New Roman" w:hAnsi="Times New Roman" w:cs="Times New Roman"/>
        </w:rPr>
        <w:t>相关</w:t>
      </w:r>
      <w:r w:rsidRPr="00DA3766">
        <w:rPr>
          <w:rFonts w:ascii="Times New Roman" w:hAnsi="Times New Roman" w:cs="Times New Roman"/>
        </w:rPr>
        <w:t>主要客户</w:t>
      </w:r>
      <w:r w:rsidR="007562A5">
        <w:rPr>
          <w:rFonts w:ascii="Times New Roman" w:hAnsi="Times New Roman" w:cs="Times New Roman" w:hint="eastAsia"/>
        </w:rPr>
        <w:t>的</w:t>
      </w:r>
      <w:r w:rsidRPr="00DA3766">
        <w:rPr>
          <w:rFonts w:ascii="Times New Roman" w:hAnsi="Times New Roman" w:cs="Times New Roman"/>
        </w:rPr>
        <w:t>合作</w:t>
      </w:r>
      <w:r w:rsidR="007562A5">
        <w:rPr>
          <w:rFonts w:ascii="Times New Roman" w:hAnsi="Times New Roman" w:cs="Times New Roman" w:hint="eastAsia"/>
        </w:rPr>
        <w:t>关系</w:t>
      </w:r>
      <w:r w:rsidRPr="00DA3766">
        <w:rPr>
          <w:rFonts w:ascii="Times New Roman" w:hAnsi="Times New Roman" w:cs="Times New Roman"/>
        </w:rPr>
        <w:t>良好，具备一定的稳定性。</w:t>
      </w:r>
    </w:p>
    <w:bookmarkEnd w:id="15"/>
    <w:p w14:paraId="322A5DF9" w14:textId="0B2BAE82" w:rsidR="00BA7C59" w:rsidRPr="00DA3766" w:rsidRDefault="00BA7C59" w:rsidP="00A81CC2">
      <w:pPr>
        <w:pStyle w:val="002"/>
        <w:keepNext w:val="0"/>
        <w:spacing w:before="120" w:after="120"/>
        <w:ind w:firstLine="482"/>
      </w:pPr>
      <w:r w:rsidRPr="00DA3766">
        <w:t>二、标的资产</w:t>
      </w:r>
      <w:r w:rsidR="007A44DA" w:rsidRPr="00DA3766">
        <w:t>SaaS</w:t>
      </w:r>
      <w:r w:rsidRPr="00DA3766">
        <w:t>云平台业务中各类细分业务的具体运营模式及盈利模式，包括但不限于标的资产在产业链中所处的环节及角色功能、上下游情况、资金的权属及流转情况，</w:t>
      </w:r>
      <w:bookmarkStart w:id="17" w:name="OLE_LINK110"/>
      <w:r w:rsidRPr="00DA3766">
        <w:t>标的资产与客户的对账方式、频次、对差异的处理方式，服务费率标准、收入金额的确认及</w:t>
      </w:r>
      <w:bookmarkStart w:id="18" w:name="OLE_LINK23"/>
      <w:r w:rsidRPr="00DA3766">
        <w:t>结算方式、结算周期</w:t>
      </w:r>
      <w:bookmarkEnd w:id="18"/>
      <w:r w:rsidRPr="00DA3766">
        <w:t>等</w:t>
      </w:r>
      <w:bookmarkEnd w:id="17"/>
      <w:r w:rsidRPr="00DA3766">
        <w:t>及其与同行业可比公司的对比情况，并结合上述情况说明相关收入确认是否符合《企业会计准则》的有关规定</w:t>
      </w:r>
    </w:p>
    <w:p w14:paraId="28C84E40" w14:textId="1376BEAD" w:rsidR="00614C87" w:rsidRPr="00DA3766" w:rsidRDefault="00614C87" w:rsidP="004C2193">
      <w:pPr>
        <w:pStyle w:val="003"/>
        <w:keepNext w:val="0"/>
        <w:keepLines w:val="0"/>
        <w:spacing w:before="120" w:after="120"/>
        <w:ind w:firstLine="482"/>
      </w:pPr>
      <w:r w:rsidRPr="00DA3766">
        <w:t>（一）</w:t>
      </w:r>
      <w:r w:rsidR="000E7AE3" w:rsidRPr="00DA3766">
        <w:t>标的资产</w:t>
      </w:r>
      <w:bookmarkStart w:id="19" w:name="OLE_LINK86"/>
      <w:r w:rsidR="007A44DA" w:rsidRPr="00DA3766">
        <w:t>SaaS</w:t>
      </w:r>
      <w:r w:rsidR="000E7AE3" w:rsidRPr="00DA3766">
        <w:t>云平台业务中</w:t>
      </w:r>
      <w:bookmarkEnd w:id="19"/>
      <w:r w:rsidR="000E7AE3" w:rsidRPr="00DA3766">
        <w:t>各类细分业务的具体运营模式及盈利模式，包括但不限于标的资产在产业链中所处的环节及角色功能、上下游情况、资金的权属及流转情况，</w:t>
      </w:r>
      <w:bookmarkStart w:id="20" w:name="OLE_LINK87"/>
      <w:r w:rsidR="000E7AE3" w:rsidRPr="00DA3766">
        <w:t>标的资产与客户的对账方式、频次、对差异的处理方式</w:t>
      </w:r>
      <w:bookmarkEnd w:id="20"/>
      <w:r w:rsidR="000E7AE3" w:rsidRPr="00DA3766">
        <w:t>，服务费率标准、收入金额的确认及结算方式、结算周期等及其与同行业可比公司的对比情况</w:t>
      </w:r>
    </w:p>
    <w:p w14:paraId="348CE72E" w14:textId="77777777" w:rsidR="00015467" w:rsidRPr="00DA3766" w:rsidRDefault="00015467" w:rsidP="00015467">
      <w:pPr>
        <w:pStyle w:val="005"/>
        <w:spacing w:before="120" w:after="120"/>
        <w:ind w:firstLine="480"/>
      </w:pPr>
      <w:r w:rsidRPr="00DA3766">
        <w:t>标的公司</w:t>
      </w:r>
      <w:r w:rsidRPr="00DA3766">
        <w:t>SaaS</w:t>
      </w:r>
      <w:r w:rsidRPr="00DA3766">
        <w:t>云平台业务</w:t>
      </w:r>
      <w:bookmarkStart w:id="21" w:name="_Hlk213684179"/>
      <w:r w:rsidRPr="00DA3766">
        <w:t>根据面向客户群体的不同可细分为商家服务、会</w:t>
      </w:r>
      <w:r w:rsidRPr="00DA3766">
        <w:lastRenderedPageBreak/>
        <w:t>员服务和收单外包服务等</w:t>
      </w:r>
      <w:bookmarkEnd w:id="21"/>
      <w:r w:rsidRPr="00DA3766">
        <w:t>。</w:t>
      </w:r>
    </w:p>
    <w:p w14:paraId="1C8D94F2" w14:textId="77777777" w:rsidR="00015467" w:rsidRPr="00DA3766" w:rsidRDefault="00015467" w:rsidP="00015467">
      <w:pPr>
        <w:pStyle w:val="004"/>
        <w:spacing w:before="120" w:after="120"/>
        <w:ind w:firstLine="482"/>
      </w:pPr>
      <w:r w:rsidRPr="00DA3766">
        <w:t>1</w:t>
      </w:r>
      <w:r w:rsidRPr="00DA3766">
        <w:t>、</w:t>
      </w:r>
      <w:bookmarkStart w:id="22" w:name="_Hlk213684190"/>
      <w:r w:rsidRPr="00DA3766">
        <w:t>商家服务</w:t>
      </w:r>
      <w:bookmarkEnd w:id="22"/>
    </w:p>
    <w:p w14:paraId="2FCC9166" w14:textId="17972177" w:rsidR="00015467" w:rsidRPr="00DA3766" w:rsidRDefault="00015467" w:rsidP="00015467">
      <w:pPr>
        <w:pStyle w:val="005"/>
        <w:spacing w:before="120" w:after="120"/>
        <w:ind w:firstLine="480"/>
      </w:pPr>
      <w:bookmarkStart w:id="23" w:name="OLE_LINK88"/>
      <w:bookmarkStart w:id="24" w:name="_Hlk213690007"/>
      <w:bookmarkStart w:id="25" w:name="_Hlk213684203"/>
      <w:r w:rsidRPr="00DA3766">
        <w:t>标的公司</w:t>
      </w:r>
      <w:r w:rsidRPr="00DA3766">
        <w:t>SaaS</w:t>
      </w:r>
      <w:r w:rsidRPr="00DA3766">
        <w:t>云平台业务中商家服务细分业务的主要下游客户群体为</w:t>
      </w:r>
      <w:bookmarkEnd w:id="23"/>
      <w:r w:rsidRPr="00DA3766">
        <w:t>智能自助设备运营商。标的公司主要基于自身核心技术向其提供基础</w:t>
      </w:r>
      <w:r w:rsidRPr="00DA3766">
        <w:t>SaaS</w:t>
      </w:r>
      <w:r w:rsidRPr="00DA3766">
        <w:t>服务和</w:t>
      </w:r>
      <w:bookmarkStart w:id="26" w:name="OLE_LINK106"/>
      <w:r w:rsidRPr="00DA3766">
        <w:t>增值</w:t>
      </w:r>
      <w:r w:rsidRPr="00DA3766">
        <w:t>SaaS</w:t>
      </w:r>
      <w:r w:rsidRPr="00DA3766">
        <w:t>服务</w:t>
      </w:r>
      <w:bookmarkEnd w:id="26"/>
      <w:r w:rsidRPr="00DA3766">
        <w:t>，并根据实际提供服务的类型和用量收取服务费用。</w:t>
      </w:r>
      <w:bookmarkEnd w:id="24"/>
      <w:bookmarkEnd w:id="25"/>
      <w:r w:rsidRPr="00DA3766">
        <w:t>标的公司基础</w:t>
      </w:r>
      <w:r w:rsidRPr="00DA3766">
        <w:t>SaaS</w:t>
      </w:r>
      <w:r w:rsidRPr="00DA3766">
        <w:t>服务通过将各类自助设备终端全面接入</w:t>
      </w:r>
      <w:r w:rsidRPr="00DA3766">
        <w:t>SaaS</w:t>
      </w:r>
      <w:r w:rsidRPr="00DA3766">
        <w:t>云平台，统一设计和实现包括设备管理、场地管理、商品管理、经营统计和收银管理等在内的多项服务功能，从而赋能自助设备运营商实现</w:t>
      </w:r>
      <w:r w:rsidRPr="00DA3766">
        <w:rPr>
          <w:rFonts w:ascii="宋体" w:hAnsi="宋体"/>
        </w:rPr>
        <w:t>“</w:t>
      </w:r>
      <w:r w:rsidRPr="00DA3766">
        <w:t>一站式运营管理</w:t>
      </w:r>
      <w:r w:rsidRPr="00DA3766">
        <w:rPr>
          <w:rFonts w:ascii="宋体" w:hAnsi="宋体"/>
        </w:rPr>
        <w:t>”</w:t>
      </w:r>
      <w:r w:rsidRPr="00DA3766">
        <w:t>，帮助自助设备运营商实时了解设备状态和经营效果，进而显著提升运营管理效率。标的公司基础</w:t>
      </w:r>
      <w:r w:rsidRPr="00DA3766">
        <w:t>SaaS</w:t>
      </w:r>
      <w:r w:rsidRPr="00DA3766">
        <w:t>服务主要依据标的公司系统导出数据进行对账，一般为月度对账，通常以最终银行到账为准；在服务期内分期确认收入，通过第三方持牌支付机构渠道以银行转账方式结算，结算周期一般为</w:t>
      </w:r>
      <w:r w:rsidRPr="00DA3766">
        <w:t>T+1</w:t>
      </w:r>
      <w:r w:rsidRPr="00DA3766">
        <w:t>结算。标的公司增值</w:t>
      </w:r>
      <w:r w:rsidRPr="00DA3766">
        <w:t>SaaS</w:t>
      </w:r>
      <w:r w:rsidRPr="00DA3766">
        <w:t>服务基于对消费场景的深度洞察，结合人工智能等技术的综合应用，自主研发</w:t>
      </w:r>
      <w:r w:rsidRPr="00DA3766">
        <w:rPr>
          <w:rFonts w:ascii="宋体" w:hAnsi="宋体"/>
        </w:rPr>
        <w:t>“</w:t>
      </w:r>
      <w:r w:rsidRPr="00DA3766">
        <w:t>升单宝</w:t>
      </w:r>
      <w:r w:rsidRPr="00DA3766">
        <w:rPr>
          <w:rFonts w:ascii="宋体" w:hAnsi="宋体"/>
        </w:rPr>
        <w:t>”</w:t>
      </w:r>
      <w:r w:rsidRPr="00DA3766">
        <w:t>等智慧经营工具，帮助自助设备运营商实现</w:t>
      </w:r>
      <w:r w:rsidRPr="00DA3766">
        <w:rPr>
          <w:rFonts w:ascii="宋体" w:hAnsi="宋体"/>
        </w:rPr>
        <w:t>“</w:t>
      </w:r>
      <w:r w:rsidRPr="00DA3766">
        <w:t>一键式智慧经营</w:t>
      </w:r>
      <w:r w:rsidRPr="00DA3766">
        <w:rPr>
          <w:rFonts w:ascii="宋体" w:hAnsi="宋体"/>
        </w:rPr>
        <w:t>”</w:t>
      </w:r>
      <w:r w:rsidRPr="00DA3766">
        <w:t>，有效拓宽其收益来源。标的公司增值</w:t>
      </w:r>
      <w:r w:rsidRPr="00DA3766">
        <w:t>SaaS</w:t>
      </w:r>
      <w:r w:rsidRPr="00DA3766">
        <w:t>服务如升单宝主要依据标的公司系统导出数据与银行记录进行对账，一般为月度对账，通常以最终银行到账为准；按照合同约定，于服务完成时点确认收入，通过第三方持牌支付机构渠道以银行转账方式结算，结算周期一般为</w:t>
      </w:r>
      <w:r w:rsidRPr="00DA3766">
        <w:t>T+1</w:t>
      </w:r>
      <w:r w:rsidRPr="00DA3766">
        <w:t>结算。</w:t>
      </w:r>
    </w:p>
    <w:p w14:paraId="55F2B598" w14:textId="77777777" w:rsidR="00015467" w:rsidRPr="00DA3766" w:rsidRDefault="00015467" w:rsidP="00015467">
      <w:pPr>
        <w:pStyle w:val="004"/>
        <w:spacing w:before="120" w:after="120"/>
        <w:ind w:firstLine="482"/>
      </w:pPr>
      <w:r w:rsidRPr="00DA3766">
        <w:t>2</w:t>
      </w:r>
      <w:r w:rsidRPr="00DA3766">
        <w:t>、</w:t>
      </w:r>
      <w:bookmarkStart w:id="27" w:name="_Hlk213684211"/>
      <w:r w:rsidRPr="00DA3766">
        <w:t>会员服务</w:t>
      </w:r>
      <w:bookmarkEnd w:id="27"/>
    </w:p>
    <w:p w14:paraId="7745A90C" w14:textId="35C2DEEF" w:rsidR="00015467" w:rsidRPr="00DA3766" w:rsidRDefault="00015467" w:rsidP="00015467">
      <w:pPr>
        <w:pStyle w:val="005"/>
        <w:spacing w:before="120" w:after="120"/>
        <w:ind w:firstLine="480"/>
      </w:pPr>
      <w:r w:rsidRPr="00DA3766">
        <w:t>标的公司</w:t>
      </w:r>
      <w:r w:rsidRPr="00DA3766">
        <w:t>SaaS</w:t>
      </w:r>
      <w:r w:rsidRPr="00DA3766">
        <w:t>云平台业务中会员服务细分业务的主要下游客户群体为个人消费者。</w:t>
      </w:r>
      <w:bookmarkStart w:id="28" w:name="_Hlk213684217"/>
      <w:r w:rsidRPr="00DA3766">
        <w:t>标的公司主要基于具体终端自助设备，提供覆盖</w:t>
      </w:r>
      <w:bookmarkStart w:id="29" w:name="OLE_LINK89"/>
      <w:r w:rsidRPr="00DA3766">
        <w:t>智慧生活、智慧出行和智慧零售等多领域的</w:t>
      </w:r>
      <w:bookmarkEnd w:id="29"/>
      <w:r w:rsidRPr="00DA3766">
        <w:t>配套会员权益，为个人消费者提供丰富和优质的智能化生活服务体验</w:t>
      </w:r>
      <w:bookmarkEnd w:id="28"/>
      <w:r w:rsidRPr="00DA3766">
        <w:t>，并根据个人消费者客户自主选择的权益类型和数量收取服务费用。报告期内，标的公司会员服务主要包括</w:t>
      </w:r>
      <w:bookmarkStart w:id="30" w:name="OLE_LINK41"/>
      <w:r w:rsidRPr="00DA3766">
        <w:t>权益卡</w:t>
      </w:r>
      <w:bookmarkEnd w:id="30"/>
      <w:r w:rsidRPr="00DA3766">
        <w:t>等，个人消费者购买该等权益卡后，即可在相应范围内分享标的公司凭借规模优势等议价能力从智慧生活、智慧出行和智慧零售等多领域的实际服务商家处取得的服务优惠。标的公司会员服务如</w:t>
      </w:r>
      <w:r w:rsidR="00AF6DF1" w:rsidRPr="00DA3766">
        <w:t>权益</w:t>
      </w:r>
      <w:r w:rsidRPr="00DA3766">
        <w:t>卡主要依据标的公司系统导出数据与银行记录进行对账，一般为月度对账，通常以最终银行到账为准；</w:t>
      </w:r>
      <w:bookmarkStart w:id="31" w:name="OLE_LINK115"/>
      <w:r w:rsidRPr="00DA3766">
        <w:t>按照合同约定，于服务完成时点确认收入，</w:t>
      </w:r>
      <w:bookmarkEnd w:id="31"/>
      <w:r w:rsidRPr="00DA3766">
        <w:t>通过第三方持牌支付机构渠道以银行转账方式结算，结算周期一般为</w:t>
      </w:r>
      <w:r w:rsidRPr="00DA3766">
        <w:t>T+1</w:t>
      </w:r>
      <w:r w:rsidRPr="00DA3766">
        <w:t>结算。</w:t>
      </w:r>
    </w:p>
    <w:p w14:paraId="46733BE7" w14:textId="77777777" w:rsidR="00015467" w:rsidRPr="00DA3766" w:rsidRDefault="00015467" w:rsidP="00015467">
      <w:pPr>
        <w:pStyle w:val="004"/>
        <w:spacing w:before="120" w:after="120"/>
        <w:ind w:firstLine="482"/>
      </w:pPr>
      <w:r w:rsidRPr="00DA3766">
        <w:lastRenderedPageBreak/>
        <w:t>3</w:t>
      </w:r>
      <w:r w:rsidRPr="00DA3766">
        <w:t>、</w:t>
      </w:r>
      <w:bookmarkStart w:id="32" w:name="_Hlk213684229"/>
      <w:r w:rsidRPr="00DA3766">
        <w:t>收单外包服务</w:t>
      </w:r>
      <w:bookmarkEnd w:id="32"/>
    </w:p>
    <w:p w14:paraId="6E45BBB7" w14:textId="0FEF540A" w:rsidR="00015467" w:rsidRPr="00DA3766" w:rsidRDefault="00015467" w:rsidP="00015467">
      <w:pPr>
        <w:pStyle w:val="005"/>
        <w:spacing w:before="120" w:after="120"/>
        <w:ind w:firstLine="480"/>
      </w:pPr>
      <w:r w:rsidRPr="00DA3766">
        <w:t>标的公司</w:t>
      </w:r>
      <w:bookmarkStart w:id="33" w:name="OLE_LINK90"/>
      <w:r w:rsidRPr="00DA3766">
        <w:t>SaaS</w:t>
      </w:r>
      <w:r w:rsidRPr="00DA3766">
        <w:t>云平台业务</w:t>
      </w:r>
      <w:bookmarkEnd w:id="33"/>
      <w:r w:rsidRPr="00DA3766">
        <w:t>中</w:t>
      </w:r>
      <w:bookmarkStart w:id="34" w:name="OLE_LINK113"/>
      <w:r w:rsidRPr="00DA3766">
        <w:t>收单外包服务</w:t>
      </w:r>
      <w:bookmarkEnd w:id="34"/>
      <w:r w:rsidRPr="00DA3766">
        <w:t>细分业务的主要下游客户群体为</w:t>
      </w:r>
      <w:bookmarkStart w:id="35" w:name="OLE_LINK91"/>
      <w:r w:rsidRPr="00DA3766">
        <w:t>第三方持牌支付机构</w:t>
      </w:r>
      <w:bookmarkEnd w:id="35"/>
      <w:r w:rsidRPr="00DA3766">
        <w:t>。</w:t>
      </w:r>
      <w:bookmarkStart w:id="36" w:name="_Hlk213690019"/>
      <w:bookmarkStart w:id="37" w:name="_Hlk213684242"/>
      <w:r w:rsidRPr="00DA3766">
        <w:t>基于标的公司</w:t>
      </w:r>
      <w:r w:rsidRPr="00DA3766">
        <w:t>SaaS</w:t>
      </w:r>
      <w:r w:rsidRPr="00DA3766">
        <w:t>云平台业务已规模化服务于国内智能自助设备运营商，相关支付流水总规模较大，标的公司主要从事特约商户引荐、交易信息转接服务等经中国支付清算协会备案的收单外包服务</w:t>
      </w:r>
      <w:bookmarkEnd w:id="36"/>
      <w:bookmarkEnd w:id="37"/>
      <w:r w:rsidRPr="00DA3766">
        <w:t>，并向对应第三方持牌支付机构收取服务费用，合同约定的服务费率以合同约定为准。标的公司收单外包服务主要依据第三方持牌支付机构系统导出数据进行对账，一般为月度对账，通常以双方核对结果为准；按照合同约定，于服务完成时点确认收入，以银行转账方式结算，结算周期一般为次月结算上月款项。</w:t>
      </w:r>
    </w:p>
    <w:p w14:paraId="043F594A" w14:textId="77777777" w:rsidR="00015467" w:rsidRPr="00DA3766" w:rsidRDefault="00015467" w:rsidP="00015467">
      <w:pPr>
        <w:pStyle w:val="004"/>
        <w:spacing w:before="120" w:after="120"/>
        <w:ind w:firstLine="482"/>
      </w:pPr>
      <w:r w:rsidRPr="00DA3766">
        <w:t>4</w:t>
      </w:r>
      <w:r w:rsidRPr="00DA3766">
        <w:t>、与同行业可比公司的对比情况</w:t>
      </w:r>
    </w:p>
    <w:p w14:paraId="7C0A5FA4" w14:textId="6B77B59C" w:rsidR="00015467" w:rsidRPr="00DA3766" w:rsidRDefault="00015467" w:rsidP="00015467">
      <w:pPr>
        <w:pStyle w:val="005"/>
        <w:spacing w:before="120" w:after="120"/>
        <w:ind w:firstLine="480"/>
      </w:pPr>
      <w:r w:rsidRPr="00DA3766">
        <w:t>标的公司签订的</w:t>
      </w:r>
      <w:r w:rsidRPr="00DA3766">
        <w:t>SaaS</w:t>
      </w:r>
      <w:r w:rsidRPr="00DA3766">
        <w:t>云平台服务合同对服务内容、服务期间或服务次数、合同金额、收款条件等均有明确约定的，客户在标的公司履约的同时即取得并消耗标的公司履约所带来的经济利益，标的公司将其作为在某一时段内履行的履约义务，按照履约进度在合同约定的服务期内分期确认收入；其他</w:t>
      </w:r>
      <w:r w:rsidRPr="00DA3766">
        <w:t>SaaS</w:t>
      </w:r>
      <w:r w:rsidRPr="00DA3766">
        <w:t>云平台服务合同标的公司在相关服务已经提供，收到价款或取得收取款项的凭据时确认收入。标的公司上述收入确认方式与同行业可比上市公司不存在重大差异，同行业可比上市公司相关会计政策如下：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015467" w:rsidRPr="00DA3766" w14:paraId="0D25B441" w14:textId="77777777" w:rsidTr="000C4294">
        <w:trPr>
          <w:trHeight w:val="397"/>
          <w:tblHeader/>
          <w:jc w:val="center"/>
        </w:trPr>
        <w:tc>
          <w:tcPr>
            <w:tcW w:w="1416" w:type="dxa"/>
            <w:tcMar>
              <w:top w:w="0" w:type="dxa"/>
              <w:left w:w="108" w:type="dxa"/>
              <w:bottom w:w="0" w:type="dxa"/>
              <w:right w:w="108" w:type="dxa"/>
            </w:tcMar>
            <w:vAlign w:val="center"/>
          </w:tcPr>
          <w:p w14:paraId="3504216C" w14:textId="77777777" w:rsidR="00015467" w:rsidRPr="00DA3766" w:rsidRDefault="0001546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38" w:name="_Hlk218452920"/>
            <w:r w:rsidRPr="00DA3766">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14:paraId="7A82F609" w14:textId="77777777" w:rsidR="00015467" w:rsidRPr="00DA3766" w:rsidRDefault="0001546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相关会计政策主要内容</w:t>
            </w:r>
          </w:p>
        </w:tc>
      </w:tr>
      <w:tr w:rsidR="00015467" w:rsidRPr="00DA3766" w14:paraId="6629E064" w14:textId="77777777" w:rsidTr="00DA3766">
        <w:trPr>
          <w:trHeight w:val="397"/>
          <w:jc w:val="center"/>
        </w:trPr>
        <w:tc>
          <w:tcPr>
            <w:tcW w:w="1416" w:type="dxa"/>
            <w:tcMar>
              <w:top w:w="0" w:type="dxa"/>
              <w:left w:w="108" w:type="dxa"/>
              <w:bottom w:w="0" w:type="dxa"/>
              <w:right w:w="108" w:type="dxa"/>
            </w:tcMar>
            <w:vAlign w:val="center"/>
          </w:tcPr>
          <w:p w14:paraId="7A80D430"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广联达</w:t>
            </w:r>
          </w:p>
        </w:tc>
        <w:tc>
          <w:tcPr>
            <w:tcW w:w="7175" w:type="dxa"/>
            <w:tcMar>
              <w:top w:w="0" w:type="dxa"/>
              <w:left w:w="108" w:type="dxa"/>
              <w:bottom w:w="0" w:type="dxa"/>
              <w:right w:w="108" w:type="dxa"/>
            </w:tcMar>
            <w:vAlign w:val="center"/>
          </w:tcPr>
          <w:p w14:paraId="3B592694"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公司将应用软件统一在线部署，客户根据实际需求定购所需的应用软件服务，按订购的服务和时间支付费用，并获得相关服务。</w:t>
            </w:r>
            <w:r w:rsidRPr="00DA3766">
              <w:rPr>
                <w:rFonts w:ascii="Times New Roman" w:hAnsi="Times New Roman" w:cs="Times New Roman"/>
                <w:sz w:val="21"/>
                <w:szCs w:val="21"/>
              </w:rPr>
              <w:t xml:space="preserve">SaaS </w:t>
            </w:r>
            <w:r w:rsidRPr="00DA3766">
              <w:rPr>
                <w:rFonts w:ascii="Times New Roman" w:hAnsi="Times New Roman" w:cs="Times New Roman"/>
                <w:sz w:val="21"/>
                <w:szCs w:val="21"/>
              </w:rPr>
              <w:t>应用软件的价格通常为</w:t>
            </w:r>
            <w:r w:rsidRPr="00DA3766">
              <w:rPr>
                <w:rFonts w:cs="Times New Roman"/>
                <w:sz w:val="21"/>
                <w:szCs w:val="21"/>
              </w:rPr>
              <w:t>“</w:t>
            </w:r>
            <w:r w:rsidRPr="00DA3766">
              <w:rPr>
                <w:rFonts w:ascii="Times New Roman" w:hAnsi="Times New Roman" w:cs="Times New Roman"/>
                <w:sz w:val="21"/>
                <w:szCs w:val="21"/>
              </w:rPr>
              <w:t>全包</w:t>
            </w:r>
            <w:r w:rsidRPr="00DA3766">
              <w:rPr>
                <w:rFonts w:cs="Times New Roman"/>
                <w:sz w:val="21"/>
                <w:szCs w:val="21"/>
              </w:rPr>
              <w:t>”</w:t>
            </w:r>
            <w:r w:rsidRPr="00DA3766">
              <w:rPr>
                <w:rFonts w:ascii="Times New Roman" w:hAnsi="Times New Roman" w:cs="Times New Roman"/>
                <w:sz w:val="21"/>
                <w:szCs w:val="21"/>
              </w:rPr>
              <w:t>费用，包括了通常的应用软件许可证费、软件维护费以及技术支持费，将其统一为每个用户的年度</w:t>
            </w:r>
            <w:r w:rsidRPr="00DA3766">
              <w:rPr>
                <w:rFonts w:ascii="Times New Roman" w:hAnsi="Times New Roman" w:cs="Times New Roman"/>
                <w:sz w:val="21"/>
                <w:szCs w:val="21"/>
              </w:rPr>
              <w:t>/</w:t>
            </w:r>
            <w:r w:rsidRPr="00DA3766">
              <w:rPr>
                <w:rFonts w:ascii="Times New Roman" w:hAnsi="Times New Roman" w:cs="Times New Roman"/>
                <w:sz w:val="21"/>
                <w:szCs w:val="21"/>
              </w:rPr>
              <w:t>月度租用费，针对该类业务，公司按照合同约定期间平均分摊确认收入。</w:t>
            </w:r>
          </w:p>
        </w:tc>
      </w:tr>
      <w:tr w:rsidR="00015467" w:rsidRPr="00DA3766" w14:paraId="318D9CE7" w14:textId="77777777" w:rsidTr="00DA3766">
        <w:trPr>
          <w:trHeight w:val="397"/>
          <w:jc w:val="center"/>
        </w:trPr>
        <w:tc>
          <w:tcPr>
            <w:tcW w:w="1416" w:type="dxa"/>
            <w:tcMar>
              <w:top w:w="0" w:type="dxa"/>
              <w:left w:w="108" w:type="dxa"/>
              <w:bottom w:w="0" w:type="dxa"/>
              <w:right w:w="108" w:type="dxa"/>
            </w:tcMar>
            <w:vAlign w:val="center"/>
          </w:tcPr>
          <w:p w14:paraId="6F925A5B"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7175" w:type="dxa"/>
            <w:tcMar>
              <w:top w:w="0" w:type="dxa"/>
              <w:left w:w="108" w:type="dxa"/>
              <w:bottom w:w="0" w:type="dxa"/>
              <w:right w:w="108" w:type="dxa"/>
            </w:tcMar>
            <w:vAlign w:val="center"/>
          </w:tcPr>
          <w:p w14:paraId="5CA142D4"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公司提供的</w:t>
            </w:r>
            <w:r w:rsidRPr="00DA3766">
              <w:rPr>
                <w:rFonts w:ascii="Times New Roman" w:hAnsi="Times New Roman" w:cs="Times New Roman"/>
                <w:sz w:val="21"/>
                <w:szCs w:val="21"/>
              </w:rPr>
              <w:t>SaaS</w:t>
            </w:r>
            <w:r w:rsidRPr="00DA3766">
              <w:rPr>
                <w:rFonts w:ascii="Times New Roman" w:hAnsi="Times New Roman" w:cs="Times New Roman"/>
                <w:sz w:val="21"/>
                <w:szCs w:val="21"/>
              </w:rPr>
              <w:t>服务主要基于云计算平台直接为客户提供系统运维与技术支持服务，公司在提供服务的期间内分期确认收入。</w:t>
            </w:r>
          </w:p>
        </w:tc>
      </w:tr>
      <w:tr w:rsidR="00015467" w:rsidRPr="00DA3766" w14:paraId="043BA46C" w14:textId="77777777" w:rsidTr="00DA3766">
        <w:trPr>
          <w:trHeight w:val="397"/>
          <w:jc w:val="center"/>
        </w:trPr>
        <w:tc>
          <w:tcPr>
            <w:tcW w:w="1416" w:type="dxa"/>
            <w:tcMar>
              <w:top w:w="0" w:type="dxa"/>
              <w:left w:w="108" w:type="dxa"/>
              <w:bottom w:w="0" w:type="dxa"/>
              <w:right w:w="108" w:type="dxa"/>
            </w:tcMar>
            <w:vAlign w:val="center"/>
          </w:tcPr>
          <w:p w14:paraId="20C91440"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7175" w:type="dxa"/>
            <w:tcMar>
              <w:top w:w="0" w:type="dxa"/>
              <w:left w:w="108" w:type="dxa"/>
              <w:bottom w:w="0" w:type="dxa"/>
              <w:right w:w="108" w:type="dxa"/>
            </w:tcMar>
            <w:vAlign w:val="center"/>
          </w:tcPr>
          <w:p w14:paraId="5D1A95EB"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公司销售折扣软件、快递打单软件和直播软件属于在某一时段履行的履约义务，各客户在商家平台按月度、季度、半年度和年度等时段购买公司软件，公司根据收到的商家平台账单按照软件服务期分期确认收入。</w:t>
            </w:r>
          </w:p>
          <w:p w14:paraId="5FF63AD3"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公司提供技术服务属于在某一时点履行的履约义务，公司在提供完技术服务后一次性确认收入。</w:t>
            </w:r>
          </w:p>
        </w:tc>
      </w:tr>
    </w:tbl>
    <w:bookmarkEnd w:id="38"/>
    <w:p w14:paraId="5FFDED58" w14:textId="38A59D37" w:rsidR="00614C87" w:rsidRPr="00DA3766" w:rsidRDefault="00614C87" w:rsidP="00614C87">
      <w:pPr>
        <w:pStyle w:val="003"/>
        <w:spacing w:before="120" w:after="120"/>
        <w:ind w:firstLine="482"/>
      </w:pPr>
      <w:r w:rsidRPr="00DA3766">
        <w:t>（二）</w:t>
      </w:r>
      <w:r w:rsidR="000E7AE3" w:rsidRPr="00DA3766">
        <w:t>结合上述情况说明相关收入确认是否符合《企业会计准则》的有关规定</w:t>
      </w:r>
    </w:p>
    <w:p w14:paraId="1317B3DA" w14:textId="665CB454" w:rsidR="00D257F5" w:rsidRPr="00DA3766" w:rsidRDefault="005D54C9" w:rsidP="007E30A6">
      <w:pPr>
        <w:pStyle w:val="005"/>
        <w:spacing w:before="120" w:after="120"/>
        <w:ind w:firstLine="480"/>
      </w:pPr>
      <w:r w:rsidRPr="00DA3766">
        <w:t>综上，</w:t>
      </w:r>
      <w:r w:rsidR="00D257F5" w:rsidRPr="00DA3766">
        <w:t>标的公司上述收入确认方式与同行业公司可比业务不存在重大差异，</w:t>
      </w:r>
      <w:r w:rsidR="00D257F5" w:rsidRPr="00DA3766">
        <w:lastRenderedPageBreak/>
        <w:t>符合</w:t>
      </w:r>
      <w:r w:rsidR="002216F6" w:rsidRPr="002216F6">
        <w:t>《企业会计准则》的有关规定</w:t>
      </w:r>
      <w:r w:rsidR="00D257F5" w:rsidRPr="00DA3766">
        <w:t>。</w:t>
      </w:r>
    </w:p>
    <w:p w14:paraId="68B2FCE3" w14:textId="4264118B" w:rsidR="000E7AE3" w:rsidRPr="00DA3766" w:rsidRDefault="000E7AE3" w:rsidP="000E7AE3">
      <w:pPr>
        <w:pStyle w:val="002"/>
        <w:spacing w:before="120" w:after="120"/>
        <w:ind w:firstLine="482"/>
      </w:pPr>
      <w:r w:rsidRPr="00DA3766">
        <w:t>三、</w:t>
      </w:r>
      <w:r w:rsidRPr="00DA3766">
        <w:t>2024</w:t>
      </w:r>
      <w:r w:rsidRPr="00DA3766">
        <w:t>年</w:t>
      </w:r>
      <w:r w:rsidR="007A44DA" w:rsidRPr="00DA3766">
        <w:t>SaaS</w:t>
      </w:r>
      <w:r w:rsidRPr="00DA3766">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Pr="00DA3766">
        <w:t>云平台各类细分业务收入的变动原因及合理性，与同行业可比公司变动趋势是否一致</w:t>
      </w:r>
    </w:p>
    <w:p w14:paraId="359C77DE" w14:textId="278A356E" w:rsidR="000E7AE3" w:rsidRPr="00DA3766" w:rsidRDefault="000E7AE3" w:rsidP="000E7AE3">
      <w:pPr>
        <w:pStyle w:val="003"/>
        <w:spacing w:before="120" w:after="120"/>
        <w:ind w:firstLine="482"/>
      </w:pPr>
      <w:r w:rsidRPr="00DA3766">
        <w:t>（一）</w:t>
      </w:r>
      <w:r w:rsidR="00AB3394" w:rsidRPr="00DA3766">
        <w:t>2024</w:t>
      </w:r>
      <w:r w:rsidR="00AB3394" w:rsidRPr="00DA3766">
        <w:t>年</w:t>
      </w:r>
      <w:r w:rsidR="007A44DA" w:rsidRPr="00DA3766">
        <w:t>SaaS</w:t>
      </w:r>
      <w:r w:rsidR="00AB3394" w:rsidRPr="00DA3766">
        <w:t>云平台业务收入同比增长但云服务、通信服务采购金额同比下降的原因及合理性</w:t>
      </w:r>
    </w:p>
    <w:p w14:paraId="22D14843" w14:textId="3B350578" w:rsidR="008A6ABB" w:rsidRPr="00DA3766" w:rsidRDefault="007002A3" w:rsidP="007E30A6">
      <w:pPr>
        <w:pStyle w:val="005"/>
        <w:spacing w:before="120" w:after="120"/>
        <w:ind w:firstLine="480"/>
      </w:pPr>
      <w:r w:rsidRPr="00DA3766">
        <w:t>2023</w:t>
      </w:r>
      <w:r w:rsidRPr="00DA3766">
        <w:t>年度，标的公司</w:t>
      </w:r>
      <w:r w:rsidRPr="00DA3766">
        <w:t>SaaS</w:t>
      </w:r>
      <w:r w:rsidRPr="00DA3766">
        <w:t>云平台业务收入</w:t>
      </w:r>
      <w:r w:rsidRPr="00DA3766">
        <w:t>17,639.27</w:t>
      </w:r>
      <w:r w:rsidRPr="00DA3766">
        <w:t>万元，云服务和通信服务采购合计</w:t>
      </w:r>
      <w:r w:rsidRPr="00DA3766">
        <w:t>2,737.26</w:t>
      </w:r>
      <w:r w:rsidRPr="00DA3766">
        <w:t>万元。</w:t>
      </w:r>
      <w:r w:rsidRPr="00DA3766">
        <w:t>2024</w:t>
      </w:r>
      <w:r w:rsidRPr="00DA3766">
        <w:t>年度，</w:t>
      </w:r>
      <w:bookmarkStart w:id="39" w:name="OLE_LINK93"/>
      <w:r w:rsidRPr="00DA3766">
        <w:t>标的公司</w:t>
      </w:r>
      <w:r w:rsidRPr="00DA3766">
        <w:t>SaaS</w:t>
      </w:r>
      <w:r w:rsidRPr="00DA3766">
        <w:t>云平台业务收入</w:t>
      </w:r>
      <w:bookmarkEnd w:id="39"/>
      <w:r w:rsidRPr="00DA3766">
        <w:t>18,571.86</w:t>
      </w:r>
      <w:r w:rsidRPr="00DA3766">
        <w:t>万元，较</w:t>
      </w:r>
      <w:r w:rsidRPr="00DA3766">
        <w:t>2023</w:t>
      </w:r>
      <w:r w:rsidRPr="00DA3766">
        <w:t>年增长</w:t>
      </w:r>
      <w:r w:rsidRPr="00DA3766">
        <w:t>5.29%</w:t>
      </w:r>
      <w:r w:rsidRPr="00DA3766">
        <w:t>；云服务和通信服务采购合计</w:t>
      </w:r>
      <w:r w:rsidRPr="00DA3766">
        <w:t>1,955.41</w:t>
      </w:r>
      <w:r w:rsidRPr="00DA3766">
        <w:t>万元，较</w:t>
      </w:r>
      <w:r w:rsidRPr="00DA3766">
        <w:t>2023</w:t>
      </w:r>
      <w:r w:rsidRPr="00DA3766">
        <w:t>年下降</w:t>
      </w:r>
      <w:r w:rsidRPr="00DA3766">
        <w:t>28.56%</w:t>
      </w:r>
      <w:r w:rsidRPr="00DA3766">
        <w:t>，主要系标的公司于</w:t>
      </w:r>
      <w:r w:rsidRPr="00DA3766">
        <w:t>2023</w:t>
      </w:r>
      <w:r w:rsidRPr="00DA3766">
        <w:t>年批量化采购储备了云服务和通信服务资源，导致采购金额相对较高。</w:t>
      </w:r>
    </w:p>
    <w:p w14:paraId="361A7854" w14:textId="46E8C6BD" w:rsidR="000E7AE3" w:rsidRPr="00DA3766" w:rsidRDefault="000E7AE3" w:rsidP="000E7AE3">
      <w:pPr>
        <w:pStyle w:val="003"/>
        <w:spacing w:before="120" w:after="120"/>
        <w:ind w:firstLine="482"/>
      </w:pPr>
      <w:r w:rsidRPr="00DA3766">
        <w:t>（二）</w:t>
      </w:r>
      <w:r w:rsidR="00AB3394" w:rsidRPr="00DA3766">
        <w:t>结合各细分行业发展情况、标的资产</w:t>
      </w:r>
      <w:bookmarkStart w:id="40" w:name="OLE_LINK52"/>
      <w:r w:rsidR="00AB3394" w:rsidRPr="00DA3766">
        <w:t>平台接入终端设备数量</w:t>
      </w:r>
      <w:bookmarkEnd w:id="40"/>
      <w:r w:rsidR="00AB3394" w:rsidRPr="00DA3766">
        <w:t>、服务商户数量、会员数量、支付用户数量、支付流水规模、服务费率、单用户贡献等核心运营指标的具体情况及其变动原因，相关指标与同行业可比公司的对比情况及差异原因等，说明报告期内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00AB3394" w:rsidRPr="00DA3766">
        <w:t>云平台各类细分业务收入的变动原因及合理性，与同行业可比公司变动趋势是否一致</w:t>
      </w:r>
    </w:p>
    <w:p w14:paraId="30E662B7" w14:textId="77777777" w:rsidR="007002A3" w:rsidRPr="00DA3766" w:rsidRDefault="007002A3" w:rsidP="007002A3">
      <w:pPr>
        <w:pStyle w:val="004"/>
        <w:spacing w:before="120" w:after="120"/>
        <w:ind w:firstLine="482"/>
      </w:pPr>
      <w:r w:rsidRPr="00DA3766">
        <w:t>1</w:t>
      </w:r>
      <w:r w:rsidRPr="00DA3766">
        <w:t>、</w:t>
      </w:r>
      <w:r w:rsidRPr="00DA3766">
        <w:rPr>
          <w:szCs w:val="24"/>
        </w:rPr>
        <w:t>自助设备物联化现状及未来发展趋势</w:t>
      </w:r>
    </w:p>
    <w:p w14:paraId="1165E0B3" w14:textId="77777777" w:rsidR="007002A3" w:rsidRPr="00DA3766" w:rsidRDefault="007002A3" w:rsidP="007002A3">
      <w:pPr>
        <w:pStyle w:val="005"/>
        <w:spacing w:before="120" w:after="120"/>
        <w:ind w:firstLine="480"/>
      </w:pPr>
      <w:bookmarkStart w:id="41" w:name="_Hlk218521961"/>
      <w:r w:rsidRPr="00DA3766">
        <w:t>标的公司是一家智能自助设备数字化服务提供商，主要业务系提供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一体化解决方案，致力于实现自助设备产业的数字化升级。截至报告期末，标的公司已形成相对完善的智能自助设备业务布局，业务覆盖数字经济产业链中的智慧生活、智慧出行、智慧零售三大终端应用领域。</w:t>
      </w:r>
    </w:p>
    <w:p w14:paraId="0C69DAD1" w14:textId="77777777" w:rsidR="007002A3" w:rsidRPr="00DA3766" w:rsidRDefault="007002A3" w:rsidP="007002A3">
      <w:pPr>
        <w:pStyle w:val="005"/>
        <w:spacing w:before="120" w:after="120"/>
        <w:ind w:firstLine="480"/>
      </w:pPr>
      <w:r w:rsidRPr="00DA3766">
        <w:t>2024</w:t>
      </w:r>
      <w:r w:rsidRPr="00DA3766">
        <w:t>年</w:t>
      </w:r>
      <w:r w:rsidRPr="00DA3766">
        <w:t>4</w:t>
      </w:r>
      <w:r w:rsidRPr="00DA3766">
        <w:t>月，商务部制定了《数字商务三年行动计划（</w:t>
      </w:r>
      <w:r w:rsidRPr="00DA3766">
        <w:t>2024-2026</w:t>
      </w:r>
      <w:r w:rsidRPr="00DA3766">
        <w:t>年）》，提出加快无人零售、即时零售等新业态新模式发展，打造数实融合消费新场景。</w:t>
      </w:r>
      <w:r w:rsidRPr="00DA3766">
        <w:t>2024</w:t>
      </w:r>
      <w:r w:rsidRPr="00DA3766">
        <w:t>年</w:t>
      </w:r>
      <w:r w:rsidRPr="00DA3766">
        <w:t>5</w:t>
      </w:r>
      <w:r w:rsidRPr="00DA3766">
        <w:t>月，国家发展改革委、国家数据局、财政部、自然资源部联合发布《关于深化智慧城市发展推进城市全域数字化转型的指导意见》，提出</w:t>
      </w:r>
      <w:r w:rsidRPr="00DA3766">
        <w:rPr>
          <w:rFonts w:ascii="宋体" w:hAnsi="宋体"/>
        </w:rPr>
        <w:t>“</w:t>
      </w:r>
      <w:r w:rsidRPr="00DA3766">
        <w:t>整体性重塑</w:t>
      </w:r>
      <w:r w:rsidRPr="00DA3766">
        <w:lastRenderedPageBreak/>
        <w:t>智慧城市技术架构、系统性变革城市管理流程、一体化推动产城深度融合，全面提升城市全域数字化转型的整体性、系统性、协同性</w:t>
      </w:r>
      <w:r w:rsidRPr="00DA3766">
        <w:rPr>
          <w:rFonts w:ascii="宋体" w:hAnsi="宋体"/>
        </w:rPr>
        <w:t>”</w:t>
      </w:r>
      <w:r w:rsidRPr="00DA3766">
        <w:t>的总体发展要求。</w:t>
      </w:r>
      <w:r w:rsidRPr="00DA3766">
        <w:t>2024</w:t>
      </w:r>
      <w:r w:rsidRPr="00DA3766">
        <w:t>年</w:t>
      </w:r>
      <w:r w:rsidRPr="00DA3766">
        <w:t>8</w:t>
      </w:r>
      <w:r w:rsidRPr="00DA3766">
        <w:t>月，工信部发布《关于推进移动物联网</w:t>
      </w:r>
      <w:r w:rsidRPr="00DA3766">
        <w:rPr>
          <w:rFonts w:ascii="宋体" w:hAnsi="宋体"/>
        </w:rPr>
        <w:t>“</w:t>
      </w:r>
      <w:r w:rsidRPr="00DA3766">
        <w:t>万物智联</w:t>
      </w:r>
      <w:r w:rsidRPr="00DA3766">
        <w:rPr>
          <w:rFonts w:ascii="宋体" w:hAnsi="宋体"/>
        </w:rPr>
        <w:t>”</w:t>
      </w:r>
      <w:r w:rsidRPr="00DA3766">
        <w:t>发展的通知》，提出进一步深化移动物联网与人工智能、大数据等技术融合，提升移动物联网行业供给水平。</w:t>
      </w:r>
      <w:r w:rsidRPr="00DA3766">
        <w:t>2024</w:t>
      </w:r>
      <w:r w:rsidRPr="00DA3766">
        <w:t>年</w:t>
      </w:r>
      <w:r w:rsidRPr="00DA3766">
        <w:t>11</w:t>
      </w:r>
      <w:r w:rsidRPr="00DA3766">
        <w:t>月，商务部、国家发展改革委、证监会等</w:t>
      </w:r>
      <w:r w:rsidRPr="00DA3766">
        <w:t>7</w:t>
      </w:r>
      <w:r w:rsidRPr="00DA3766">
        <w:t>部门制定了《零售业创新提升工程实施方案》，提出推动实体零售与数字经济深度融合，形成新质生产力。</w:t>
      </w:r>
    </w:p>
    <w:p w14:paraId="53FC48B6" w14:textId="77777777" w:rsidR="007002A3" w:rsidRPr="00DA3766" w:rsidRDefault="007002A3" w:rsidP="007002A3">
      <w:pPr>
        <w:pStyle w:val="005"/>
        <w:spacing w:before="120" w:after="120"/>
        <w:ind w:firstLine="480"/>
      </w:pPr>
      <w:r w:rsidRPr="00DA3766">
        <w:t>根据</w:t>
      </w:r>
      <w:r w:rsidRPr="00DA3766">
        <w:t>IDC</w:t>
      </w:r>
      <w:r w:rsidRPr="00DA3766">
        <w:t>数据，</w:t>
      </w:r>
      <w:r w:rsidRPr="00DA3766">
        <w:t xml:space="preserve"> 2024</w:t>
      </w:r>
      <w:r w:rsidRPr="00DA3766">
        <w:t>年中国物联网市场规模达</w:t>
      </w:r>
      <w:r w:rsidRPr="00DA3766">
        <w:t>1,982.50</w:t>
      </w:r>
      <w:r w:rsidRPr="00DA3766">
        <w:t>亿美元，同比增长</w:t>
      </w:r>
      <w:r w:rsidRPr="00DA3766">
        <w:t>13.20%</w:t>
      </w:r>
      <w:r w:rsidRPr="00DA3766">
        <w:t>，预计</w:t>
      </w:r>
      <w:r w:rsidRPr="00DA3766">
        <w:t>2028</w:t>
      </w:r>
      <w:r w:rsidRPr="00DA3766">
        <w:t>年将增至</w:t>
      </w:r>
      <w:r w:rsidRPr="00DA3766">
        <w:t>3,264.70</w:t>
      </w:r>
      <w:r w:rsidRPr="00DA3766">
        <w:t>亿美元，</w:t>
      </w:r>
      <w:r w:rsidRPr="00DA3766">
        <w:t>5</w:t>
      </w:r>
      <w:r w:rsidRPr="00DA3766">
        <w:t>年年复合增长率达</w:t>
      </w:r>
      <w:r w:rsidRPr="00DA3766">
        <w:t>13.30%</w:t>
      </w:r>
      <w:r w:rsidRPr="00DA3766">
        <w:t>。</w:t>
      </w:r>
    </w:p>
    <w:p w14:paraId="107E3E38" w14:textId="77777777" w:rsidR="007002A3" w:rsidRPr="00DA3766" w:rsidRDefault="007002A3" w:rsidP="007002A3">
      <w:pPr>
        <w:pStyle w:val="004"/>
        <w:spacing w:before="120" w:after="120"/>
        <w:ind w:firstLine="482"/>
      </w:pPr>
      <w:bookmarkStart w:id="42" w:name="OLE_LINK97"/>
      <w:bookmarkEnd w:id="41"/>
      <w:r w:rsidRPr="00DA3766">
        <w:t>2</w:t>
      </w:r>
      <w:r w:rsidRPr="00DA3766">
        <w:t>、标的公司</w:t>
      </w:r>
      <w:r w:rsidRPr="00DA3766">
        <w:t>SaaS</w:t>
      </w:r>
      <w:r w:rsidRPr="00DA3766">
        <w:t>云平台业务运营指标情况</w:t>
      </w:r>
    </w:p>
    <w:bookmarkEnd w:id="42"/>
    <w:p w14:paraId="3E571E82" w14:textId="77777777" w:rsidR="007002A3" w:rsidRPr="00DA3766" w:rsidRDefault="007002A3" w:rsidP="007002A3">
      <w:pPr>
        <w:pStyle w:val="005"/>
        <w:spacing w:before="120" w:after="120"/>
        <w:ind w:firstLine="480"/>
        <w:rPr>
          <w:lang w:bidi="ar"/>
        </w:rPr>
      </w:pPr>
      <w:r w:rsidRPr="00DA3766">
        <w:t>报告期内，标的公司</w:t>
      </w:r>
      <w:r w:rsidRPr="00DA3766">
        <w:t>SaaS</w:t>
      </w:r>
      <w:r w:rsidRPr="00DA3766">
        <w:t>云平台业务运营情况良好，主要运营指标总体保持上升趋势</w:t>
      </w:r>
      <w:r w:rsidRPr="00DA3766">
        <w:rPr>
          <w:szCs w:val="21"/>
        </w:rPr>
        <w:t>。</w:t>
      </w:r>
      <w:r w:rsidRPr="00DA3766">
        <w:t>SaaS</w:t>
      </w:r>
      <w:r w:rsidRPr="00DA3766">
        <w:rPr>
          <w:lang w:bidi="ar"/>
        </w:rPr>
        <w:t>同行业可比上市公司暂未披露与标的公司上述运营指标直接可比的业务数据，其他业务数据披露情况如下：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4"/>
        <w:gridCol w:w="6294"/>
      </w:tblGrid>
      <w:tr w:rsidR="007002A3" w:rsidRPr="00DA3766" w14:paraId="104760AF" w14:textId="77777777" w:rsidTr="00DA3766">
        <w:trPr>
          <w:trHeight w:val="397"/>
          <w:jc w:val="center"/>
        </w:trPr>
        <w:tc>
          <w:tcPr>
            <w:tcW w:w="1310" w:type="pct"/>
            <w:tcMar>
              <w:top w:w="0" w:type="dxa"/>
              <w:left w:w="108" w:type="dxa"/>
              <w:bottom w:w="0" w:type="dxa"/>
              <w:right w:w="108" w:type="dxa"/>
            </w:tcMar>
            <w:vAlign w:val="center"/>
          </w:tcPr>
          <w:p w14:paraId="2F3A28EF"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同行业可比上市公司</w:t>
            </w:r>
          </w:p>
        </w:tc>
        <w:tc>
          <w:tcPr>
            <w:tcW w:w="3690" w:type="pct"/>
            <w:tcMar>
              <w:top w:w="0" w:type="dxa"/>
              <w:left w:w="108" w:type="dxa"/>
              <w:bottom w:w="0" w:type="dxa"/>
              <w:right w:w="108" w:type="dxa"/>
            </w:tcMar>
            <w:vAlign w:val="center"/>
          </w:tcPr>
          <w:p w14:paraId="65412C24"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公开披露业务数据主要内容</w:t>
            </w:r>
          </w:p>
        </w:tc>
      </w:tr>
      <w:tr w:rsidR="007002A3" w:rsidRPr="00DA3766" w14:paraId="5F87E062" w14:textId="77777777" w:rsidTr="00DA3766">
        <w:trPr>
          <w:trHeight w:val="397"/>
          <w:jc w:val="center"/>
        </w:trPr>
        <w:tc>
          <w:tcPr>
            <w:tcW w:w="1310" w:type="pct"/>
            <w:tcMar>
              <w:top w:w="0" w:type="dxa"/>
              <w:left w:w="108" w:type="dxa"/>
              <w:bottom w:w="0" w:type="dxa"/>
              <w:right w:w="108" w:type="dxa"/>
            </w:tcMar>
            <w:vAlign w:val="center"/>
          </w:tcPr>
          <w:p w14:paraId="1D54D9DD"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3690" w:type="pct"/>
            <w:tcMar>
              <w:top w:w="0" w:type="dxa"/>
              <w:left w:w="108" w:type="dxa"/>
              <w:bottom w:w="0" w:type="dxa"/>
              <w:right w:w="108" w:type="dxa"/>
            </w:tcMar>
            <w:vAlign w:val="center"/>
          </w:tcPr>
          <w:p w14:paraId="5B36C747"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年度，支付系统业务新增软件客户数</w:t>
            </w:r>
            <w:r w:rsidRPr="00DA3766">
              <w:rPr>
                <w:rFonts w:ascii="Times New Roman" w:hAnsi="Times New Roman" w:cs="Times New Roman"/>
                <w:sz w:val="21"/>
                <w:szCs w:val="21"/>
              </w:rPr>
              <w:t>143</w:t>
            </w:r>
            <w:r w:rsidRPr="00DA3766">
              <w:rPr>
                <w:rFonts w:ascii="Times New Roman" w:hAnsi="Times New Roman" w:cs="Times New Roman"/>
                <w:sz w:val="21"/>
                <w:szCs w:val="21"/>
              </w:rPr>
              <w:t>个，在维护软件客户数</w:t>
            </w:r>
            <w:r w:rsidRPr="00DA3766">
              <w:rPr>
                <w:rFonts w:ascii="Times New Roman" w:hAnsi="Times New Roman" w:cs="Times New Roman"/>
                <w:sz w:val="21"/>
                <w:szCs w:val="21"/>
              </w:rPr>
              <w:t>1,539</w:t>
            </w:r>
            <w:r w:rsidRPr="00DA3766">
              <w:rPr>
                <w:rFonts w:ascii="Times New Roman" w:hAnsi="Times New Roman" w:cs="Times New Roman"/>
                <w:sz w:val="21"/>
                <w:szCs w:val="21"/>
              </w:rPr>
              <w:t>个。支付平台及</w:t>
            </w:r>
            <w:r w:rsidRPr="00DA3766">
              <w:rPr>
                <w:rFonts w:ascii="Times New Roman" w:hAnsi="Times New Roman" w:cs="Times New Roman"/>
                <w:sz w:val="21"/>
                <w:szCs w:val="21"/>
              </w:rPr>
              <w:t>SaaS</w:t>
            </w:r>
            <w:r w:rsidRPr="00DA3766">
              <w:rPr>
                <w:rFonts w:ascii="Times New Roman" w:hAnsi="Times New Roman" w:cs="Times New Roman"/>
                <w:sz w:val="21"/>
                <w:szCs w:val="21"/>
              </w:rPr>
              <w:t>业务新增客户数量</w:t>
            </w:r>
            <w:r w:rsidRPr="00DA3766">
              <w:rPr>
                <w:rFonts w:ascii="Times New Roman" w:hAnsi="Times New Roman" w:cs="Times New Roman"/>
                <w:sz w:val="21"/>
                <w:szCs w:val="21"/>
              </w:rPr>
              <w:t>159</w:t>
            </w:r>
            <w:r w:rsidRPr="00DA3766">
              <w:rPr>
                <w:rFonts w:ascii="Times New Roman" w:hAnsi="Times New Roman" w:cs="Times New Roman"/>
                <w:sz w:val="21"/>
                <w:szCs w:val="21"/>
              </w:rPr>
              <w:t>个，活跃客户数</w:t>
            </w:r>
            <w:r w:rsidRPr="00DA3766">
              <w:rPr>
                <w:rFonts w:ascii="Times New Roman" w:hAnsi="Times New Roman" w:cs="Times New Roman"/>
                <w:sz w:val="21"/>
                <w:szCs w:val="21"/>
              </w:rPr>
              <w:t>1,157</w:t>
            </w:r>
            <w:r w:rsidRPr="00DA3766">
              <w:rPr>
                <w:rFonts w:ascii="Times New Roman" w:hAnsi="Times New Roman" w:cs="Times New Roman"/>
                <w:sz w:val="21"/>
                <w:szCs w:val="21"/>
              </w:rPr>
              <w:t>个；新增客户门店数量</w:t>
            </w:r>
            <w:r w:rsidRPr="00DA3766">
              <w:rPr>
                <w:rFonts w:ascii="Times New Roman" w:hAnsi="Times New Roman" w:cs="Times New Roman"/>
                <w:sz w:val="21"/>
                <w:szCs w:val="21"/>
              </w:rPr>
              <w:t>962</w:t>
            </w:r>
            <w:r w:rsidRPr="00DA3766">
              <w:rPr>
                <w:rFonts w:ascii="Times New Roman" w:hAnsi="Times New Roman" w:cs="Times New Roman"/>
                <w:sz w:val="21"/>
                <w:szCs w:val="21"/>
              </w:rPr>
              <w:t>个，活跃客户门店数</w:t>
            </w:r>
            <w:r w:rsidRPr="00DA3766">
              <w:rPr>
                <w:rFonts w:ascii="Times New Roman" w:hAnsi="Times New Roman" w:cs="Times New Roman"/>
                <w:sz w:val="21"/>
                <w:szCs w:val="21"/>
              </w:rPr>
              <w:t>5,337</w:t>
            </w:r>
            <w:r w:rsidRPr="00DA3766">
              <w:rPr>
                <w:rFonts w:ascii="Times New Roman" w:hAnsi="Times New Roman" w:cs="Times New Roman"/>
                <w:sz w:val="21"/>
                <w:szCs w:val="21"/>
              </w:rPr>
              <w:t>个。</w:t>
            </w:r>
          </w:p>
        </w:tc>
      </w:tr>
    </w:tbl>
    <w:p w14:paraId="5AF401CF" w14:textId="25900B4D" w:rsidR="00195FD0" w:rsidRPr="00DA3766" w:rsidRDefault="00D03F36" w:rsidP="00195FD0">
      <w:pPr>
        <w:pStyle w:val="004"/>
        <w:spacing w:before="120" w:after="120"/>
        <w:ind w:firstLine="482"/>
      </w:pPr>
      <w:r w:rsidRPr="00DA3766">
        <w:t>3</w:t>
      </w:r>
      <w:r w:rsidR="00195FD0" w:rsidRPr="00DA3766">
        <w:t>、</w:t>
      </w:r>
      <w:r w:rsidRPr="00DA3766">
        <w:t>标的公司</w:t>
      </w:r>
      <w:r w:rsidR="007A44DA" w:rsidRPr="00DA3766">
        <w:t>SaaS</w:t>
      </w:r>
      <w:r w:rsidRPr="00DA3766">
        <w:t>云平台各类细分业务收入的变动原因及合理性</w:t>
      </w:r>
    </w:p>
    <w:p w14:paraId="08AEAA2E" w14:textId="77777777" w:rsidR="007002A3" w:rsidRPr="00DA3766" w:rsidRDefault="007002A3" w:rsidP="007002A3">
      <w:pPr>
        <w:pStyle w:val="005"/>
        <w:spacing w:before="120" w:after="120"/>
        <w:ind w:firstLine="480"/>
      </w:pPr>
      <w:r w:rsidRPr="00DA3766">
        <w:t>报告期各期，标的公司</w:t>
      </w:r>
      <w:r w:rsidRPr="00DA3766">
        <w:t>SaaS</w:t>
      </w:r>
      <w:r w:rsidRPr="00DA3766">
        <w:t>云平台业务收入分别为</w:t>
      </w:r>
      <w:r w:rsidRPr="00DA3766">
        <w:t>17,639.27</w:t>
      </w:r>
      <w:r w:rsidRPr="00DA3766">
        <w:t>万元、</w:t>
      </w:r>
      <w:r w:rsidRPr="00DA3766">
        <w:t>18,571.86</w:t>
      </w:r>
      <w:r w:rsidRPr="00DA3766">
        <w:t>万元和</w:t>
      </w:r>
      <w:r w:rsidRPr="00DA3766">
        <w:t>11,347.36</w:t>
      </w:r>
      <w:r w:rsidRPr="00DA3766">
        <w:t>万元，</w:t>
      </w:r>
      <w:r w:rsidRPr="00DA3766">
        <w:t>2024</w:t>
      </w:r>
      <w:r w:rsidRPr="00DA3766">
        <w:t>年业务收入较</w:t>
      </w:r>
      <w:r w:rsidRPr="00DA3766">
        <w:t>2023</w:t>
      </w:r>
      <w:r w:rsidRPr="00DA3766">
        <w:t>年增长</w:t>
      </w:r>
      <w:r w:rsidRPr="00DA3766">
        <w:t>5.29%</w:t>
      </w:r>
      <w:r w:rsidRPr="00DA3766">
        <w:t>，</w:t>
      </w:r>
      <w:r w:rsidRPr="00DA3766">
        <w:t>2025</w:t>
      </w:r>
      <w:r w:rsidRPr="00DA3766">
        <w:t>年</w:t>
      </w:r>
      <w:r w:rsidRPr="00DA3766">
        <w:t>1-6</w:t>
      </w:r>
      <w:r w:rsidRPr="00DA3766">
        <w:t>月业务收入达到</w:t>
      </w:r>
      <w:r w:rsidRPr="00DA3766">
        <w:t>2024</w:t>
      </w:r>
      <w:r w:rsidRPr="00DA3766">
        <w:t>年的</w:t>
      </w:r>
      <w:r w:rsidRPr="00DA3766">
        <w:t>61.10%</w:t>
      </w:r>
      <w:r w:rsidRPr="00DA3766">
        <w:t>。</w:t>
      </w:r>
    </w:p>
    <w:p w14:paraId="654A8203" w14:textId="0BF0B64C" w:rsidR="00D03F36" w:rsidRPr="00DA3766" w:rsidRDefault="007002A3" w:rsidP="007002A3">
      <w:pPr>
        <w:pStyle w:val="005"/>
        <w:spacing w:before="120" w:after="120"/>
        <w:ind w:firstLine="480"/>
      </w:pPr>
      <w:r w:rsidRPr="00DA3766">
        <w:t>报告期内，标的公司</w:t>
      </w:r>
      <w:r w:rsidRPr="00DA3766">
        <w:t>SaaS</w:t>
      </w:r>
      <w:r w:rsidRPr="00DA3766">
        <w:t>云平台业务主要包括商家服务、会员服务、收单外包服务等细分业务，各细分业务收入金额及占比情况如下：</w:t>
      </w:r>
    </w:p>
    <w:p w14:paraId="388703CC" w14:textId="090A6E4B" w:rsidR="00186FE8" w:rsidRPr="00DA3766" w:rsidRDefault="00186FE8" w:rsidP="000C4294">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D03F36" w:rsidRPr="00DA3766" w14:paraId="4492BC57" w14:textId="77777777" w:rsidTr="004C2193">
        <w:trPr>
          <w:trHeight w:val="397"/>
          <w:tblHeader/>
          <w:jc w:val="center"/>
        </w:trPr>
        <w:tc>
          <w:tcPr>
            <w:tcW w:w="1061" w:type="pct"/>
            <w:vMerge w:val="restart"/>
            <w:tcMar>
              <w:top w:w="0" w:type="dxa"/>
              <w:left w:w="108" w:type="dxa"/>
              <w:bottom w:w="0" w:type="dxa"/>
              <w:right w:w="108" w:type="dxa"/>
            </w:tcMar>
            <w:vAlign w:val="center"/>
          </w:tcPr>
          <w:p w14:paraId="766A940A" w14:textId="77777777" w:rsidR="00D03F36" w:rsidRPr="00DA3766" w:rsidRDefault="00D03F36"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43" w:name="_Hlk220059108"/>
            <w:r w:rsidRPr="00DA3766">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14:paraId="71BE3380" w14:textId="77777777" w:rsidR="00D03F36" w:rsidRPr="00DA3766" w:rsidRDefault="00D03F36"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14:paraId="28CA96AF" w14:textId="77777777" w:rsidR="00D03F36" w:rsidRPr="00DA3766" w:rsidRDefault="00D03F36"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14:paraId="7F0381AD" w14:textId="77777777" w:rsidR="00D03F36" w:rsidRPr="00DA3766" w:rsidRDefault="00D03F36"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391BF1" w:rsidRPr="00DA3766" w14:paraId="3E39F3A3" w14:textId="77777777" w:rsidTr="004C2193">
        <w:trPr>
          <w:trHeight w:val="397"/>
          <w:tblHeader/>
          <w:jc w:val="center"/>
        </w:trPr>
        <w:tc>
          <w:tcPr>
            <w:tcW w:w="1061" w:type="pct"/>
            <w:vMerge/>
            <w:tcMar>
              <w:top w:w="0" w:type="dxa"/>
              <w:left w:w="108" w:type="dxa"/>
              <w:bottom w:w="0" w:type="dxa"/>
              <w:right w:w="108" w:type="dxa"/>
            </w:tcMar>
            <w:vAlign w:val="center"/>
          </w:tcPr>
          <w:p w14:paraId="4C501E10" w14:textId="77777777"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389E1817" w14:textId="63DF6A23"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8" w:type="pct"/>
            <w:tcMar>
              <w:top w:w="0" w:type="dxa"/>
              <w:left w:w="108" w:type="dxa"/>
              <w:bottom w:w="0" w:type="dxa"/>
              <w:right w:w="108" w:type="dxa"/>
            </w:tcMar>
            <w:vAlign w:val="center"/>
          </w:tcPr>
          <w:p w14:paraId="240F00C0" w14:textId="0CF7BBE7"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6E9C89C8" w14:textId="76C326A0"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7" w:type="pct"/>
            <w:tcMar>
              <w:top w:w="0" w:type="dxa"/>
              <w:left w:w="108" w:type="dxa"/>
              <w:bottom w:w="0" w:type="dxa"/>
              <w:right w:w="108" w:type="dxa"/>
            </w:tcMar>
            <w:vAlign w:val="center"/>
          </w:tcPr>
          <w:p w14:paraId="065EBB2A" w14:textId="1CC0A02B"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7B3EF752" w14:textId="76B78A03"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5" w:type="pct"/>
            <w:tcMar>
              <w:top w:w="0" w:type="dxa"/>
              <w:left w:w="108" w:type="dxa"/>
              <w:bottom w:w="0" w:type="dxa"/>
              <w:right w:w="108" w:type="dxa"/>
            </w:tcMar>
            <w:vAlign w:val="center"/>
          </w:tcPr>
          <w:p w14:paraId="39A3066A" w14:textId="1941247C" w:rsidR="00391BF1" w:rsidRPr="00DA3766" w:rsidRDefault="00391BF1" w:rsidP="004C2193">
            <w:pPr>
              <w:keepNext/>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sidRPr="00DA3766">
              <w:rPr>
                <w:rFonts w:ascii="Times New Roman" w:hAnsi="Times New Roman" w:cs="Times New Roman"/>
                <w:b/>
                <w:bCs/>
                <w:sz w:val="21"/>
                <w:szCs w:val="21"/>
              </w:rPr>
              <w:t>收入占比</w:t>
            </w:r>
          </w:p>
        </w:tc>
      </w:tr>
      <w:tr w:rsidR="00BB39DC" w:rsidRPr="00DA3766" w14:paraId="65DB0EF9" w14:textId="77777777" w:rsidTr="00DA3766">
        <w:trPr>
          <w:trHeight w:val="397"/>
          <w:jc w:val="center"/>
        </w:trPr>
        <w:tc>
          <w:tcPr>
            <w:tcW w:w="1061" w:type="pct"/>
            <w:tcMar>
              <w:top w:w="0" w:type="dxa"/>
              <w:left w:w="108" w:type="dxa"/>
              <w:bottom w:w="0" w:type="dxa"/>
              <w:right w:w="108" w:type="dxa"/>
            </w:tcMar>
            <w:vAlign w:val="center"/>
          </w:tcPr>
          <w:p w14:paraId="72D38C31" w14:textId="67F769B6" w:rsidR="00BB39DC" w:rsidRPr="00DA3766" w:rsidRDefault="00BB39D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14:paraId="38B6307B" w14:textId="199F4F4D"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5,038.82</w:t>
            </w:r>
          </w:p>
        </w:tc>
        <w:tc>
          <w:tcPr>
            <w:tcW w:w="658" w:type="pct"/>
            <w:tcMar>
              <w:top w:w="0" w:type="dxa"/>
              <w:left w:w="108" w:type="dxa"/>
              <w:bottom w:w="0" w:type="dxa"/>
              <w:right w:w="108" w:type="dxa"/>
            </w:tcMar>
            <w:vAlign w:val="center"/>
          </w:tcPr>
          <w:p w14:paraId="406EC21D" w14:textId="0FB1EAD5"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14:paraId="7419ADCC" w14:textId="378AA726"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9,950.73</w:t>
            </w:r>
          </w:p>
        </w:tc>
        <w:tc>
          <w:tcPr>
            <w:tcW w:w="657" w:type="pct"/>
            <w:tcMar>
              <w:top w:w="0" w:type="dxa"/>
              <w:left w:w="108" w:type="dxa"/>
              <w:bottom w:w="0" w:type="dxa"/>
              <w:right w:w="108" w:type="dxa"/>
            </w:tcMar>
            <w:vAlign w:val="center"/>
          </w:tcPr>
          <w:p w14:paraId="182D4E18" w14:textId="5D3B385E"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14:paraId="1D19A040" w14:textId="43EE46A4"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11,071.79</w:t>
            </w:r>
          </w:p>
        </w:tc>
        <w:tc>
          <w:tcPr>
            <w:tcW w:w="655" w:type="pct"/>
            <w:tcMar>
              <w:top w:w="0" w:type="dxa"/>
              <w:left w:w="108" w:type="dxa"/>
              <w:bottom w:w="0" w:type="dxa"/>
              <w:right w:w="108" w:type="dxa"/>
            </w:tcMar>
            <w:vAlign w:val="center"/>
          </w:tcPr>
          <w:p w14:paraId="7B256D32" w14:textId="2718C8E9"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62.77%</w:t>
            </w:r>
          </w:p>
        </w:tc>
      </w:tr>
      <w:tr w:rsidR="00203242" w:rsidRPr="00DA3766" w14:paraId="6556607D" w14:textId="77777777" w:rsidTr="00DA3766">
        <w:trPr>
          <w:trHeight w:val="397"/>
          <w:jc w:val="center"/>
        </w:trPr>
        <w:tc>
          <w:tcPr>
            <w:tcW w:w="1061" w:type="pct"/>
            <w:tcMar>
              <w:top w:w="0" w:type="dxa"/>
              <w:left w:w="108" w:type="dxa"/>
              <w:bottom w:w="0" w:type="dxa"/>
              <w:right w:w="108" w:type="dxa"/>
            </w:tcMar>
            <w:vAlign w:val="center"/>
          </w:tcPr>
          <w:p w14:paraId="3083CD8D"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44" w:name="_Hlk219756135"/>
            <w:bookmarkStart w:id="45" w:name="_Hlk219756310"/>
            <w:r w:rsidRPr="00DA3766">
              <w:rPr>
                <w:rFonts w:ascii="Times New Roman" w:hAnsi="Times New Roman" w:cs="Times New Roman"/>
                <w:sz w:val="21"/>
                <w:szCs w:val="21"/>
              </w:rPr>
              <w:t>会员服务</w:t>
            </w:r>
            <w:bookmarkEnd w:id="44"/>
          </w:p>
        </w:tc>
        <w:tc>
          <w:tcPr>
            <w:tcW w:w="655" w:type="pct"/>
            <w:tcMar>
              <w:top w:w="0" w:type="dxa"/>
              <w:left w:w="108" w:type="dxa"/>
              <w:bottom w:w="0" w:type="dxa"/>
              <w:right w:w="108" w:type="dxa"/>
            </w:tcMar>
            <w:vAlign w:val="center"/>
          </w:tcPr>
          <w:p w14:paraId="4B715651" w14:textId="6C8CB7D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4,083.02</w:t>
            </w:r>
          </w:p>
        </w:tc>
        <w:tc>
          <w:tcPr>
            <w:tcW w:w="658" w:type="pct"/>
            <w:tcMar>
              <w:top w:w="0" w:type="dxa"/>
              <w:left w:w="108" w:type="dxa"/>
              <w:bottom w:w="0" w:type="dxa"/>
              <w:right w:w="108" w:type="dxa"/>
            </w:tcMar>
            <w:vAlign w:val="center"/>
          </w:tcPr>
          <w:p w14:paraId="56092ED3" w14:textId="6D74ED3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14:paraId="395646D8" w14:textId="39BC856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3,983.36</w:t>
            </w:r>
          </w:p>
        </w:tc>
        <w:tc>
          <w:tcPr>
            <w:tcW w:w="657" w:type="pct"/>
            <w:tcMar>
              <w:top w:w="0" w:type="dxa"/>
              <w:left w:w="108" w:type="dxa"/>
              <w:bottom w:w="0" w:type="dxa"/>
              <w:right w:w="108" w:type="dxa"/>
            </w:tcMar>
            <w:vAlign w:val="center"/>
          </w:tcPr>
          <w:p w14:paraId="3DE89F6A" w14:textId="1055E1F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14:paraId="20388245" w14:textId="49C965C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1,634.10</w:t>
            </w:r>
          </w:p>
        </w:tc>
        <w:tc>
          <w:tcPr>
            <w:tcW w:w="655" w:type="pct"/>
            <w:tcMar>
              <w:top w:w="0" w:type="dxa"/>
              <w:left w:w="108" w:type="dxa"/>
              <w:bottom w:w="0" w:type="dxa"/>
              <w:right w:w="108" w:type="dxa"/>
            </w:tcMar>
            <w:vAlign w:val="center"/>
          </w:tcPr>
          <w:p w14:paraId="32EA65F6" w14:textId="4E52D9A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r>
      <w:bookmarkEnd w:id="45"/>
      <w:tr w:rsidR="00203242" w:rsidRPr="00DA3766" w14:paraId="695B9094" w14:textId="77777777" w:rsidTr="00DA3766">
        <w:trPr>
          <w:trHeight w:val="397"/>
          <w:jc w:val="center"/>
        </w:trPr>
        <w:tc>
          <w:tcPr>
            <w:tcW w:w="1061" w:type="pct"/>
            <w:tcMar>
              <w:top w:w="0" w:type="dxa"/>
              <w:left w:w="108" w:type="dxa"/>
              <w:bottom w:w="0" w:type="dxa"/>
              <w:right w:w="108" w:type="dxa"/>
            </w:tcMar>
            <w:vAlign w:val="center"/>
          </w:tcPr>
          <w:p w14:paraId="3DC0783F"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收单外包服务</w:t>
            </w:r>
          </w:p>
        </w:tc>
        <w:tc>
          <w:tcPr>
            <w:tcW w:w="655" w:type="pct"/>
            <w:tcMar>
              <w:top w:w="0" w:type="dxa"/>
              <w:left w:w="108" w:type="dxa"/>
              <w:bottom w:w="0" w:type="dxa"/>
              <w:right w:w="108" w:type="dxa"/>
            </w:tcMar>
            <w:vAlign w:val="center"/>
          </w:tcPr>
          <w:p w14:paraId="1BD1E4C0" w14:textId="5B751C15"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1,740.65</w:t>
            </w:r>
          </w:p>
        </w:tc>
        <w:tc>
          <w:tcPr>
            <w:tcW w:w="658" w:type="pct"/>
            <w:tcMar>
              <w:top w:w="0" w:type="dxa"/>
              <w:left w:w="108" w:type="dxa"/>
              <w:bottom w:w="0" w:type="dxa"/>
              <w:right w:w="108" w:type="dxa"/>
            </w:tcMar>
            <w:vAlign w:val="center"/>
          </w:tcPr>
          <w:p w14:paraId="5E4167C0" w14:textId="36C33CD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14:paraId="0E360DF7" w14:textId="7B024E4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3,547.06</w:t>
            </w:r>
          </w:p>
        </w:tc>
        <w:tc>
          <w:tcPr>
            <w:tcW w:w="657" w:type="pct"/>
            <w:tcMar>
              <w:top w:w="0" w:type="dxa"/>
              <w:left w:w="108" w:type="dxa"/>
              <w:bottom w:w="0" w:type="dxa"/>
              <w:right w:w="108" w:type="dxa"/>
            </w:tcMar>
            <w:vAlign w:val="center"/>
          </w:tcPr>
          <w:p w14:paraId="4AC26EB5" w14:textId="22813CBB"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14:paraId="201DF584" w14:textId="5303840F"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3,288.33</w:t>
            </w:r>
          </w:p>
        </w:tc>
        <w:tc>
          <w:tcPr>
            <w:tcW w:w="655" w:type="pct"/>
            <w:tcMar>
              <w:top w:w="0" w:type="dxa"/>
              <w:left w:w="108" w:type="dxa"/>
              <w:bottom w:w="0" w:type="dxa"/>
              <w:right w:w="108" w:type="dxa"/>
            </w:tcMar>
            <w:vAlign w:val="center"/>
          </w:tcPr>
          <w:p w14:paraId="386081AD" w14:textId="48EE2125"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18.64%</w:t>
            </w:r>
          </w:p>
        </w:tc>
      </w:tr>
      <w:tr w:rsidR="00203242" w:rsidRPr="00DA3766" w14:paraId="0DDDACDA" w14:textId="77777777" w:rsidTr="00DA3766">
        <w:trPr>
          <w:trHeight w:val="397"/>
          <w:jc w:val="center"/>
        </w:trPr>
        <w:tc>
          <w:tcPr>
            <w:tcW w:w="1061" w:type="pct"/>
            <w:tcMar>
              <w:top w:w="0" w:type="dxa"/>
              <w:left w:w="108" w:type="dxa"/>
              <w:bottom w:w="0" w:type="dxa"/>
              <w:right w:w="108" w:type="dxa"/>
            </w:tcMar>
            <w:vAlign w:val="center"/>
          </w:tcPr>
          <w:p w14:paraId="78C66996"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lastRenderedPageBreak/>
              <w:t>其他</w:t>
            </w:r>
          </w:p>
        </w:tc>
        <w:tc>
          <w:tcPr>
            <w:tcW w:w="655" w:type="pct"/>
            <w:tcMar>
              <w:top w:w="0" w:type="dxa"/>
              <w:left w:w="108" w:type="dxa"/>
              <w:bottom w:w="0" w:type="dxa"/>
              <w:right w:w="108" w:type="dxa"/>
            </w:tcMar>
            <w:vAlign w:val="center"/>
          </w:tcPr>
          <w:p w14:paraId="6ECD87F1" w14:textId="727A5F4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484.87</w:t>
            </w:r>
          </w:p>
        </w:tc>
        <w:tc>
          <w:tcPr>
            <w:tcW w:w="658" w:type="pct"/>
            <w:tcMar>
              <w:top w:w="0" w:type="dxa"/>
              <w:left w:w="108" w:type="dxa"/>
              <w:bottom w:w="0" w:type="dxa"/>
              <w:right w:w="108" w:type="dxa"/>
            </w:tcMar>
            <w:vAlign w:val="center"/>
          </w:tcPr>
          <w:p w14:paraId="5DE50A7B" w14:textId="5BA63B0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14:paraId="36CFFA1C" w14:textId="133253EE"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1,090.71</w:t>
            </w:r>
          </w:p>
        </w:tc>
        <w:tc>
          <w:tcPr>
            <w:tcW w:w="657" w:type="pct"/>
            <w:tcMar>
              <w:top w:w="0" w:type="dxa"/>
              <w:left w:w="108" w:type="dxa"/>
              <w:bottom w:w="0" w:type="dxa"/>
              <w:right w:w="108" w:type="dxa"/>
            </w:tcMar>
            <w:vAlign w:val="center"/>
          </w:tcPr>
          <w:p w14:paraId="63BACD73" w14:textId="0CCA9EA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14:paraId="1068A759" w14:textId="5434B08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1,645.05</w:t>
            </w:r>
          </w:p>
        </w:tc>
        <w:tc>
          <w:tcPr>
            <w:tcW w:w="655" w:type="pct"/>
            <w:tcMar>
              <w:top w:w="0" w:type="dxa"/>
              <w:left w:w="108" w:type="dxa"/>
              <w:bottom w:w="0" w:type="dxa"/>
              <w:right w:w="108" w:type="dxa"/>
            </w:tcMar>
            <w:vAlign w:val="center"/>
          </w:tcPr>
          <w:p w14:paraId="19E8AA65" w14:textId="0463FDD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9.33%</w:t>
            </w:r>
          </w:p>
        </w:tc>
      </w:tr>
      <w:tr w:rsidR="00203242" w:rsidRPr="00DA3766" w14:paraId="7EE67FAA" w14:textId="77777777" w:rsidTr="00DA3766">
        <w:trPr>
          <w:trHeight w:val="397"/>
          <w:jc w:val="center"/>
        </w:trPr>
        <w:tc>
          <w:tcPr>
            <w:tcW w:w="1061" w:type="pct"/>
            <w:tcMar>
              <w:top w:w="0" w:type="dxa"/>
              <w:left w:w="108" w:type="dxa"/>
              <w:bottom w:w="0" w:type="dxa"/>
              <w:right w:w="108" w:type="dxa"/>
            </w:tcMar>
            <w:vAlign w:val="center"/>
          </w:tcPr>
          <w:p w14:paraId="0C3CD79A" w14:textId="77777777" w:rsidR="00203242" w:rsidRPr="00DA3766" w:rsidRDefault="00203242"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1527EF76" w14:textId="0B0CC9D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11,347.36</w:t>
            </w:r>
          </w:p>
        </w:tc>
        <w:tc>
          <w:tcPr>
            <w:tcW w:w="658" w:type="pct"/>
            <w:tcMar>
              <w:top w:w="0" w:type="dxa"/>
              <w:left w:w="108" w:type="dxa"/>
              <w:bottom w:w="0" w:type="dxa"/>
              <w:right w:w="108" w:type="dxa"/>
            </w:tcMar>
            <w:vAlign w:val="center"/>
          </w:tcPr>
          <w:p w14:paraId="381A4468" w14:textId="04A7F63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62BF08A5" w14:textId="3A9CEC1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18,571.86</w:t>
            </w:r>
          </w:p>
        </w:tc>
        <w:tc>
          <w:tcPr>
            <w:tcW w:w="657" w:type="pct"/>
            <w:tcMar>
              <w:top w:w="0" w:type="dxa"/>
              <w:left w:w="108" w:type="dxa"/>
              <w:bottom w:w="0" w:type="dxa"/>
              <w:right w:w="108" w:type="dxa"/>
            </w:tcMar>
            <w:vAlign w:val="center"/>
          </w:tcPr>
          <w:p w14:paraId="55BB8AFD" w14:textId="311A78A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16CFFF14" w14:textId="5F93D5B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17,639.27</w:t>
            </w:r>
          </w:p>
        </w:tc>
        <w:tc>
          <w:tcPr>
            <w:tcW w:w="655" w:type="pct"/>
            <w:tcMar>
              <w:top w:w="0" w:type="dxa"/>
              <w:left w:w="108" w:type="dxa"/>
              <w:bottom w:w="0" w:type="dxa"/>
              <w:right w:w="108" w:type="dxa"/>
            </w:tcMar>
            <w:vAlign w:val="center"/>
          </w:tcPr>
          <w:p w14:paraId="44795CB6" w14:textId="457AC40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777A8089" w14:textId="5FFC7F1C" w:rsidR="00366716" w:rsidRPr="00DA3766" w:rsidRDefault="007002A3" w:rsidP="007E30A6">
      <w:pPr>
        <w:pStyle w:val="005"/>
        <w:spacing w:before="120" w:after="120"/>
        <w:ind w:firstLine="480"/>
      </w:pPr>
      <w:bookmarkStart w:id="46" w:name="_Hlk220059079"/>
      <w:bookmarkEnd w:id="43"/>
      <w:r w:rsidRPr="00DA3766">
        <w:t>2024</w:t>
      </w:r>
      <w:r w:rsidRPr="00DA3766">
        <w:t>年，</w:t>
      </w:r>
      <w:r w:rsidR="0026239A" w:rsidRPr="00DA3766">
        <w:t>标的公司商家服务业务收入</w:t>
      </w:r>
      <w:r w:rsidR="001433F9" w:rsidRPr="00DA3766">
        <w:t>9,950.7</w:t>
      </w:r>
      <w:r w:rsidR="00155DBC" w:rsidRPr="00DA3766">
        <w:t>3</w:t>
      </w:r>
      <w:r w:rsidR="0026239A" w:rsidRPr="00DA3766">
        <w:t>万元，较</w:t>
      </w:r>
      <w:r w:rsidR="0026239A" w:rsidRPr="00DA3766">
        <w:t>2023</w:t>
      </w:r>
      <w:r w:rsidR="0026239A" w:rsidRPr="00DA3766">
        <w:t>年</w:t>
      </w:r>
      <w:r w:rsidR="001433F9" w:rsidRPr="00DA3766">
        <w:t>下降</w:t>
      </w:r>
      <w:r w:rsidR="001433F9" w:rsidRPr="00DA3766">
        <w:t>10.13</w:t>
      </w:r>
      <w:r w:rsidR="0026239A" w:rsidRPr="00DA3766">
        <w:t>%</w:t>
      </w:r>
      <w:r w:rsidR="0026239A" w:rsidRPr="00DA3766">
        <w:t>，</w:t>
      </w:r>
      <w:r w:rsidR="00833CA6" w:rsidRPr="00DA3766">
        <w:t>其中</w:t>
      </w:r>
      <w:r w:rsidRPr="00DA3766">
        <w:t>基础</w:t>
      </w:r>
      <w:r w:rsidRPr="00DA3766">
        <w:t>SaaS</w:t>
      </w:r>
      <w:r w:rsidRPr="00DA3766">
        <w:t>业务项下产品功能持续升级、付费客户不断增加</w:t>
      </w:r>
      <w:r w:rsidR="00833CA6" w:rsidRPr="00DA3766">
        <w:t>，但</w:t>
      </w:r>
      <w:r w:rsidRPr="00DA3766">
        <w:t>增值</w:t>
      </w:r>
      <w:r w:rsidRPr="00DA3766">
        <w:t>SaaS</w:t>
      </w:r>
      <w:r w:rsidRPr="00DA3766">
        <w:t>业务</w:t>
      </w:r>
      <w:r w:rsidR="00833CA6" w:rsidRPr="00DA3766">
        <w:t>有所收缩；</w:t>
      </w:r>
      <w:r w:rsidRPr="00DA3766">
        <w:t>会员服务业务收入</w:t>
      </w:r>
      <w:r w:rsidRPr="00DA3766">
        <w:t>3,983.36</w:t>
      </w:r>
      <w:r w:rsidRPr="00DA3766">
        <w:t>万元，较</w:t>
      </w:r>
      <w:r w:rsidRPr="00DA3766">
        <w:t>2023</w:t>
      </w:r>
      <w:r w:rsidRPr="00DA3766">
        <w:t>年增长</w:t>
      </w:r>
      <w:r w:rsidRPr="00DA3766">
        <w:t>143.76%</w:t>
      </w:r>
      <w:r w:rsidRPr="00DA3766">
        <w:t>，主要系标的公司为提高</w:t>
      </w:r>
      <w:r w:rsidRPr="00DA3766">
        <w:t>C</w:t>
      </w:r>
      <w:r w:rsidRPr="00DA3766">
        <w:t>端</w:t>
      </w:r>
      <w:r w:rsidR="00833CA6" w:rsidRPr="00DA3766">
        <w:t>市场影响力而将更多</w:t>
      </w:r>
      <w:r w:rsidRPr="00DA3766">
        <w:t>业务资源投入</w:t>
      </w:r>
      <w:r w:rsidR="00833CA6" w:rsidRPr="00DA3766">
        <w:t>面</w:t>
      </w:r>
      <w:r w:rsidRPr="00DA3766">
        <w:t>向</w:t>
      </w:r>
      <w:r w:rsidRPr="00DA3766">
        <w:t>C</w:t>
      </w:r>
      <w:r w:rsidRPr="00DA3766">
        <w:t>端消费者的会员服务；收单外包服务业务收入</w:t>
      </w:r>
      <w:r w:rsidRPr="00DA3766">
        <w:t>3,547.06</w:t>
      </w:r>
      <w:r w:rsidRPr="00DA3766">
        <w:t>万元，与</w:t>
      </w:r>
      <w:r w:rsidRPr="00DA3766">
        <w:t>2023</w:t>
      </w:r>
      <w:r w:rsidRPr="00DA3766">
        <w:t>年基本持平。综上，报告期内标的公司</w:t>
      </w:r>
      <w:r w:rsidRPr="00DA3766">
        <w:t>SaaS</w:t>
      </w:r>
      <w:r w:rsidRPr="00DA3766">
        <w:t>云平台各类细分业务收入的变动具备合理性。</w:t>
      </w:r>
    </w:p>
    <w:bookmarkEnd w:id="46"/>
    <w:p w14:paraId="2891A299" w14:textId="436A940D" w:rsidR="00AB3394" w:rsidRPr="00DA3766" w:rsidRDefault="00AB3394" w:rsidP="00AB3394">
      <w:pPr>
        <w:pStyle w:val="002"/>
        <w:spacing w:before="120" w:after="120"/>
        <w:ind w:firstLine="482"/>
      </w:pPr>
      <w:r w:rsidRPr="00DA3766">
        <w:t>四、结合具体业务结构、各类服务价格及成本的变动情况及其影响因素、同行业可比公司同类业务毛利率变动情况等，说明报告期内</w:t>
      </w:r>
      <w:r w:rsidR="007A44DA" w:rsidRPr="00DA3766">
        <w:t>SaaS</w:t>
      </w:r>
      <w:r w:rsidRPr="00DA3766">
        <w:t>云平台业务毛利率下滑的原因及合理性，未来是否存在进一步下滑的风险</w:t>
      </w:r>
    </w:p>
    <w:p w14:paraId="62C9C4BB" w14:textId="79512A6C" w:rsidR="00F10A6D" w:rsidRPr="00DA3766" w:rsidRDefault="00F10A6D" w:rsidP="007E30A6">
      <w:pPr>
        <w:pStyle w:val="005"/>
        <w:spacing w:before="120" w:after="120"/>
        <w:ind w:firstLine="480"/>
      </w:pPr>
      <w:bookmarkStart w:id="47" w:name="_Hlk219756996"/>
      <w:r w:rsidRPr="00DA3766">
        <w:t>报告期各期，标的公司</w:t>
      </w:r>
      <w:bookmarkStart w:id="48" w:name="OLE_LINK117"/>
      <w:r w:rsidR="007A44DA" w:rsidRPr="00DA3766">
        <w:t>SaaS</w:t>
      </w:r>
      <w:r w:rsidRPr="00DA3766">
        <w:t>云平台业务整体</w:t>
      </w:r>
      <w:bookmarkEnd w:id="48"/>
      <w:r w:rsidRPr="00DA3766">
        <w:t>毛利率分别为</w:t>
      </w:r>
      <w:bookmarkStart w:id="49" w:name="_Hlk220058945"/>
      <w:r w:rsidR="00B85474" w:rsidRPr="00DA3766">
        <w:t>89.93%</w:t>
      </w:r>
      <w:r w:rsidR="00B85474" w:rsidRPr="00DA3766">
        <w:t>、</w:t>
      </w:r>
      <w:r w:rsidR="00B85474" w:rsidRPr="00DA3766">
        <w:t>87.41%</w:t>
      </w:r>
      <w:r w:rsidR="00B85474" w:rsidRPr="00DA3766">
        <w:t>和</w:t>
      </w:r>
      <w:r w:rsidR="00B85474" w:rsidRPr="00DA3766">
        <w:t>82.07%</w:t>
      </w:r>
      <w:bookmarkEnd w:id="49"/>
      <w:r w:rsidRPr="00DA3766">
        <w:t>，总体有所下降。</w:t>
      </w:r>
      <w:bookmarkEnd w:id="47"/>
    </w:p>
    <w:p w14:paraId="718D333D" w14:textId="3848A4FF" w:rsidR="00F10A6D" w:rsidRPr="00DA3766" w:rsidRDefault="00391BF1" w:rsidP="007E30A6">
      <w:pPr>
        <w:pStyle w:val="005"/>
        <w:spacing w:before="120" w:after="120"/>
        <w:ind w:firstLine="480"/>
      </w:pPr>
      <w:bookmarkStart w:id="50" w:name="_Hlk218379293"/>
      <w:r w:rsidRPr="00DA3766">
        <w:t>报告期内，标的公司</w:t>
      </w:r>
      <w:r w:rsidR="007A44DA" w:rsidRPr="00DA3766">
        <w:t>SaaS</w:t>
      </w:r>
      <w:r w:rsidRPr="00DA3766">
        <w:t>云平台业务主要包括商家服务、会员服务、收单外包服务等细分业务，各细分业务毛利率及收入占比情况如下：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F10A6D" w:rsidRPr="00DA3766" w14:paraId="1C6F106C" w14:textId="77777777" w:rsidTr="00DA3766">
        <w:trPr>
          <w:trHeight w:val="397"/>
          <w:jc w:val="center"/>
        </w:trPr>
        <w:tc>
          <w:tcPr>
            <w:tcW w:w="1061" w:type="pct"/>
            <w:vMerge w:val="restart"/>
            <w:tcMar>
              <w:top w:w="0" w:type="dxa"/>
              <w:left w:w="108" w:type="dxa"/>
              <w:bottom w:w="0" w:type="dxa"/>
              <w:right w:w="108" w:type="dxa"/>
            </w:tcMar>
            <w:vAlign w:val="center"/>
          </w:tcPr>
          <w:p w14:paraId="50F3AE49"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51" w:name="_Hlk220058961"/>
            <w:r w:rsidRPr="00DA3766">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14:paraId="2F71FB91"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14:paraId="42CCA35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14:paraId="3FA4481B"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F10A6D" w:rsidRPr="00DA3766" w14:paraId="66DD3446" w14:textId="77777777" w:rsidTr="00DA3766">
        <w:trPr>
          <w:trHeight w:val="397"/>
          <w:jc w:val="center"/>
        </w:trPr>
        <w:tc>
          <w:tcPr>
            <w:tcW w:w="1061" w:type="pct"/>
            <w:vMerge/>
            <w:tcMar>
              <w:top w:w="0" w:type="dxa"/>
              <w:left w:w="108" w:type="dxa"/>
              <w:bottom w:w="0" w:type="dxa"/>
              <w:right w:w="108" w:type="dxa"/>
            </w:tcMar>
            <w:vAlign w:val="center"/>
          </w:tcPr>
          <w:p w14:paraId="6BD5C630"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0321202B"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8" w:type="pct"/>
            <w:tcMar>
              <w:top w:w="0" w:type="dxa"/>
              <w:left w:w="108" w:type="dxa"/>
              <w:bottom w:w="0" w:type="dxa"/>
              <w:right w:w="108" w:type="dxa"/>
            </w:tcMar>
            <w:vAlign w:val="center"/>
          </w:tcPr>
          <w:p w14:paraId="28DBC77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12811D9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7" w:type="pct"/>
            <w:tcMar>
              <w:top w:w="0" w:type="dxa"/>
              <w:left w:w="108" w:type="dxa"/>
              <w:bottom w:w="0" w:type="dxa"/>
              <w:right w:w="108" w:type="dxa"/>
            </w:tcMar>
            <w:vAlign w:val="center"/>
          </w:tcPr>
          <w:p w14:paraId="7E5A1601"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610B1BD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5" w:type="pct"/>
            <w:tcMar>
              <w:top w:w="0" w:type="dxa"/>
              <w:left w:w="108" w:type="dxa"/>
              <w:bottom w:w="0" w:type="dxa"/>
              <w:right w:w="108" w:type="dxa"/>
            </w:tcMar>
            <w:vAlign w:val="center"/>
          </w:tcPr>
          <w:p w14:paraId="02392F6E"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sidRPr="00DA3766">
              <w:rPr>
                <w:rFonts w:ascii="Times New Roman" w:hAnsi="Times New Roman" w:cs="Times New Roman"/>
                <w:b/>
                <w:bCs/>
                <w:sz w:val="21"/>
                <w:szCs w:val="21"/>
              </w:rPr>
              <w:t>收入占比</w:t>
            </w:r>
          </w:p>
        </w:tc>
      </w:tr>
      <w:tr w:rsidR="00BB39DC" w:rsidRPr="00DA3766" w14:paraId="25C019EA" w14:textId="77777777" w:rsidTr="00DA3766">
        <w:trPr>
          <w:trHeight w:val="397"/>
          <w:jc w:val="center"/>
        </w:trPr>
        <w:tc>
          <w:tcPr>
            <w:tcW w:w="1061" w:type="pct"/>
            <w:tcMar>
              <w:top w:w="0" w:type="dxa"/>
              <w:left w:w="108" w:type="dxa"/>
              <w:bottom w:w="0" w:type="dxa"/>
              <w:right w:w="108" w:type="dxa"/>
            </w:tcMar>
            <w:vAlign w:val="center"/>
          </w:tcPr>
          <w:p w14:paraId="4B2E507B" w14:textId="2CCAB270" w:rsidR="00BB39DC" w:rsidRPr="00DA3766" w:rsidRDefault="00BB39D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14:paraId="4AD249C3" w14:textId="772C2E7A"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87.93%</w:t>
            </w:r>
          </w:p>
        </w:tc>
        <w:tc>
          <w:tcPr>
            <w:tcW w:w="658" w:type="pct"/>
            <w:tcMar>
              <w:top w:w="0" w:type="dxa"/>
              <w:left w:w="108" w:type="dxa"/>
              <w:bottom w:w="0" w:type="dxa"/>
              <w:right w:w="108" w:type="dxa"/>
            </w:tcMar>
            <w:vAlign w:val="center"/>
          </w:tcPr>
          <w:p w14:paraId="006497D5" w14:textId="74FFFC92"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14:paraId="2E217FA0" w14:textId="1B896FCB"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87.92%</w:t>
            </w:r>
          </w:p>
        </w:tc>
        <w:tc>
          <w:tcPr>
            <w:tcW w:w="657" w:type="pct"/>
            <w:tcMar>
              <w:top w:w="0" w:type="dxa"/>
              <w:left w:w="108" w:type="dxa"/>
              <w:bottom w:w="0" w:type="dxa"/>
              <w:right w:w="108" w:type="dxa"/>
            </w:tcMar>
            <w:vAlign w:val="center"/>
          </w:tcPr>
          <w:p w14:paraId="5629EE46" w14:textId="029270E1"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14:paraId="21A6D0CB" w14:textId="470108B5"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87.47%</w:t>
            </w:r>
          </w:p>
        </w:tc>
        <w:tc>
          <w:tcPr>
            <w:tcW w:w="655" w:type="pct"/>
            <w:tcMar>
              <w:top w:w="0" w:type="dxa"/>
              <w:left w:w="108" w:type="dxa"/>
              <w:bottom w:w="0" w:type="dxa"/>
              <w:right w:w="108" w:type="dxa"/>
            </w:tcMar>
            <w:vAlign w:val="center"/>
          </w:tcPr>
          <w:p w14:paraId="17A4BBAA" w14:textId="0DB7DE9A"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62.77%</w:t>
            </w:r>
          </w:p>
        </w:tc>
      </w:tr>
      <w:tr w:rsidR="00203242" w:rsidRPr="00DA3766" w14:paraId="2688AF03" w14:textId="77777777" w:rsidTr="00DA3766">
        <w:trPr>
          <w:trHeight w:val="397"/>
          <w:jc w:val="center"/>
        </w:trPr>
        <w:tc>
          <w:tcPr>
            <w:tcW w:w="1061" w:type="pct"/>
            <w:tcMar>
              <w:top w:w="0" w:type="dxa"/>
              <w:left w:w="108" w:type="dxa"/>
              <w:bottom w:w="0" w:type="dxa"/>
              <w:right w:w="108" w:type="dxa"/>
            </w:tcMar>
            <w:vAlign w:val="center"/>
          </w:tcPr>
          <w:p w14:paraId="1BA40C42"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会员服务</w:t>
            </w:r>
          </w:p>
        </w:tc>
        <w:tc>
          <w:tcPr>
            <w:tcW w:w="655" w:type="pct"/>
            <w:tcMar>
              <w:top w:w="0" w:type="dxa"/>
              <w:left w:w="108" w:type="dxa"/>
              <w:bottom w:w="0" w:type="dxa"/>
              <w:right w:w="108" w:type="dxa"/>
            </w:tcMar>
            <w:vAlign w:val="center"/>
          </w:tcPr>
          <w:p w14:paraId="7F77032F" w14:textId="3CD8846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65.65%</w:t>
            </w:r>
          </w:p>
        </w:tc>
        <w:tc>
          <w:tcPr>
            <w:tcW w:w="658" w:type="pct"/>
            <w:tcMar>
              <w:top w:w="0" w:type="dxa"/>
              <w:left w:w="108" w:type="dxa"/>
              <w:bottom w:w="0" w:type="dxa"/>
              <w:right w:w="108" w:type="dxa"/>
            </w:tcMar>
            <w:vAlign w:val="center"/>
          </w:tcPr>
          <w:p w14:paraId="13C21FA8" w14:textId="595C5DA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14:paraId="194533FE" w14:textId="4780A6C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72.27%</w:t>
            </w:r>
          </w:p>
        </w:tc>
        <w:tc>
          <w:tcPr>
            <w:tcW w:w="657" w:type="pct"/>
            <w:tcMar>
              <w:top w:w="0" w:type="dxa"/>
              <w:left w:w="108" w:type="dxa"/>
              <w:bottom w:w="0" w:type="dxa"/>
              <w:right w:w="108" w:type="dxa"/>
            </w:tcMar>
            <w:vAlign w:val="center"/>
          </w:tcPr>
          <w:p w14:paraId="0EE86773" w14:textId="2D8B1076"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14:paraId="04D567E5" w14:textId="4B03557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78.35%</w:t>
            </w:r>
          </w:p>
        </w:tc>
        <w:tc>
          <w:tcPr>
            <w:tcW w:w="655" w:type="pct"/>
            <w:tcMar>
              <w:top w:w="0" w:type="dxa"/>
              <w:left w:w="108" w:type="dxa"/>
              <w:bottom w:w="0" w:type="dxa"/>
              <w:right w:w="108" w:type="dxa"/>
            </w:tcMar>
            <w:vAlign w:val="center"/>
          </w:tcPr>
          <w:p w14:paraId="09FF69C0" w14:textId="59F34EF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r>
      <w:tr w:rsidR="00203242" w:rsidRPr="00DA3766" w14:paraId="48ED297C" w14:textId="77777777" w:rsidTr="00DA3766">
        <w:trPr>
          <w:trHeight w:val="397"/>
          <w:jc w:val="center"/>
        </w:trPr>
        <w:tc>
          <w:tcPr>
            <w:tcW w:w="1061" w:type="pct"/>
            <w:tcMar>
              <w:top w:w="0" w:type="dxa"/>
              <w:left w:w="108" w:type="dxa"/>
              <w:bottom w:w="0" w:type="dxa"/>
              <w:right w:w="108" w:type="dxa"/>
            </w:tcMar>
            <w:vAlign w:val="center"/>
          </w:tcPr>
          <w:p w14:paraId="64AECBC5"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52" w:name="_Hlk219757467"/>
            <w:r w:rsidRPr="00DA3766">
              <w:rPr>
                <w:rFonts w:ascii="Times New Roman" w:hAnsi="Times New Roman" w:cs="Times New Roman"/>
                <w:sz w:val="21"/>
                <w:szCs w:val="21"/>
              </w:rPr>
              <w:t>收单外包服务</w:t>
            </w:r>
            <w:bookmarkEnd w:id="52"/>
          </w:p>
        </w:tc>
        <w:tc>
          <w:tcPr>
            <w:tcW w:w="655" w:type="pct"/>
            <w:tcMar>
              <w:top w:w="0" w:type="dxa"/>
              <w:left w:w="108" w:type="dxa"/>
              <w:bottom w:w="0" w:type="dxa"/>
              <w:right w:w="108" w:type="dxa"/>
            </w:tcMar>
            <w:vAlign w:val="center"/>
          </w:tcPr>
          <w:p w14:paraId="20CC41EC" w14:textId="662A0AB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98.73%</w:t>
            </w:r>
          </w:p>
        </w:tc>
        <w:tc>
          <w:tcPr>
            <w:tcW w:w="658" w:type="pct"/>
            <w:tcMar>
              <w:top w:w="0" w:type="dxa"/>
              <w:left w:w="108" w:type="dxa"/>
              <w:bottom w:w="0" w:type="dxa"/>
              <w:right w:w="108" w:type="dxa"/>
            </w:tcMar>
            <w:vAlign w:val="center"/>
          </w:tcPr>
          <w:p w14:paraId="5709D027" w14:textId="75E8E66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14:paraId="2E8344B5" w14:textId="02DC609B"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99.23%</w:t>
            </w:r>
          </w:p>
        </w:tc>
        <w:tc>
          <w:tcPr>
            <w:tcW w:w="657" w:type="pct"/>
            <w:tcMar>
              <w:top w:w="0" w:type="dxa"/>
              <w:left w:w="108" w:type="dxa"/>
              <w:bottom w:w="0" w:type="dxa"/>
              <w:right w:w="108" w:type="dxa"/>
            </w:tcMar>
            <w:vAlign w:val="center"/>
          </w:tcPr>
          <w:p w14:paraId="7CEF93BD" w14:textId="5B72C39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14:paraId="0E03BE83" w14:textId="5CC67B4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99.48%</w:t>
            </w:r>
          </w:p>
        </w:tc>
        <w:tc>
          <w:tcPr>
            <w:tcW w:w="655" w:type="pct"/>
            <w:tcMar>
              <w:top w:w="0" w:type="dxa"/>
              <w:left w:w="108" w:type="dxa"/>
              <w:bottom w:w="0" w:type="dxa"/>
              <w:right w:w="108" w:type="dxa"/>
            </w:tcMar>
            <w:vAlign w:val="center"/>
          </w:tcPr>
          <w:p w14:paraId="40B05D04" w14:textId="45745A9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18.64%</w:t>
            </w:r>
          </w:p>
        </w:tc>
      </w:tr>
      <w:tr w:rsidR="00203242" w:rsidRPr="00DA3766" w14:paraId="1E1AA86A" w14:textId="77777777" w:rsidTr="00DA3766">
        <w:trPr>
          <w:trHeight w:val="397"/>
          <w:jc w:val="center"/>
        </w:trPr>
        <w:tc>
          <w:tcPr>
            <w:tcW w:w="1061" w:type="pct"/>
            <w:tcMar>
              <w:top w:w="0" w:type="dxa"/>
              <w:left w:w="108" w:type="dxa"/>
              <w:bottom w:w="0" w:type="dxa"/>
              <w:right w:w="108" w:type="dxa"/>
            </w:tcMar>
            <w:vAlign w:val="center"/>
          </w:tcPr>
          <w:p w14:paraId="4D5D5B61"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14:paraId="11877035" w14:textId="1BC3254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99.60%</w:t>
            </w:r>
          </w:p>
        </w:tc>
        <w:tc>
          <w:tcPr>
            <w:tcW w:w="658" w:type="pct"/>
            <w:tcMar>
              <w:top w:w="0" w:type="dxa"/>
              <w:left w:w="108" w:type="dxa"/>
              <w:bottom w:w="0" w:type="dxa"/>
              <w:right w:w="108" w:type="dxa"/>
            </w:tcMar>
            <w:vAlign w:val="center"/>
          </w:tcPr>
          <w:p w14:paraId="13E85E2C" w14:textId="2878C10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14:paraId="54718B4F" w14:textId="3B92B71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99.62%</w:t>
            </w:r>
          </w:p>
        </w:tc>
        <w:tc>
          <w:tcPr>
            <w:tcW w:w="657" w:type="pct"/>
            <w:tcMar>
              <w:top w:w="0" w:type="dxa"/>
              <w:left w:w="108" w:type="dxa"/>
              <w:bottom w:w="0" w:type="dxa"/>
              <w:right w:w="108" w:type="dxa"/>
            </w:tcMar>
            <w:vAlign w:val="center"/>
          </w:tcPr>
          <w:p w14:paraId="22FA40EC" w14:textId="0685A22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14:paraId="759974CC" w14:textId="4FAA74A1"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98.81%</w:t>
            </w:r>
          </w:p>
        </w:tc>
        <w:tc>
          <w:tcPr>
            <w:tcW w:w="655" w:type="pct"/>
            <w:tcMar>
              <w:top w:w="0" w:type="dxa"/>
              <w:left w:w="108" w:type="dxa"/>
              <w:bottom w:w="0" w:type="dxa"/>
              <w:right w:w="108" w:type="dxa"/>
            </w:tcMar>
            <w:vAlign w:val="center"/>
          </w:tcPr>
          <w:p w14:paraId="1B22B8DD" w14:textId="594922BF"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9.33%</w:t>
            </w:r>
          </w:p>
        </w:tc>
      </w:tr>
      <w:tr w:rsidR="005260AA" w:rsidRPr="00DA3766" w14:paraId="0FB52A9C" w14:textId="77777777" w:rsidTr="00DA3766">
        <w:trPr>
          <w:trHeight w:val="397"/>
          <w:jc w:val="center"/>
        </w:trPr>
        <w:tc>
          <w:tcPr>
            <w:tcW w:w="1061" w:type="pct"/>
            <w:tcMar>
              <w:top w:w="0" w:type="dxa"/>
              <w:left w:w="108" w:type="dxa"/>
              <w:bottom w:w="0" w:type="dxa"/>
              <w:right w:w="108" w:type="dxa"/>
            </w:tcMar>
            <w:vAlign w:val="center"/>
          </w:tcPr>
          <w:p w14:paraId="7FBBB1D6" w14:textId="77777777" w:rsidR="005260AA" w:rsidRPr="00DA3766" w:rsidRDefault="005260AA"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5EA25BF2" w14:textId="182EB3EA"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82.07%</w:t>
            </w:r>
          </w:p>
        </w:tc>
        <w:tc>
          <w:tcPr>
            <w:tcW w:w="658" w:type="pct"/>
            <w:tcMar>
              <w:top w:w="0" w:type="dxa"/>
              <w:left w:w="108" w:type="dxa"/>
              <w:bottom w:w="0" w:type="dxa"/>
              <w:right w:w="108" w:type="dxa"/>
            </w:tcMar>
            <w:vAlign w:val="center"/>
          </w:tcPr>
          <w:p w14:paraId="15AE40D6" w14:textId="17321C69"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58FA1720" w14:textId="7878A55C"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87.41%</w:t>
            </w:r>
          </w:p>
        </w:tc>
        <w:tc>
          <w:tcPr>
            <w:tcW w:w="657" w:type="pct"/>
            <w:tcMar>
              <w:top w:w="0" w:type="dxa"/>
              <w:left w:w="108" w:type="dxa"/>
              <w:bottom w:w="0" w:type="dxa"/>
              <w:right w:w="108" w:type="dxa"/>
            </w:tcMar>
            <w:vAlign w:val="center"/>
          </w:tcPr>
          <w:p w14:paraId="0D56081C" w14:textId="2DCDE580"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3881D9B6" w14:textId="4EEA3811"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89.93%</w:t>
            </w:r>
          </w:p>
        </w:tc>
        <w:tc>
          <w:tcPr>
            <w:tcW w:w="655" w:type="pct"/>
            <w:tcMar>
              <w:top w:w="0" w:type="dxa"/>
              <w:left w:w="108" w:type="dxa"/>
              <w:bottom w:w="0" w:type="dxa"/>
              <w:right w:w="108" w:type="dxa"/>
            </w:tcMar>
            <w:vAlign w:val="center"/>
          </w:tcPr>
          <w:p w14:paraId="6889F627" w14:textId="604CC50A"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bookmarkEnd w:id="51"/>
    <w:p w14:paraId="3EF26FA1" w14:textId="46C933DE" w:rsidR="00F10A6D" w:rsidRPr="00DA3766" w:rsidRDefault="007002A3" w:rsidP="005260AA">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2023</w:t>
      </w:r>
      <w:r w:rsidRPr="00DA3766">
        <w:rPr>
          <w:rFonts w:ascii="Times New Roman" w:hAnsi="Times New Roman" w:cs="Times New Roman"/>
          <w:szCs w:val="22"/>
        </w:rPr>
        <w:t>年度，标的公司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89.93%</w:t>
      </w:r>
      <w:r w:rsidRPr="00DA3766">
        <w:rPr>
          <w:rFonts w:ascii="Times New Roman" w:hAnsi="Times New Roman" w:cs="Times New Roman"/>
          <w:szCs w:val="22"/>
        </w:rPr>
        <w:t>，主要系商家服务和收单外包服务业务的毛利率和收入占比均较高所致。其中，商家服务业务收入主要来源于面向运营商提供升单宝、智慧营销等增值服务收入，该类服务</w:t>
      </w:r>
      <w:r w:rsidRPr="00DA3766">
        <w:rPr>
          <w:rFonts w:ascii="Times New Roman" w:hAnsi="Times New Roman" w:cs="Times New Roman"/>
          <w:szCs w:val="22"/>
        </w:rPr>
        <w:t>2023</w:t>
      </w:r>
      <w:r w:rsidRPr="00DA3766">
        <w:rPr>
          <w:rFonts w:ascii="Times New Roman" w:hAnsi="Times New Roman" w:cs="Times New Roman"/>
          <w:szCs w:val="22"/>
        </w:rPr>
        <w:t>年总体服务成本较小、毛利率较高；收单外包服务业务收入主要来源于面向收单</w:t>
      </w:r>
      <w:r w:rsidRPr="00DA3766">
        <w:rPr>
          <w:rFonts w:ascii="Times New Roman" w:hAnsi="Times New Roman" w:cs="Times New Roman"/>
          <w:szCs w:val="22"/>
        </w:rPr>
        <w:lastRenderedPageBreak/>
        <w:t>机构抽取的运营商交易手续费分成，该类服务报告期内服务成本较小，毛利率持续维持在较高水平，分别为</w:t>
      </w:r>
      <w:r w:rsidRPr="00DA3766">
        <w:rPr>
          <w:rFonts w:ascii="Times New Roman" w:hAnsi="Times New Roman" w:cs="Times New Roman"/>
          <w:szCs w:val="22"/>
        </w:rPr>
        <w:t>99.48%</w:t>
      </w:r>
      <w:r w:rsidRPr="00DA3766">
        <w:rPr>
          <w:rFonts w:ascii="Times New Roman" w:hAnsi="Times New Roman" w:cs="Times New Roman"/>
          <w:szCs w:val="22"/>
        </w:rPr>
        <w:t>、</w:t>
      </w:r>
      <w:r w:rsidRPr="00DA3766">
        <w:rPr>
          <w:rFonts w:ascii="Times New Roman" w:hAnsi="Times New Roman" w:cs="Times New Roman"/>
          <w:szCs w:val="22"/>
        </w:rPr>
        <w:t>99.23%</w:t>
      </w:r>
      <w:r w:rsidRPr="00DA3766">
        <w:rPr>
          <w:rFonts w:ascii="Times New Roman" w:hAnsi="Times New Roman" w:cs="Times New Roman"/>
          <w:szCs w:val="22"/>
        </w:rPr>
        <w:t>和</w:t>
      </w:r>
      <w:r w:rsidRPr="00DA3766">
        <w:rPr>
          <w:rFonts w:ascii="Times New Roman" w:hAnsi="Times New Roman" w:cs="Times New Roman"/>
          <w:szCs w:val="22"/>
        </w:rPr>
        <w:t>98.73%</w:t>
      </w:r>
      <w:r w:rsidRPr="00DA3766">
        <w:rPr>
          <w:rFonts w:ascii="Times New Roman" w:hAnsi="Times New Roman" w:cs="Times New Roman"/>
          <w:szCs w:val="22"/>
        </w:rPr>
        <w:t>。</w:t>
      </w:r>
    </w:p>
    <w:p w14:paraId="02B17936" w14:textId="032337F4" w:rsidR="005260AA" w:rsidRPr="00DA3766" w:rsidRDefault="007002A3" w:rsidP="005260AA">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2024</w:t>
      </w:r>
      <w:r w:rsidRPr="00DA3766">
        <w:rPr>
          <w:rFonts w:ascii="Times New Roman" w:hAnsi="Times New Roman" w:cs="Times New Roman"/>
          <w:szCs w:val="22"/>
        </w:rPr>
        <w:t>年度，标的公司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87.41%</w:t>
      </w:r>
      <w:r w:rsidRPr="00DA3766">
        <w:rPr>
          <w:rFonts w:ascii="Times New Roman" w:hAnsi="Times New Roman" w:cs="Times New Roman"/>
          <w:szCs w:val="22"/>
        </w:rPr>
        <w:t>，较</w:t>
      </w:r>
      <w:r w:rsidRPr="00DA3766">
        <w:rPr>
          <w:rFonts w:ascii="Times New Roman" w:hAnsi="Times New Roman" w:cs="Times New Roman"/>
          <w:szCs w:val="22"/>
        </w:rPr>
        <w:t>2023</w:t>
      </w:r>
      <w:r w:rsidRPr="00DA3766">
        <w:rPr>
          <w:rFonts w:ascii="Times New Roman" w:hAnsi="Times New Roman" w:cs="Times New Roman"/>
          <w:szCs w:val="22"/>
        </w:rPr>
        <w:t>年度</w:t>
      </w:r>
      <w:r w:rsidRPr="00DA3766">
        <w:rPr>
          <w:rFonts w:ascii="Times New Roman" w:hAnsi="Times New Roman" w:cs="Times New Roman"/>
          <w:szCs w:val="22"/>
        </w:rPr>
        <w:t>89.93%</w:t>
      </w:r>
      <w:r w:rsidRPr="00DA3766">
        <w:rPr>
          <w:rFonts w:ascii="Times New Roman" w:hAnsi="Times New Roman" w:cs="Times New Roman"/>
          <w:szCs w:val="22"/>
        </w:rPr>
        <w:t>下降</w:t>
      </w:r>
      <w:r w:rsidRPr="00DA3766">
        <w:rPr>
          <w:rFonts w:ascii="Times New Roman" w:hAnsi="Times New Roman" w:cs="Times New Roman"/>
          <w:szCs w:val="22"/>
        </w:rPr>
        <w:t>2.51%</w:t>
      </w:r>
      <w:r w:rsidRPr="00DA3766">
        <w:rPr>
          <w:rFonts w:ascii="Times New Roman" w:hAnsi="Times New Roman" w:cs="Times New Roman"/>
          <w:szCs w:val="22"/>
        </w:rPr>
        <w:t>；</w:t>
      </w:r>
      <w:r w:rsidRPr="00DA3766">
        <w:rPr>
          <w:rFonts w:ascii="Times New Roman" w:hAnsi="Times New Roman" w:cs="Times New Roman"/>
          <w:szCs w:val="22"/>
        </w:rPr>
        <w:t>2025</w:t>
      </w:r>
      <w:r w:rsidRPr="00DA3766">
        <w:rPr>
          <w:rFonts w:ascii="Times New Roman" w:hAnsi="Times New Roman" w:cs="Times New Roman"/>
          <w:szCs w:val="22"/>
        </w:rPr>
        <w:t>年</w:t>
      </w:r>
      <w:r w:rsidRPr="00DA3766">
        <w:rPr>
          <w:rFonts w:ascii="Times New Roman" w:hAnsi="Times New Roman" w:cs="Times New Roman"/>
          <w:szCs w:val="22"/>
        </w:rPr>
        <w:t>1-6</w:t>
      </w:r>
      <w:r w:rsidRPr="00DA3766">
        <w:rPr>
          <w:rFonts w:ascii="Times New Roman" w:hAnsi="Times New Roman" w:cs="Times New Roman"/>
          <w:szCs w:val="22"/>
        </w:rPr>
        <w:t>月，标的公司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82.07%</w:t>
      </w:r>
      <w:r w:rsidRPr="00DA3766">
        <w:rPr>
          <w:rFonts w:ascii="Times New Roman" w:hAnsi="Times New Roman" w:cs="Times New Roman"/>
          <w:szCs w:val="22"/>
        </w:rPr>
        <w:t>，较</w:t>
      </w:r>
      <w:r w:rsidRPr="00DA3766">
        <w:rPr>
          <w:rFonts w:ascii="Times New Roman" w:hAnsi="Times New Roman" w:cs="Times New Roman"/>
          <w:szCs w:val="22"/>
        </w:rPr>
        <w:t>2024</w:t>
      </w:r>
      <w:r w:rsidRPr="00DA3766">
        <w:rPr>
          <w:rFonts w:ascii="Times New Roman" w:hAnsi="Times New Roman" w:cs="Times New Roman"/>
          <w:szCs w:val="22"/>
        </w:rPr>
        <w:t>年度</w:t>
      </w:r>
      <w:r w:rsidRPr="00DA3766">
        <w:rPr>
          <w:rFonts w:ascii="Times New Roman" w:hAnsi="Times New Roman" w:cs="Times New Roman"/>
          <w:szCs w:val="22"/>
        </w:rPr>
        <w:t>87.41%</w:t>
      </w:r>
      <w:r w:rsidRPr="00DA3766">
        <w:rPr>
          <w:rFonts w:ascii="Times New Roman" w:hAnsi="Times New Roman" w:cs="Times New Roman"/>
          <w:szCs w:val="22"/>
        </w:rPr>
        <w:t>下降</w:t>
      </w:r>
      <w:r w:rsidRPr="00DA3766">
        <w:rPr>
          <w:rFonts w:ascii="Times New Roman" w:hAnsi="Times New Roman" w:cs="Times New Roman"/>
          <w:szCs w:val="22"/>
        </w:rPr>
        <w:t>5.35%</w:t>
      </w:r>
      <w:r w:rsidRPr="00DA3766">
        <w:rPr>
          <w:rFonts w:ascii="Times New Roman" w:hAnsi="Times New Roman" w:cs="Times New Roman"/>
          <w:szCs w:val="22"/>
        </w:rPr>
        <w:t>，主要系毛利率相对较低的会员服务业务收入占比明显上升所致。</w:t>
      </w:r>
    </w:p>
    <w:p w14:paraId="6617E8F3" w14:textId="1AB6ED57" w:rsidR="007002A3" w:rsidRPr="00DA3766" w:rsidRDefault="007002A3" w:rsidP="007002A3">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标的公司自</w:t>
      </w:r>
      <w:r w:rsidRPr="00DA3766">
        <w:rPr>
          <w:rFonts w:ascii="Times New Roman" w:hAnsi="Times New Roman" w:cs="Times New Roman"/>
          <w:szCs w:val="22"/>
          <w:lang w:bidi="ar"/>
        </w:rPr>
        <w:t>2023</w:t>
      </w:r>
      <w:r w:rsidRPr="00DA3766">
        <w:rPr>
          <w:rFonts w:ascii="Times New Roman" w:hAnsi="Times New Roman" w:cs="Times New Roman"/>
          <w:szCs w:val="22"/>
          <w:lang w:bidi="ar"/>
        </w:rPr>
        <w:t>年开始开展会员服务业务以来，经历长时间业务打磨和用户潜力挖掘，各类会员的付费模式已基本形成较为固定的模式，且受到</w:t>
      </w:r>
      <w:r w:rsidR="008150C8" w:rsidRPr="00DA3766">
        <w:rPr>
          <w:rFonts w:ascii="Times New Roman" w:hAnsi="Times New Roman" w:cs="Times New Roman"/>
          <w:szCs w:val="22"/>
          <w:lang w:bidi="ar"/>
        </w:rPr>
        <w:t>C</w:t>
      </w:r>
      <w:r w:rsidR="008150C8" w:rsidRPr="00DA3766">
        <w:rPr>
          <w:rFonts w:ascii="Times New Roman" w:hAnsi="Times New Roman" w:cs="Times New Roman"/>
          <w:szCs w:val="22"/>
          <w:lang w:bidi="ar"/>
        </w:rPr>
        <w:t>端消费者</w:t>
      </w:r>
      <w:r w:rsidRPr="00DA3766">
        <w:rPr>
          <w:rFonts w:ascii="Times New Roman" w:hAnsi="Times New Roman" w:cs="Times New Roman"/>
          <w:szCs w:val="22"/>
          <w:lang w:bidi="ar"/>
        </w:rPr>
        <w:t>客户的认可，使得该业务收入快速增长。报告期内</w:t>
      </w:r>
      <w:r w:rsidR="00236FEE" w:rsidRPr="00DA3766">
        <w:rPr>
          <w:rFonts w:ascii="Times New Roman" w:hAnsi="Times New Roman" w:cs="Times New Roman"/>
          <w:szCs w:val="22"/>
          <w:lang w:bidi="ar"/>
        </w:rPr>
        <w:t>，标的公司</w:t>
      </w:r>
      <w:r w:rsidRPr="00DA3766">
        <w:rPr>
          <w:rFonts w:ascii="Times New Roman" w:hAnsi="Times New Roman" w:cs="Times New Roman"/>
          <w:szCs w:val="22"/>
          <w:lang w:bidi="ar"/>
        </w:rPr>
        <w:t>会员服务</w:t>
      </w:r>
      <w:r w:rsidR="00236FEE" w:rsidRPr="00DA3766">
        <w:rPr>
          <w:rFonts w:ascii="Times New Roman" w:hAnsi="Times New Roman" w:cs="Times New Roman"/>
          <w:szCs w:val="22"/>
          <w:lang w:bidi="ar"/>
        </w:rPr>
        <w:t>业务</w:t>
      </w:r>
      <w:r w:rsidRPr="00DA3766">
        <w:rPr>
          <w:rFonts w:ascii="Times New Roman" w:hAnsi="Times New Roman" w:cs="Times New Roman"/>
          <w:szCs w:val="22"/>
          <w:lang w:bidi="ar"/>
        </w:rPr>
        <w:t>毛利率分别为</w:t>
      </w:r>
      <w:r w:rsidRPr="00DA3766">
        <w:rPr>
          <w:rFonts w:ascii="Times New Roman" w:hAnsi="Times New Roman" w:cs="Times New Roman"/>
          <w:szCs w:val="22"/>
          <w:lang w:bidi="ar"/>
        </w:rPr>
        <w:t>78.35%</w:t>
      </w:r>
      <w:r w:rsidRPr="00DA3766">
        <w:rPr>
          <w:rFonts w:ascii="Times New Roman" w:hAnsi="Times New Roman" w:cs="Times New Roman"/>
          <w:szCs w:val="22"/>
          <w:lang w:bidi="ar"/>
        </w:rPr>
        <w:t>、</w:t>
      </w:r>
      <w:r w:rsidRPr="00DA3766">
        <w:rPr>
          <w:rFonts w:ascii="Times New Roman" w:hAnsi="Times New Roman" w:cs="Times New Roman"/>
          <w:szCs w:val="22"/>
          <w:lang w:bidi="ar"/>
        </w:rPr>
        <w:t>72.27%</w:t>
      </w:r>
      <w:r w:rsidRPr="00DA3766">
        <w:rPr>
          <w:rFonts w:ascii="Times New Roman" w:hAnsi="Times New Roman" w:cs="Times New Roman"/>
          <w:szCs w:val="22"/>
          <w:lang w:bidi="ar"/>
        </w:rPr>
        <w:t>和</w:t>
      </w:r>
      <w:r w:rsidRPr="00DA3766">
        <w:rPr>
          <w:rFonts w:ascii="Times New Roman" w:hAnsi="Times New Roman" w:cs="Times New Roman"/>
          <w:szCs w:val="22"/>
          <w:lang w:bidi="ar"/>
        </w:rPr>
        <w:t>65.65%</w:t>
      </w:r>
      <w:r w:rsidRPr="00DA3766">
        <w:rPr>
          <w:rFonts w:ascii="Times New Roman" w:hAnsi="Times New Roman" w:cs="Times New Roman"/>
          <w:szCs w:val="22"/>
          <w:lang w:bidi="ar"/>
        </w:rPr>
        <w:t>。报告期内</w:t>
      </w:r>
      <w:r w:rsidR="00973E6E" w:rsidRPr="00DA3766">
        <w:rPr>
          <w:rFonts w:ascii="Times New Roman" w:hAnsi="Times New Roman" w:cs="Times New Roman"/>
          <w:szCs w:val="22"/>
          <w:lang w:bidi="ar"/>
        </w:rPr>
        <w:t>，</w:t>
      </w:r>
      <w:r w:rsidRPr="00DA3766">
        <w:rPr>
          <w:rFonts w:ascii="Times New Roman" w:hAnsi="Times New Roman" w:cs="Times New Roman"/>
          <w:szCs w:val="22"/>
          <w:lang w:bidi="ar"/>
        </w:rPr>
        <w:t>标的公司持续扩大会员服务业务，通过增加丰富的</w:t>
      </w:r>
      <w:r w:rsidRPr="00DA3766">
        <w:rPr>
          <w:rFonts w:ascii="Times New Roman" w:hAnsi="Times New Roman" w:cs="Times New Roman"/>
          <w:szCs w:val="22"/>
          <w:lang w:bidi="ar"/>
        </w:rPr>
        <w:t>C</w:t>
      </w:r>
      <w:r w:rsidRPr="00DA3766">
        <w:rPr>
          <w:rFonts w:ascii="Times New Roman" w:hAnsi="Times New Roman" w:cs="Times New Roman"/>
          <w:szCs w:val="22"/>
          <w:lang w:bidi="ar"/>
        </w:rPr>
        <w:t>端用户会员权益</w:t>
      </w:r>
      <w:r w:rsidR="00236FEE" w:rsidRPr="00DA3766">
        <w:rPr>
          <w:rFonts w:ascii="Times New Roman" w:hAnsi="Times New Roman" w:cs="Times New Roman"/>
          <w:szCs w:val="22"/>
          <w:lang w:bidi="ar"/>
        </w:rPr>
        <w:t>等方式有效</w:t>
      </w:r>
      <w:r w:rsidRPr="00DA3766">
        <w:rPr>
          <w:rFonts w:ascii="Times New Roman" w:hAnsi="Times New Roman" w:cs="Times New Roman"/>
          <w:szCs w:val="22"/>
          <w:lang w:bidi="ar"/>
        </w:rPr>
        <w:t>拉动会员服务收入增长，同时</w:t>
      </w:r>
      <w:r w:rsidR="00FC6006" w:rsidRPr="00DA3766">
        <w:rPr>
          <w:rFonts w:ascii="Times New Roman" w:hAnsi="Times New Roman" w:cs="Times New Roman"/>
          <w:szCs w:val="22"/>
          <w:lang w:bidi="ar"/>
        </w:rPr>
        <w:t>因</w:t>
      </w:r>
      <w:r w:rsidR="008150C8" w:rsidRPr="00DA3766">
        <w:rPr>
          <w:rFonts w:ascii="Times New Roman" w:hAnsi="Times New Roman" w:cs="Times New Roman"/>
          <w:szCs w:val="22"/>
          <w:lang w:bidi="ar"/>
        </w:rPr>
        <w:t>对外提供会员服务的</w:t>
      </w:r>
      <w:r w:rsidR="002A0BA7" w:rsidRPr="00DA3766">
        <w:rPr>
          <w:rFonts w:ascii="Times New Roman" w:hAnsi="Times New Roman" w:cs="Times New Roman"/>
          <w:szCs w:val="22"/>
          <w:lang w:bidi="ar"/>
        </w:rPr>
        <w:t>综合</w:t>
      </w:r>
      <w:r w:rsidR="00973E6E" w:rsidRPr="00DA3766">
        <w:rPr>
          <w:rFonts w:ascii="Times New Roman" w:hAnsi="Times New Roman" w:cs="Times New Roman"/>
          <w:szCs w:val="22"/>
          <w:lang w:bidi="ar"/>
        </w:rPr>
        <w:t>服务</w:t>
      </w:r>
      <w:r w:rsidRPr="00DA3766">
        <w:rPr>
          <w:rFonts w:ascii="Times New Roman" w:hAnsi="Times New Roman" w:cs="Times New Roman"/>
          <w:szCs w:val="22"/>
          <w:lang w:bidi="ar"/>
        </w:rPr>
        <w:t>成本</w:t>
      </w:r>
      <w:r w:rsidR="008150C8" w:rsidRPr="00DA3766">
        <w:rPr>
          <w:rFonts w:ascii="Times New Roman" w:hAnsi="Times New Roman" w:cs="Times New Roman"/>
          <w:szCs w:val="22"/>
          <w:lang w:bidi="ar"/>
        </w:rPr>
        <w:t>水平</w:t>
      </w:r>
      <w:r w:rsidRPr="00DA3766">
        <w:rPr>
          <w:rFonts w:ascii="Times New Roman" w:hAnsi="Times New Roman" w:cs="Times New Roman"/>
          <w:szCs w:val="22"/>
          <w:lang w:bidi="ar"/>
        </w:rPr>
        <w:t>有所</w:t>
      </w:r>
      <w:r w:rsidR="002A0BA7" w:rsidRPr="00DA3766">
        <w:rPr>
          <w:rFonts w:ascii="Times New Roman" w:hAnsi="Times New Roman" w:cs="Times New Roman"/>
          <w:szCs w:val="22"/>
          <w:lang w:bidi="ar"/>
        </w:rPr>
        <w:t>上升</w:t>
      </w:r>
      <w:r w:rsidRPr="00DA3766">
        <w:rPr>
          <w:rFonts w:ascii="Times New Roman" w:hAnsi="Times New Roman" w:cs="Times New Roman"/>
          <w:szCs w:val="22"/>
          <w:lang w:bidi="ar"/>
        </w:rPr>
        <w:t>，使得</w:t>
      </w:r>
      <w:r w:rsidR="00FC6006" w:rsidRPr="00DA3766">
        <w:rPr>
          <w:rFonts w:ascii="Times New Roman" w:hAnsi="Times New Roman" w:cs="Times New Roman"/>
          <w:szCs w:val="22"/>
          <w:lang w:bidi="ar"/>
        </w:rPr>
        <w:t>该业务</w:t>
      </w:r>
      <w:r w:rsidRPr="00DA3766">
        <w:rPr>
          <w:rFonts w:ascii="Times New Roman" w:hAnsi="Times New Roman" w:cs="Times New Roman"/>
          <w:szCs w:val="22"/>
          <w:lang w:bidi="ar"/>
        </w:rPr>
        <w:t>整体毛利率有所下降，具备合理性。未来随着标的公司</w:t>
      </w:r>
      <w:r w:rsidR="008150C8" w:rsidRPr="00DA3766">
        <w:rPr>
          <w:rFonts w:ascii="Times New Roman" w:hAnsi="Times New Roman" w:cs="Times New Roman"/>
          <w:szCs w:val="22"/>
          <w:lang w:bidi="ar"/>
        </w:rPr>
        <w:t>C</w:t>
      </w:r>
      <w:r w:rsidR="008150C8" w:rsidRPr="00DA3766">
        <w:rPr>
          <w:rFonts w:ascii="Times New Roman" w:hAnsi="Times New Roman" w:cs="Times New Roman"/>
          <w:szCs w:val="22"/>
          <w:lang w:bidi="ar"/>
        </w:rPr>
        <w:t>端消费者客户</w:t>
      </w:r>
      <w:r w:rsidRPr="00DA3766">
        <w:rPr>
          <w:rFonts w:ascii="Times New Roman" w:hAnsi="Times New Roman" w:cs="Times New Roman"/>
          <w:szCs w:val="22"/>
          <w:lang w:bidi="ar"/>
        </w:rPr>
        <w:t>的不断积累，</w:t>
      </w:r>
      <w:r w:rsidR="008150C8" w:rsidRPr="00DA3766">
        <w:rPr>
          <w:rFonts w:ascii="Times New Roman" w:hAnsi="Times New Roman" w:cs="Times New Roman"/>
          <w:szCs w:val="22"/>
          <w:lang w:bidi="ar"/>
        </w:rPr>
        <w:t>标的公司</w:t>
      </w:r>
      <w:r w:rsidRPr="00DA3766">
        <w:rPr>
          <w:rFonts w:ascii="Times New Roman" w:hAnsi="Times New Roman" w:cs="Times New Roman"/>
          <w:szCs w:val="22"/>
          <w:lang w:bidi="ar"/>
        </w:rPr>
        <w:t>对智慧生活、智慧出行、智慧零售等应用场景下各类运营商的议价能力亦将不断提升</w:t>
      </w:r>
      <w:r w:rsidR="008150C8" w:rsidRPr="00DA3766">
        <w:rPr>
          <w:rFonts w:ascii="Times New Roman" w:hAnsi="Times New Roman" w:cs="Times New Roman"/>
          <w:szCs w:val="22"/>
          <w:lang w:bidi="ar"/>
        </w:rPr>
        <w:t>，</w:t>
      </w:r>
      <w:r w:rsidR="00D64847" w:rsidRPr="00DA3766">
        <w:rPr>
          <w:rFonts w:ascii="Times New Roman" w:hAnsi="Times New Roman" w:cs="Times New Roman"/>
          <w:szCs w:val="22"/>
          <w:lang w:bidi="ar"/>
        </w:rPr>
        <w:t>会员服务业务整体</w:t>
      </w:r>
      <w:r w:rsidR="008150C8" w:rsidRPr="00DA3766">
        <w:rPr>
          <w:rFonts w:ascii="Times New Roman" w:hAnsi="Times New Roman" w:cs="Times New Roman"/>
          <w:szCs w:val="22"/>
          <w:lang w:bidi="ar"/>
        </w:rPr>
        <w:t>毛利率下降的趋势将得到控制</w:t>
      </w:r>
      <w:r w:rsidRPr="00DA3766">
        <w:rPr>
          <w:rFonts w:ascii="Times New Roman" w:hAnsi="Times New Roman" w:cs="Times New Roman"/>
          <w:szCs w:val="22"/>
          <w:lang w:bidi="ar"/>
        </w:rPr>
        <w:t>。</w:t>
      </w:r>
    </w:p>
    <w:p w14:paraId="3BDCED09" w14:textId="3E50A0DF" w:rsidR="00327343" w:rsidRPr="00DA3766" w:rsidRDefault="007002A3" w:rsidP="007002A3">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报告期内，标的公司</w:t>
      </w:r>
      <w:r w:rsidRPr="00DA3766">
        <w:rPr>
          <w:rFonts w:ascii="Times New Roman" w:hAnsi="Times New Roman" w:cs="Times New Roman"/>
          <w:szCs w:val="22"/>
          <w:lang w:bidi="ar"/>
        </w:rPr>
        <w:t>SaaS</w:t>
      </w:r>
      <w:r w:rsidRPr="00DA3766">
        <w:rPr>
          <w:rFonts w:ascii="Times New Roman" w:hAnsi="Times New Roman" w:cs="Times New Roman"/>
          <w:szCs w:val="22"/>
          <w:lang w:bidi="ar"/>
        </w:rPr>
        <w:t>云平台业务与同行业可比上市公司可比业务的毛利率对比如下：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327343" w:rsidRPr="00DA3766" w14:paraId="7751A9D4" w14:textId="77777777" w:rsidTr="00DA3766">
        <w:trPr>
          <w:trHeight w:val="397"/>
          <w:jc w:val="center"/>
        </w:trPr>
        <w:tc>
          <w:tcPr>
            <w:tcW w:w="1000" w:type="pct"/>
            <w:tcMar>
              <w:top w:w="0" w:type="dxa"/>
              <w:bottom w:w="0" w:type="dxa"/>
            </w:tcMar>
            <w:vAlign w:val="center"/>
          </w:tcPr>
          <w:p w14:paraId="257E35B5"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75DF2682"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0CD54D8E"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6E0CEBAB"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00B9E9F9"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327343" w:rsidRPr="00DA3766" w14:paraId="25F44844" w14:textId="77777777" w:rsidTr="00DA3766">
        <w:trPr>
          <w:trHeight w:val="397"/>
          <w:jc w:val="center"/>
        </w:trPr>
        <w:tc>
          <w:tcPr>
            <w:tcW w:w="1000" w:type="pct"/>
            <w:tcMar>
              <w:top w:w="0" w:type="dxa"/>
              <w:bottom w:w="0" w:type="dxa"/>
            </w:tcMar>
            <w:vAlign w:val="center"/>
          </w:tcPr>
          <w:p w14:paraId="12ED28F3"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bookmarkStart w:id="53" w:name="_Hlk211348018"/>
            <w:r w:rsidRPr="00DA3766">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14:paraId="2F48A5C1" w14:textId="5D5ADC3C" w:rsidR="00327343" w:rsidRPr="00DA3766" w:rsidRDefault="007A44DA"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SaaS</w:t>
            </w:r>
            <w:r w:rsidR="00327343" w:rsidRPr="00DA3766">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14:paraId="110BAECA"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14:paraId="083D2E6A"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14:paraId="2E2A405F"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72.83%</w:t>
            </w:r>
          </w:p>
        </w:tc>
      </w:tr>
      <w:tr w:rsidR="00327343" w:rsidRPr="00DA3766" w14:paraId="186059F2" w14:textId="77777777" w:rsidTr="00DA3766">
        <w:trPr>
          <w:trHeight w:val="397"/>
          <w:jc w:val="center"/>
        </w:trPr>
        <w:tc>
          <w:tcPr>
            <w:tcW w:w="1000" w:type="pct"/>
            <w:tcMar>
              <w:top w:w="0" w:type="dxa"/>
              <w:bottom w:w="0" w:type="dxa"/>
            </w:tcMar>
            <w:vAlign w:val="center"/>
          </w:tcPr>
          <w:p w14:paraId="278524AF"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14:paraId="39DD0818"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14:paraId="6F8C553C"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14:paraId="75AEDACD"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14:paraId="500CDBFD"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bookmarkEnd w:id="53"/>
      <w:tr w:rsidR="00327343" w:rsidRPr="00DA3766" w14:paraId="75FF375C" w14:textId="77777777" w:rsidTr="00DA3766">
        <w:trPr>
          <w:trHeight w:val="397"/>
          <w:jc w:val="center"/>
        </w:trPr>
        <w:tc>
          <w:tcPr>
            <w:tcW w:w="1000" w:type="pct"/>
            <w:tcMar>
              <w:top w:w="0" w:type="dxa"/>
              <w:bottom w:w="0" w:type="dxa"/>
            </w:tcMar>
            <w:vAlign w:val="center"/>
          </w:tcPr>
          <w:p w14:paraId="43675502" w14:textId="77777777" w:rsidR="00327343" w:rsidRPr="00DA3766" w:rsidRDefault="0032734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6E34FB20" w14:textId="38DD268E" w:rsidR="00327343" w:rsidRPr="00DA3766" w:rsidRDefault="007A44DA"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SaaS</w:t>
            </w:r>
            <w:r w:rsidR="00327343" w:rsidRPr="00DA3766">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14:paraId="0192ECD2" w14:textId="5C07878F"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w:t>
            </w:r>
            <w:r w:rsidR="005D212D" w:rsidRPr="00DA3766">
              <w:rPr>
                <w:rFonts w:ascii="Times New Roman" w:hAnsi="Times New Roman" w:cs="Times New Roman"/>
                <w:color w:val="000000"/>
                <w:sz w:val="21"/>
                <w:szCs w:val="21"/>
              </w:rPr>
              <w:t>07</w:t>
            </w:r>
            <w:r w:rsidRPr="00DA3766">
              <w:rPr>
                <w:rFonts w:ascii="Times New Roman" w:hAnsi="Times New Roman" w:cs="Times New Roman"/>
                <w:color w:val="000000"/>
                <w:sz w:val="21"/>
                <w:szCs w:val="21"/>
              </w:rPr>
              <w:t>%</w:t>
            </w:r>
          </w:p>
        </w:tc>
        <w:tc>
          <w:tcPr>
            <w:tcW w:w="1000" w:type="pct"/>
            <w:tcMar>
              <w:top w:w="0" w:type="dxa"/>
              <w:left w:w="108" w:type="dxa"/>
              <w:bottom w:w="0" w:type="dxa"/>
              <w:right w:w="108" w:type="dxa"/>
            </w:tcMar>
            <w:vAlign w:val="center"/>
          </w:tcPr>
          <w:p w14:paraId="7C93E0DE" w14:textId="27E870C3"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87.</w:t>
            </w:r>
            <w:r w:rsidR="005D212D" w:rsidRPr="00DA3766">
              <w:rPr>
                <w:rFonts w:ascii="Times New Roman" w:hAnsi="Times New Roman" w:cs="Times New Roman"/>
                <w:color w:val="000000"/>
                <w:sz w:val="21"/>
                <w:szCs w:val="21"/>
              </w:rPr>
              <w:t>41</w:t>
            </w:r>
            <w:r w:rsidRPr="00DA3766">
              <w:rPr>
                <w:rFonts w:ascii="Times New Roman" w:hAnsi="Times New Roman" w:cs="Times New Roman"/>
                <w:color w:val="000000"/>
                <w:sz w:val="21"/>
                <w:szCs w:val="21"/>
              </w:rPr>
              <w:t>%</w:t>
            </w:r>
          </w:p>
        </w:tc>
        <w:tc>
          <w:tcPr>
            <w:tcW w:w="1000" w:type="pct"/>
            <w:tcMar>
              <w:top w:w="0" w:type="dxa"/>
              <w:left w:w="108" w:type="dxa"/>
              <w:bottom w:w="0" w:type="dxa"/>
              <w:right w:w="108" w:type="dxa"/>
            </w:tcMar>
            <w:vAlign w:val="center"/>
          </w:tcPr>
          <w:p w14:paraId="5026A7C6" w14:textId="351823BE" w:rsidR="00327343" w:rsidRPr="00DA3766" w:rsidRDefault="005D212D"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89</w:t>
            </w:r>
            <w:r w:rsidR="00327343"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93</w:t>
            </w:r>
            <w:r w:rsidR="00327343" w:rsidRPr="00DA3766">
              <w:rPr>
                <w:rFonts w:ascii="Times New Roman" w:hAnsi="Times New Roman" w:cs="Times New Roman"/>
                <w:color w:val="000000"/>
                <w:sz w:val="21"/>
                <w:szCs w:val="21"/>
              </w:rPr>
              <w:t>%</w:t>
            </w:r>
          </w:p>
        </w:tc>
      </w:tr>
    </w:tbl>
    <w:p w14:paraId="5AFBBBDB" w14:textId="77777777" w:rsidR="00327343" w:rsidRPr="00DA3766" w:rsidRDefault="00327343" w:rsidP="00327343">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2337311C" w14:textId="76BBD5EE" w:rsidR="007002A3" w:rsidRPr="00DA3766" w:rsidRDefault="007002A3" w:rsidP="007002A3">
      <w:pPr>
        <w:spacing w:before="120" w:afterLines="0" w:after="0"/>
        <w:ind w:firstLine="480"/>
        <w:jc w:val="both"/>
        <w:rPr>
          <w:rFonts w:ascii="Times New Roman" w:hAnsi="Times New Roman" w:cs="Times New Roman"/>
          <w:szCs w:val="22"/>
        </w:rPr>
      </w:pPr>
      <w:bookmarkStart w:id="54" w:name="_Hlk211372683"/>
      <w:bookmarkEnd w:id="50"/>
      <w:r w:rsidRPr="00DA3766">
        <w:rPr>
          <w:rFonts w:ascii="Times New Roman" w:hAnsi="Times New Roman" w:cs="Times New Roman"/>
          <w:szCs w:val="22"/>
        </w:rPr>
        <w:t>报告期各期，标的公司</w:t>
      </w:r>
      <w:r w:rsidRPr="00DA3766">
        <w:rPr>
          <w:rFonts w:ascii="Times New Roman" w:hAnsi="Times New Roman" w:cs="Times New Roman"/>
          <w:szCs w:val="22"/>
        </w:rPr>
        <w:t>SaaS</w:t>
      </w:r>
      <w:r w:rsidRPr="00DA3766">
        <w:rPr>
          <w:rFonts w:ascii="Times New Roman" w:hAnsi="Times New Roman" w:cs="Times New Roman"/>
          <w:szCs w:val="22"/>
        </w:rPr>
        <w:t>云平台业务毛利率总体与美登科技</w:t>
      </w:r>
      <w:r w:rsidRPr="00DA3766">
        <w:rPr>
          <w:rFonts w:ascii="Times New Roman" w:hAnsi="Times New Roman" w:cs="Times New Roman"/>
          <w:szCs w:val="22"/>
        </w:rPr>
        <w:t>SaaS</w:t>
      </w:r>
      <w:r w:rsidRPr="00DA3766">
        <w:rPr>
          <w:rFonts w:ascii="Times New Roman" w:hAnsi="Times New Roman" w:cs="Times New Roman"/>
          <w:szCs w:val="22"/>
        </w:rPr>
        <w:t>服务业务毛利率、广联达软件业务毛利率较为接近。</w:t>
      </w:r>
    </w:p>
    <w:p w14:paraId="75B1539E" w14:textId="1763D797" w:rsidR="00F10A6D" w:rsidRPr="00DA3766" w:rsidRDefault="007002A3" w:rsidP="007002A3">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综上，报告期内标的公司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云平台业务整体毛利率出现下滑主要系业务结构变化等因素所致，具有合理性，未来发生进一步大幅下滑的风险较小。</w:t>
      </w:r>
    </w:p>
    <w:bookmarkEnd w:id="54"/>
    <w:p w14:paraId="2E0D31DC" w14:textId="5796FFF1" w:rsidR="00AB3394" w:rsidRPr="004C2193" w:rsidRDefault="00AB3394" w:rsidP="004C2193">
      <w:pPr>
        <w:pStyle w:val="002"/>
        <w:spacing w:before="120" w:after="120"/>
        <w:ind w:firstLine="466"/>
        <w:rPr>
          <w:spacing w:val="-4"/>
        </w:rPr>
      </w:pPr>
      <w:r w:rsidRPr="004C2193">
        <w:rPr>
          <w:spacing w:val="-4"/>
        </w:rPr>
        <w:lastRenderedPageBreak/>
        <w:t>五、</w:t>
      </w:r>
      <w:bookmarkStart w:id="55" w:name="OLE_LINK96"/>
      <w:r w:rsidRPr="004C2193">
        <w:rPr>
          <w:spacing w:val="-4"/>
        </w:rPr>
        <w:t>IoT</w:t>
      </w:r>
      <w:r w:rsidRPr="004C2193">
        <w:rPr>
          <w:spacing w:val="-4"/>
        </w:rPr>
        <w:t>智能硬件业务采用外协生产模式的具体情况及合理性，控制外协产品质量、供货及时性的相关内控制度、具体措施及其有效性，与外协供应商关于产品质量责任划分、延期交付补偿的具体安排，报告期内是否存在争议或纠纷</w:t>
      </w:r>
      <w:bookmarkEnd w:id="55"/>
    </w:p>
    <w:p w14:paraId="49D306B6" w14:textId="58C079CD" w:rsidR="00CF204C" w:rsidRPr="00DA3766" w:rsidRDefault="007921C1" w:rsidP="007921C1">
      <w:pPr>
        <w:pStyle w:val="003"/>
        <w:spacing w:before="120" w:after="120"/>
        <w:ind w:firstLine="482"/>
      </w:pPr>
      <w:bookmarkStart w:id="56" w:name="OLE_LINK140"/>
      <w:bookmarkStart w:id="57" w:name="OLE_LINK98"/>
      <w:r w:rsidRPr="00DA3766">
        <w:t>（一）</w:t>
      </w:r>
      <w:bookmarkEnd w:id="56"/>
      <w:r w:rsidR="00CF204C" w:rsidRPr="00DA3766">
        <w:t>IoT</w:t>
      </w:r>
      <w:r w:rsidR="00CF204C" w:rsidRPr="00DA3766">
        <w:t>智能硬件业务采用外协生产模式的具体情况及合理性</w:t>
      </w:r>
    </w:p>
    <w:bookmarkEnd w:id="57"/>
    <w:p w14:paraId="65D01237" w14:textId="5315CFFA" w:rsidR="00C011FB" w:rsidRPr="00DA3766" w:rsidRDefault="007002A3" w:rsidP="00DA3766">
      <w:pPr>
        <w:snapToGrid w:val="0"/>
        <w:spacing w:before="120" w:after="120"/>
        <w:ind w:firstLine="480"/>
        <w:jc w:val="both"/>
        <w:rPr>
          <w:rFonts w:ascii="Times New Roman" w:hAnsi="Times New Roman" w:cs="Times New Roman"/>
          <w:szCs w:val="22"/>
        </w:rPr>
      </w:pPr>
      <w:r w:rsidRPr="00DA3766">
        <w:rPr>
          <w:rFonts w:ascii="Times New Roman" w:hAnsi="Times New Roman" w:cs="Times New Roman"/>
        </w:rPr>
        <w:t>报告期内，标的公司</w:t>
      </w:r>
      <w:r w:rsidRPr="00DA3766">
        <w:rPr>
          <w:rFonts w:ascii="Times New Roman" w:hAnsi="Times New Roman" w:cs="Times New Roman"/>
        </w:rPr>
        <w:t>IoT</w:t>
      </w:r>
      <w:r w:rsidRPr="00DA3766">
        <w:rPr>
          <w:rFonts w:ascii="Times New Roman" w:hAnsi="Times New Roman" w:cs="Times New Roman"/>
        </w:rPr>
        <w:t>智能硬件业务主要采用外协生产模式，外协加工模式下主要向外协加工厂采购产成品，相关加工流程标准化程度较高，自主生产仅涉及少量终端的组装。在标的公司</w:t>
      </w:r>
      <w:r w:rsidRPr="00DA3766">
        <w:rPr>
          <w:rFonts w:ascii="Times New Roman" w:hAnsi="Times New Roman" w:cs="Times New Roman"/>
        </w:rPr>
        <w:t>IoT</w:t>
      </w:r>
      <w:r w:rsidRPr="00DA3766">
        <w:rPr>
          <w:rFonts w:ascii="Times New Roman" w:hAnsi="Times New Roman" w:cs="Times New Roman"/>
        </w:rPr>
        <w:t>智能硬件产品的生产流程中，涉及的主要生产工序包括贴片、后焊、烧录和组装等，前述工序的具体情况如下表所示：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
        <w:gridCol w:w="4092"/>
        <w:gridCol w:w="953"/>
        <w:gridCol w:w="1277"/>
        <w:gridCol w:w="1272"/>
      </w:tblGrid>
      <w:tr w:rsidR="00C011FB" w:rsidRPr="00DA3766" w14:paraId="5766DE12" w14:textId="77777777" w:rsidTr="004C2193">
        <w:trPr>
          <w:trHeight w:val="397"/>
          <w:jc w:val="center"/>
        </w:trPr>
        <w:tc>
          <w:tcPr>
            <w:tcW w:w="547" w:type="pct"/>
            <w:tcMar>
              <w:top w:w="0" w:type="dxa"/>
              <w:left w:w="108" w:type="dxa"/>
              <w:bottom w:w="0" w:type="dxa"/>
              <w:right w:w="108" w:type="dxa"/>
            </w:tcMar>
            <w:vAlign w:val="center"/>
          </w:tcPr>
          <w:p w14:paraId="7A57C555"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工序</w:t>
            </w:r>
          </w:p>
        </w:tc>
        <w:tc>
          <w:tcPr>
            <w:tcW w:w="2399" w:type="pct"/>
            <w:tcMar>
              <w:top w:w="0" w:type="dxa"/>
              <w:left w:w="108" w:type="dxa"/>
              <w:bottom w:w="0" w:type="dxa"/>
              <w:right w:w="108" w:type="dxa"/>
            </w:tcMar>
            <w:vAlign w:val="center"/>
          </w:tcPr>
          <w:p w14:paraId="143A49AA"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定义</w:t>
            </w:r>
          </w:p>
        </w:tc>
        <w:tc>
          <w:tcPr>
            <w:tcW w:w="559" w:type="pct"/>
            <w:tcMar>
              <w:top w:w="0" w:type="dxa"/>
              <w:left w:w="108" w:type="dxa"/>
              <w:bottom w:w="0" w:type="dxa"/>
              <w:right w:w="108" w:type="dxa"/>
            </w:tcMar>
            <w:vAlign w:val="center"/>
          </w:tcPr>
          <w:p w14:paraId="1B28B4EF"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工序成熟程度</w:t>
            </w:r>
          </w:p>
        </w:tc>
        <w:tc>
          <w:tcPr>
            <w:tcW w:w="749" w:type="pct"/>
            <w:tcMar>
              <w:top w:w="0" w:type="dxa"/>
              <w:bottom w:w="0" w:type="dxa"/>
            </w:tcMar>
            <w:vAlign w:val="center"/>
          </w:tcPr>
          <w:p w14:paraId="03B1F4D1"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外协加工服务供应情况</w:t>
            </w:r>
          </w:p>
        </w:tc>
        <w:tc>
          <w:tcPr>
            <w:tcW w:w="746" w:type="pct"/>
            <w:tcMar>
              <w:top w:w="0" w:type="dxa"/>
              <w:bottom w:w="0" w:type="dxa"/>
            </w:tcMar>
            <w:vAlign w:val="center"/>
          </w:tcPr>
          <w:p w14:paraId="341079B7" w14:textId="77777777" w:rsidR="00A81CC2"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外协加工</w:t>
            </w:r>
          </w:p>
          <w:p w14:paraId="5D09AE0C" w14:textId="771A3C3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成本</w:t>
            </w:r>
          </w:p>
        </w:tc>
      </w:tr>
      <w:tr w:rsidR="00C011FB" w:rsidRPr="00DA3766" w14:paraId="459426FA" w14:textId="77777777" w:rsidTr="004C2193">
        <w:trPr>
          <w:trHeight w:val="397"/>
          <w:jc w:val="center"/>
        </w:trPr>
        <w:tc>
          <w:tcPr>
            <w:tcW w:w="547" w:type="pct"/>
            <w:tcMar>
              <w:top w:w="0" w:type="dxa"/>
              <w:left w:w="108" w:type="dxa"/>
              <w:bottom w:w="0" w:type="dxa"/>
              <w:right w:w="108" w:type="dxa"/>
            </w:tcMar>
            <w:vAlign w:val="center"/>
          </w:tcPr>
          <w:p w14:paraId="20623EF8"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贴片</w:t>
            </w:r>
          </w:p>
        </w:tc>
        <w:tc>
          <w:tcPr>
            <w:tcW w:w="2399" w:type="pct"/>
            <w:tcMar>
              <w:top w:w="0" w:type="dxa"/>
              <w:left w:w="108" w:type="dxa"/>
              <w:bottom w:w="0" w:type="dxa"/>
              <w:right w:w="108" w:type="dxa"/>
            </w:tcMar>
            <w:vAlign w:val="center"/>
          </w:tcPr>
          <w:p w14:paraId="74166F2E"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又称</w:t>
            </w:r>
            <w:r w:rsidRPr="00DA3766">
              <w:rPr>
                <w:rFonts w:ascii="Times New Roman" w:hAnsi="Times New Roman" w:cs="Times New Roman"/>
                <w:sz w:val="21"/>
                <w:szCs w:val="21"/>
              </w:rPr>
              <w:t>SMT</w:t>
            </w:r>
            <w:r w:rsidRPr="00DA3766">
              <w:rPr>
                <w:rFonts w:ascii="Times New Roman" w:hAnsi="Times New Roman" w:cs="Times New Roman"/>
                <w:sz w:val="21"/>
                <w:szCs w:val="21"/>
              </w:rPr>
              <w:t>贴片，是一种将表面贴装元器件（</w:t>
            </w:r>
            <w:r w:rsidRPr="00DA3766">
              <w:rPr>
                <w:rFonts w:ascii="Times New Roman" w:hAnsi="Times New Roman" w:cs="Times New Roman"/>
                <w:sz w:val="21"/>
                <w:szCs w:val="21"/>
              </w:rPr>
              <w:t>SMD</w:t>
            </w:r>
            <w:r w:rsidRPr="00DA3766">
              <w:rPr>
                <w:rFonts w:ascii="Times New Roman" w:hAnsi="Times New Roman" w:cs="Times New Roman"/>
                <w:sz w:val="21"/>
                <w:szCs w:val="21"/>
              </w:rPr>
              <w:t>）直接贴装在</w:t>
            </w:r>
            <w:r w:rsidRPr="00DA3766">
              <w:rPr>
                <w:rFonts w:ascii="Times New Roman" w:hAnsi="Times New Roman" w:cs="Times New Roman"/>
                <w:sz w:val="21"/>
                <w:szCs w:val="21"/>
              </w:rPr>
              <w:t>PCB</w:t>
            </w:r>
            <w:r w:rsidRPr="00DA3766">
              <w:rPr>
                <w:rFonts w:ascii="Times New Roman" w:hAnsi="Times New Roman" w:cs="Times New Roman"/>
                <w:sz w:val="21"/>
                <w:szCs w:val="21"/>
              </w:rPr>
              <w:t>表面规定位置，并通过回流焊等工艺使其与</w:t>
            </w:r>
            <w:r w:rsidRPr="00DA3766">
              <w:rPr>
                <w:rFonts w:ascii="Times New Roman" w:hAnsi="Times New Roman" w:cs="Times New Roman"/>
                <w:sz w:val="21"/>
                <w:szCs w:val="21"/>
              </w:rPr>
              <w:t>PCB</w:t>
            </w:r>
            <w:r w:rsidRPr="00DA3766">
              <w:rPr>
                <w:rFonts w:ascii="Times New Roman" w:hAnsi="Times New Roman" w:cs="Times New Roman"/>
                <w:sz w:val="21"/>
                <w:szCs w:val="21"/>
              </w:rPr>
              <w:t>形成可靠电气连接和机械连接的技术</w:t>
            </w:r>
          </w:p>
        </w:tc>
        <w:tc>
          <w:tcPr>
            <w:tcW w:w="559" w:type="pct"/>
            <w:tcMar>
              <w:top w:w="0" w:type="dxa"/>
              <w:left w:w="108" w:type="dxa"/>
              <w:bottom w:w="0" w:type="dxa"/>
              <w:right w:w="108" w:type="dxa"/>
            </w:tcMar>
            <w:vAlign w:val="center"/>
          </w:tcPr>
          <w:p w14:paraId="1BB435AB"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49" w:type="pct"/>
            <w:tcMar>
              <w:top w:w="0" w:type="dxa"/>
              <w:bottom w:w="0" w:type="dxa"/>
            </w:tcMar>
            <w:vAlign w:val="center"/>
          </w:tcPr>
          <w:p w14:paraId="6B7BA1A2"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46" w:type="pct"/>
            <w:tcMar>
              <w:top w:w="0" w:type="dxa"/>
              <w:bottom w:w="0" w:type="dxa"/>
            </w:tcMar>
            <w:vAlign w:val="center"/>
          </w:tcPr>
          <w:p w14:paraId="00F4ACC1"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019A38EE" w14:textId="77777777" w:rsidTr="004C2193">
        <w:trPr>
          <w:trHeight w:val="397"/>
          <w:jc w:val="center"/>
        </w:trPr>
        <w:tc>
          <w:tcPr>
            <w:tcW w:w="547" w:type="pct"/>
            <w:tcMar>
              <w:top w:w="0" w:type="dxa"/>
              <w:left w:w="108" w:type="dxa"/>
              <w:bottom w:w="0" w:type="dxa"/>
              <w:right w:w="108" w:type="dxa"/>
            </w:tcMar>
            <w:vAlign w:val="center"/>
          </w:tcPr>
          <w:p w14:paraId="5FA82DDF"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后焊</w:t>
            </w:r>
          </w:p>
        </w:tc>
        <w:tc>
          <w:tcPr>
            <w:tcW w:w="2399" w:type="pct"/>
            <w:tcMar>
              <w:top w:w="0" w:type="dxa"/>
              <w:left w:w="108" w:type="dxa"/>
              <w:bottom w:w="0" w:type="dxa"/>
              <w:right w:w="108" w:type="dxa"/>
            </w:tcMar>
            <w:vAlign w:val="center"/>
          </w:tcPr>
          <w:p w14:paraId="51F49C47"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PCB</w:t>
            </w:r>
            <w:r w:rsidRPr="00DA3766">
              <w:rPr>
                <w:rFonts w:ascii="Times New Roman" w:hAnsi="Times New Roman" w:cs="Times New Roman"/>
                <w:sz w:val="21"/>
                <w:szCs w:val="21"/>
              </w:rPr>
              <w:t>组装完成后进行的焊接操作，主要用于添加额外元件、修复焊接缺陷或处理特殊元器件</w:t>
            </w:r>
          </w:p>
        </w:tc>
        <w:tc>
          <w:tcPr>
            <w:tcW w:w="559" w:type="pct"/>
            <w:tcMar>
              <w:top w:w="0" w:type="dxa"/>
              <w:left w:w="108" w:type="dxa"/>
              <w:bottom w:w="0" w:type="dxa"/>
              <w:right w:w="108" w:type="dxa"/>
            </w:tcMar>
            <w:vAlign w:val="center"/>
          </w:tcPr>
          <w:p w14:paraId="301C2896"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49" w:type="pct"/>
            <w:tcMar>
              <w:top w:w="0" w:type="dxa"/>
              <w:bottom w:w="0" w:type="dxa"/>
            </w:tcMar>
            <w:vAlign w:val="center"/>
          </w:tcPr>
          <w:p w14:paraId="434DBF56"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46" w:type="pct"/>
            <w:tcMar>
              <w:top w:w="0" w:type="dxa"/>
              <w:bottom w:w="0" w:type="dxa"/>
            </w:tcMar>
            <w:vAlign w:val="center"/>
          </w:tcPr>
          <w:p w14:paraId="18B20C9A"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3E485150" w14:textId="77777777" w:rsidTr="004C2193">
        <w:trPr>
          <w:trHeight w:val="397"/>
          <w:jc w:val="center"/>
        </w:trPr>
        <w:tc>
          <w:tcPr>
            <w:tcW w:w="547" w:type="pct"/>
            <w:tcMar>
              <w:top w:w="0" w:type="dxa"/>
              <w:left w:w="108" w:type="dxa"/>
              <w:bottom w:w="0" w:type="dxa"/>
              <w:right w:w="108" w:type="dxa"/>
            </w:tcMar>
            <w:vAlign w:val="center"/>
          </w:tcPr>
          <w:p w14:paraId="1486B2CB"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烧录</w:t>
            </w:r>
          </w:p>
        </w:tc>
        <w:tc>
          <w:tcPr>
            <w:tcW w:w="2399" w:type="pct"/>
            <w:tcMar>
              <w:top w:w="0" w:type="dxa"/>
              <w:left w:w="108" w:type="dxa"/>
              <w:bottom w:w="0" w:type="dxa"/>
              <w:right w:w="108" w:type="dxa"/>
            </w:tcMar>
            <w:vAlign w:val="center"/>
          </w:tcPr>
          <w:p w14:paraId="0E85CF4C"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将预先设计好的程序代码写入到</w:t>
            </w:r>
            <w:r w:rsidRPr="00DA3766">
              <w:rPr>
                <w:rFonts w:ascii="Times New Roman" w:hAnsi="Times New Roman" w:cs="Times New Roman"/>
                <w:sz w:val="21"/>
                <w:szCs w:val="21"/>
              </w:rPr>
              <w:t>PCB</w:t>
            </w:r>
            <w:r w:rsidRPr="00DA3766">
              <w:rPr>
                <w:rFonts w:ascii="Times New Roman" w:hAnsi="Times New Roman" w:cs="Times New Roman"/>
                <w:sz w:val="21"/>
                <w:szCs w:val="21"/>
              </w:rPr>
              <w:t>板上的可编程芯片或存储器中的过程，是赋予电子产品特定功能和智能化的关键环节</w:t>
            </w:r>
          </w:p>
        </w:tc>
        <w:tc>
          <w:tcPr>
            <w:tcW w:w="559" w:type="pct"/>
            <w:tcMar>
              <w:top w:w="0" w:type="dxa"/>
              <w:left w:w="108" w:type="dxa"/>
              <w:bottom w:w="0" w:type="dxa"/>
              <w:right w:w="108" w:type="dxa"/>
            </w:tcMar>
            <w:vAlign w:val="center"/>
          </w:tcPr>
          <w:p w14:paraId="3E6E4268"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49" w:type="pct"/>
            <w:tcMar>
              <w:top w:w="0" w:type="dxa"/>
              <w:bottom w:w="0" w:type="dxa"/>
            </w:tcMar>
            <w:vAlign w:val="center"/>
          </w:tcPr>
          <w:p w14:paraId="26F65CEC"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46" w:type="pct"/>
            <w:tcMar>
              <w:top w:w="0" w:type="dxa"/>
              <w:bottom w:w="0" w:type="dxa"/>
            </w:tcMar>
            <w:vAlign w:val="center"/>
          </w:tcPr>
          <w:p w14:paraId="54579051"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4DAAAC6E" w14:textId="77777777" w:rsidTr="004C2193">
        <w:trPr>
          <w:trHeight w:val="397"/>
          <w:jc w:val="center"/>
        </w:trPr>
        <w:tc>
          <w:tcPr>
            <w:tcW w:w="547" w:type="pct"/>
            <w:tcMar>
              <w:top w:w="0" w:type="dxa"/>
              <w:left w:w="108" w:type="dxa"/>
              <w:bottom w:w="0" w:type="dxa"/>
              <w:right w:w="108" w:type="dxa"/>
            </w:tcMar>
            <w:vAlign w:val="center"/>
          </w:tcPr>
          <w:p w14:paraId="77643463"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组装</w:t>
            </w:r>
          </w:p>
        </w:tc>
        <w:tc>
          <w:tcPr>
            <w:tcW w:w="2399" w:type="pct"/>
            <w:tcMar>
              <w:top w:w="0" w:type="dxa"/>
              <w:left w:w="108" w:type="dxa"/>
              <w:bottom w:w="0" w:type="dxa"/>
              <w:right w:w="108" w:type="dxa"/>
            </w:tcMar>
            <w:vAlign w:val="center"/>
          </w:tcPr>
          <w:p w14:paraId="5A3AC15C"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又称成品组装，系</w:t>
            </w:r>
            <w:r w:rsidRPr="00DA3766">
              <w:rPr>
                <w:rFonts w:ascii="Times New Roman" w:hAnsi="Times New Roman" w:cs="Times New Roman"/>
                <w:sz w:val="21"/>
                <w:szCs w:val="21"/>
              </w:rPr>
              <w:t>PCB</w:t>
            </w:r>
            <w:r w:rsidRPr="00DA3766">
              <w:rPr>
                <w:rFonts w:ascii="Times New Roman" w:hAnsi="Times New Roman" w:cs="Times New Roman"/>
                <w:sz w:val="21"/>
                <w:szCs w:val="21"/>
              </w:rPr>
              <w:t>生产工序的后端环节，主要加工产品验收前的组装程序</w:t>
            </w:r>
          </w:p>
        </w:tc>
        <w:tc>
          <w:tcPr>
            <w:tcW w:w="559" w:type="pct"/>
            <w:tcMar>
              <w:top w:w="0" w:type="dxa"/>
              <w:left w:w="108" w:type="dxa"/>
              <w:bottom w:w="0" w:type="dxa"/>
              <w:right w:w="108" w:type="dxa"/>
            </w:tcMar>
            <w:vAlign w:val="center"/>
          </w:tcPr>
          <w:p w14:paraId="1B18C8F5"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49" w:type="pct"/>
            <w:tcMar>
              <w:top w:w="0" w:type="dxa"/>
              <w:bottom w:w="0" w:type="dxa"/>
            </w:tcMar>
            <w:vAlign w:val="center"/>
          </w:tcPr>
          <w:p w14:paraId="20E20D03"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46" w:type="pct"/>
            <w:tcMar>
              <w:top w:w="0" w:type="dxa"/>
              <w:bottom w:w="0" w:type="dxa"/>
            </w:tcMar>
            <w:vAlign w:val="center"/>
          </w:tcPr>
          <w:p w14:paraId="1B19F3CC"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bl>
    <w:p w14:paraId="3E2DB13E" w14:textId="77777777" w:rsidR="007002A3" w:rsidRPr="00DA3766" w:rsidRDefault="007002A3" w:rsidP="007002A3">
      <w:pPr>
        <w:pStyle w:val="005"/>
        <w:spacing w:before="120" w:after="120"/>
        <w:ind w:firstLine="480"/>
      </w:pPr>
      <w:r w:rsidRPr="00DA3766">
        <w:t>自设立以来，标的公司采取轻资产运营模式，聚焦于自助设备物联网技术及软硬件产品的创新、研发以及销售环节，将</w:t>
      </w:r>
      <w:r w:rsidRPr="00DA3766">
        <w:t>IoT</w:t>
      </w:r>
      <w:r w:rsidRPr="00DA3766">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14:paraId="7A9A222D" w14:textId="79F57568" w:rsidR="00C011FB" w:rsidRPr="00DA3766" w:rsidRDefault="007002A3" w:rsidP="007002A3">
      <w:pPr>
        <w:pStyle w:val="005"/>
        <w:spacing w:before="120" w:after="120"/>
        <w:ind w:firstLine="480"/>
      </w:pPr>
      <w:r w:rsidRPr="00DA3766">
        <w:t>综上所述，标的公司采用外协加工模式具有商业合理性。</w:t>
      </w:r>
    </w:p>
    <w:p w14:paraId="3FB553BA" w14:textId="2CF71E1A" w:rsidR="00CF204C" w:rsidRPr="00DA3766" w:rsidRDefault="007921C1" w:rsidP="007921C1">
      <w:pPr>
        <w:pStyle w:val="003"/>
        <w:spacing w:before="120" w:after="120"/>
        <w:ind w:firstLine="482"/>
      </w:pPr>
      <w:r w:rsidRPr="00DA3766">
        <w:t>（二）</w:t>
      </w:r>
      <w:r w:rsidR="00CF204C" w:rsidRPr="00DA3766">
        <w:t>控制外协产品质量、供货及时性的相关内控制度、具体措施及其有效性，与外协供应商关于产品质量责任划分、延期交付补偿的具体安排，报告期内是否存在</w:t>
      </w:r>
      <w:bookmarkStart w:id="58" w:name="OLE_LINK144"/>
      <w:r w:rsidR="00CF204C" w:rsidRPr="00DA3766">
        <w:t>争议或纠纷</w:t>
      </w:r>
      <w:bookmarkEnd w:id="58"/>
    </w:p>
    <w:p w14:paraId="0EDB9140" w14:textId="2B4A7C53" w:rsidR="00936D42" w:rsidRPr="00DA3766" w:rsidRDefault="007921C1" w:rsidP="007921C1">
      <w:pPr>
        <w:pStyle w:val="004"/>
        <w:spacing w:before="120" w:after="120"/>
        <w:ind w:firstLine="482"/>
        <w:rPr>
          <w:szCs w:val="24"/>
        </w:rPr>
      </w:pPr>
      <w:r w:rsidRPr="00DA3766">
        <w:rPr>
          <w:szCs w:val="24"/>
        </w:rPr>
        <w:t>1</w:t>
      </w:r>
      <w:r w:rsidRPr="00DA3766">
        <w:rPr>
          <w:szCs w:val="24"/>
        </w:rPr>
        <w:t>、</w:t>
      </w:r>
      <w:r w:rsidR="00936D42" w:rsidRPr="00DA3766">
        <w:rPr>
          <w:szCs w:val="24"/>
        </w:rPr>
        <w:t>标的公司</w:t>
      </w:r>
      <w:r w:rsidR="00936D42" w:rsidRPr="00DA3766">
        <w:rPr>
          <w:szCs w:val="24"/>
        </w:rPr>
        <w:t>IoT</w:t>
      </w:r>
      <w:r w:rsidR="00936D42" w:rsidRPr="00DA3766">
        <w:rPr>
          <w:szCs w:val="24"/>
        </w:rPr>
        <w:t>智能硬件业务外协生产的基本情况</w:t>
      </w:r>
    </w:p>
    <w:p w14:paraId="185FFAA7" w14:textId="05EDC8F5" w:rsidR="00936D42" w:rsidRPr="00DA3766" w:rsidRDefault="007002A3" w:rsidP="007E30A6">
      <w:pPr>
        <w:pStyle w:val="005"/>
        <w:spacing w:before="120" w:after="120"/>
        <w:ind w:firstLine="480"/>
      </w:pPr>
      <w:r w:rsidRPr="00DA3766">
        <w:t>报告期内，标的公司主要采用外协生产模式，</w:t>
      </w:r>
      <w:r w:rsidR="00A13171" w:rsidRPr="00DA3766">
        <w:t>向外协加工厂采购加工服务</w:t>
      </w:r>
      <w:r w:rsidRPr="00DA3766">
        <w:t>，</w:t>
      </w:r>
      <w:r w:rsidRPr="00DA3766">
        <w:lastRenderedPageBreak/>
        <w:t>涉及的主要生产工序包括贴片、后焊、烧录和组装等，自主生产仅涉及少量终端的组装部分。</w:t>
      </w:r>
    </w:p>
    <w:p w14:paraId="351F8733" w14:textId="24E5F77B" w:rsidR="00936D42" w:rsidRPr="00DA3766" w:rsidRDefault="007921C1" w:rsidP="007921C1">
      <w:pPr>
        <w:pStyle w:val="004"/>
        <w:spacing w:before="120" w:after="120"/>
        <w:ind w:firstLine="482"/>
        <w:rPr>
          <w:szCs w:val="24"/>
        </w:rPr>
      </w:pPr>
      <w:r w:rsidRPr="00DA3766">
        <w:rPr>
          <w:szCs w:val="24"/>
        </w:rPr>
        <w:t>2</w:t>
      </w:r>
      <w:r w:rsidRPr="00DA3766">
        <w:rPr>
          <w:szCs w:val="24"/>
        </w:rPr>
        <w:t>、</w:t>
      </w:r>
      <w:r w:rsidR="00936D42" w:rsidRPr="00DA3766">
        <w:rPr>
          <w:szCs w:val="24"/>
        </w:rPr>
        <w:t>标的公司采用外协加工模式的主要原因</w:t>
      </w:r>
    </w:p>
    <w:p w14:paraId="404A4CDD" w14:textId="77777777" w:rsidR="007002A3" w:rsidRPr="00DA3766" w:rsidRDefault="007002A3" w:rsidP="007002A3">
      <w:pPr>
        <w:pStyle w:val="005"/>
        <w:spacing w:before="120" w:after="120"/>
        <w:ind w:firstLine="480"/>
      </w:pPr>
      <w:r w:rsidRPr="00DA3766">
        <w:t>标的公司采用外协加工模式的主要原因系降低生产成本和提高运营效率。标的公司旗下</w:t>
      </w:r>
      <w:r w:rsidRPr="00DA3766">
        <w:t>IoT</w:t>
      </w:r>
      <w:r w:rsidRPr="00DA3766">
        <w:t>智能硬件产品涉及的具体生产工序包括贴片、后焊、烧录和组装等，均系</w:t>
      </w:r>
      <w:r w:rsidRPr="00DA3766">
        <w:t>PCB</w:t>
      </w:r>
      <w:r w:rsidRPr="00DA3766">
        <w:t>生产过程中的常见工序，具有重复度高、技术难度低和前期设备投入成本高的特点，且市面上存在大量的外协加工厂，外协加工服务供应充足，市场价格公开透明，通过外协加工有助于降低标的公司固定资产和生产人员的投入，提升综合运营效率。</w:t>
      </w:r>
    </w:p>
    <w:p w14:paraId="30849A24" w14:textId="7D73A14F" w:rsidR="00936D42" w:rsidRPr="00DA3766" w:rsidRDefault="007002A3" w:rsidP="007002A3">
      <w:pPr>
        <w:pStyle w:val="005"/>
        <w:spacing w:before="120" w:after="120"/>
        <w:ind w:firstLine="480"/>
      </w:pPr>
      <w:r w:rsidRPr="00DA3766">
        <w:t>自设立以来，标的公司采取轻资产运营模式，聚焦于自助设备物联网技术及软硬件产品的创新、研发以及销售环节，将</w:t>
      </w:r>
      <w:r w:rsidRPr="00DA3766">
        <w:t>IoT</w:t>
      </w:r>
      <w:r w:rsidRPr="00DA3766">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14:paraId="71023363" w14:textId="0094B405" w:rsidR="007921C1" w:rsidRPr="00DA3766" w:rsidRDefault="00B85474" w:rsidP="007921C1">
      <w:pPr>
        <w:pStyle w:val="004"/>
        <w:spacing w:before="120" w:after="120"/>
        <w:ind w:firstLine="482"/>
        <w:rPr>
          <w:szCs w:val="24"/>
        </w:rPr>
      </w:pPr>
      <w:r w:rsidRPr="00DA3766">
        <w:rPr>
          <w:szCs w:val="24"/>
        </w:rPr>
        <w:t>3</w:t>
      </w:r>
      <w:r w:rsidR="007921C1" w:rsidRPr="00DA3766">
        <w:rPr>
          <w:szCs w:val="24"/>
        </w:rPr>
        <w:t>、标的公司外协产品质量控制</w:t>
      </w:r>
    </w:p>
    <w:p w14:paraId="7CC048EB" w14:textId="77777777" w:rsidR="007002A3" w:rsidRPr="00DA3766" w:rsidRDefault="007002A3" w:rsidP="007002A3">
      <w:pPr>
        <w:pStyle w:val="005"/>
        <w:spacing w:before="120" w:after="120"/>
        <w:ind w:firstLine="480"/>
      </w:pPr>
      <w:r w:rsidRPr="00DA3766">
        <w:t>针对外协产品质量方面的控制制度，标的公司与外协厂商均签署有产品质量保障协议，详细约定了关于各类产品出现质量问题的处理和赔偿方式以及产品质量保证期，并对产品的交付验收合格率以及上线合格率做出了明确要求；关于质量问题，通常先进行协商，一般情况下以外协厂商进行返工处理为主，若造成断货或者客户索赔等情况，标的公司会根据合同单独提出追偿，双方达成协议后按协议处理货物和进行赔付。</w:t>
      </w:r>
    </w:p>
    <w:p w14:paraId="24D61169" w14:textId="7720A31D" w:rsidR="00936D42" w:rsidRPr="00DA3766" w:rsidRDefault="007002A3" w:rsidP="007002A3">
      <w:pPr>
        <w:pStyle w:val="005"/>
        <w:spacing w:before="120" w:after="120"/>
        <w:ind w:firstLine="480"/>
      </w:pPr>
      <w:r w:rsidRPr="00DA3766">
        <w:t>标的公司与外协厂商关于产品质量责任划分，主要基于产品质量问题是否由外协厂商造成</w:t>
      </w:r>
      <w:r w:rsidR="000B1F6E" w:rsidRPr="00DA3766">
        <w:t>，</w:t>
      </w:r>
      <w:r w:rsidRPr="00DA3766">
        <w:t>如</w:t>
      </w:r>
      <w:r w:rsidR="00731376" w:rsidRPr="00DA3766">
        <w:t>属于</w:t>
      </w:r>
      <w:r w:rsidR="000B1F6E" w:rsidRPr="00DA3766">
        <w:t>标的公司</w:t>
      </w:r>
      <w:r w:rsidRPr="00DA3766">
        <w:t>设计问题</w:t>
      </w:r>
      <w:r w:rsidR="000B1F6E" w:rsidRPr="00DA3766">
        <w:t>、</w:t>
      </w:r>
      <w:r w:rsidRPr="00DA3766">
        <w:t>指示错误等，以外协厂商协助有偿返工为主；如</w:t>
      </w:r>
      <w:r w:rsidR="00731376" w:rsidRPr="00DA3766">
        <w:t>属于</w:t>
      </w:r>
      <w:r w:rsidRPr="00DA3766">
        <w:t>外协厂商生产原因导致质量问题，一般由外协厂商无偿返工，涉及其他损失的，标的公司另行向外协厂商追偿。</w:t>
      </w:r>
    </w:p>
    <w:p w14:paraId="08818E83" w14:textId="691FD50B" w:rsidR="007921C1" w:rsidRPr="00DA3766" w:rsidRDefault="00B85474" w:rsidP="007921C1">
      <w:pPr>
        <w:pStyle w:val="004"/>
        <w:spacing w:before="120" w:after="120"/>
        <w:ind w:firstLine="482"/>
        <w:rPr>
          <w:szCs w:val="24"/>
        </w:rPr>
      </w:pPr>
      <w:r w:rsidRPr="00DA3766">
        <w:rPr>
          <w:szCs w:val="24"/>
        </w:rPr>
        <w:t>4</w:t>
      </w:r>
      <w:r w:rsidR="007921C1" w:rsidRPr="00DA3766">
        <w:rPr>
          <w:szCs w:val="24"/>
        </w:rPr>
        <w:t>、标的公司外协产品交期管理</w:t>
      </w:r>
    </w:p>
    <w:p w14:paraId="4366B57F" w14:textId="2753A862" w:rsidR="00936D42" w:rsidRPr="00DA3766" w:rsidRDefault="007002A3" w:rsidP="007E30A6">
      <w:pPr>
        <w:pStyle w:val="005"/>
        <w:spacing w:before="120" w:after="120"/>
        <w:ind w:firstLine="480"/>
      </w:pPr>
      <w:r w:rsidRPr="00DA3766">
        <w:t>关于交期管理，标的公司对于常规产品</w:t>
      </w:r>
      <w:r w:rsidR="00731376" w:rsidRPr="00DA3766">
        <w:t>通常保持</w:t>
      </w:r>
      <w:r w:rsidRPr="00DA3766">
        <w:t>滚动备货，较少出现因</w:t>
      </w:r>
      <w:r w:rsidR="00731376" w:rsidRPr="00DA3766">
        <w:t>外协厂商</w:t>
      </w:r>
      <w:r w:rsidRPr="00DA3766">
        <w:t>迟延交付而导致的缺货情况</w:t>
      </w:r>
      <w:r w:rsidR="00731376" w:rsidRPr="00DA3766">
        <w:t>；</w:t>
      </w:r>
      <w:r w:rsidRPr="00DA3766">
        <w:t>对于定制款等非常规产品，一般根据客户订单</w:t>
      </w:r>
      <w:r w:rsidRPr="00DA3766">
        <w:lastRenderedPageBreak/>
        <w:t>指示</w:t>
      </w:r>
      <w:bookmarkStart w:id="59" w:name="OLE_LINK22"/>
      <w:r w:rsidRPr="00DA3766">
        <w:t>外协厂商</w:t>
      </w:r>
      <w:bookmarkEnd w:id="59"/>
      <w:r w:rsidRPr="00DA3766">
        <w:t>生产</w:t>
      </w:r>
      <w:r w:rsidR="0050715E" w:rsidRPr="00DA3766">
        <w:t>。标的公司</w:t>
      </w:r>
      <w:r w:rsidRPr="00DA3766">
        <w:t>外协厂商通常的生产周期为</w:t>
      </w:r>
      <w:r w:rsidRPr="00DA3766">
        <w:t>20</w:t>
      </w:r>
      <w:r w:rsidR="008D10A0" w:rsidRPr="00DA3766">
        <w:t>天</w:t>
      </w:r>
      <w:r w:rsidRPr="00DA3766">
        <w:t>至</w:t>
      </w:r>
      <w:r w:rsidRPr="00DA3766">
        <w:t>25</w:t>
      </w:r>
      <w:r w:rsidRPr="00DA3766">
        <w:t>天</w:t>
      </w:r>
      <w:r w:rsidR="0050715E" w:rsidRPr="00DA3766">
        <w:t>。</w:t>
      </w:r>
      <w:r w:rsidRPr="00DA3766">
        <w:t>针对迟延交付的问题，</w:t>
      </w:r>
      <w:r w:rsidR="0050715E" w:rsidRPr="00DA3766">
        <w:t>标的公司</w:t>
      </w:r>
      <w:r w:rsidRPr="00DA3766">
        <w:t>一方面通过业务端调整客户交货预期，即预留生产时间</w:t>
      </w:r>
      <w:r w:rsidR="0050715E" w:rsidRPr="00DA3766">
        <w:t>、</w:t>
      </w:r>
      <w:r w:rsidRPr="00DA3766">
        <w:t>降低交付紧迫性</w:t>
      </w:r>
      <w:r w:rsidR="0050715E" w:rsidRPr="00DA3766">
        <w:t>；</w:t>
      </w:r>
      <w:r w:rsidRPr="00DA3766">
        <w:t>另一方面通过合同条款约束和沟通提高生产</w:t>
      </w:r>
      <w:r w:rsidR="0050715E" w:rsidRPr="00DA3766">
        <w:t>及时性</w:t>
      </w:r>
      <w:r w:rsidRPr="00DA3766">
        <w:t>，降低外协厂商迟延交付的可能。若</w:t>
      </w:r>
      <w:r w:rsidR="008D10A0" w:rsidRPr="00DA3766">
        <w:t>实际发生</w:t>
      </w:r>
      <w:r w:rsidRPr="00DA3766">
        <w:t>迟延交付</w:t>
      </w:r>
      <w:r w:rsidR="008D10A0" w:rsidRPr="00DA3766">
        <w:t>、</w:t>
      </w:r>
      <w:r w:rsidRPr="00DA3766">
        <w:t>造成标的公司损失，</w:t>
      </w:r>
      <w:r w:rsidR="008D10A0" w:rsidRPr="00DA3766">
        <w:t>标的公司将</w:t>
      </w:r>
      <w:r w:rsidRPr="00DA3766">
        <w:t>按照合同进行追偿。</w:t>
      </w:r>
    </w:p>
    <w:p w14:paraId="029E4A91" w14:textId="513A5151" w:rsidR="007921C1" w:rsidRPr="00DA3766" w:rsidRDefault="002216F6" w:rsidP="007921C1">
      <w:pPr>
        <w:pStyle w:val="004"/>
        <w:spacing w:before="120" w:after="120"/>
        <w:ind w:firstLine="482"/>
        <w:rPr>
          <w:szCs w:val="24"/>
        </w:rPr>
      </w:pPr>
      <w:r>
        <w:rPr>
          <w:rFonts w:hint="eastAsia"/>
          <w:szCs w:val="24"/>
        </w:rPr>
        <w:t>5</w:t>
      </w:r>
      <w:r w:rsidR="007921C1" w:rsidRPr="00DA3766">
        <w:rPr>
          <w:szCs w:val="24"/>
        </w:rPr>
        <w:t>、有关外协的争议或纠纷</w:t>
      </w:r>
    </w:p>
    <w:p w14:paraId="564DA67F" w14:textId="2B5589B7" w:rsidR="00936D42" w:rsidRPr="00DA3766" w:rsidRDefault="007002A3" w:rsidP="007E30A6">
      <w:pPr>
        <w:pStyle w:val="005"/>
        <w:spacing w:before="120" w:after="120"/>
        <w:ind w:firstLine="480"/>
      </w:pPr>
      <w:r w:rsidRPr="00DA3766">
        <w:t>报告期内，标的公司与外协厂商不存在相关</w:t>
      </w:r>
      <w:r w:rsidR="000B1F6E" w:rsidRPr="00DA3766">
        <w:t>重</w:t>
      </w:r>
      <w:r w:rsidR="00042B9E" w:rsidRPr="00DA3766">
        <w:t>大</w:t>
      </w:r>
      <w:r w:rsidRPr="00DA3766">
        <w:t>争议或纠纷。</w:t>
      </w:r>
    </w:p>
    <w:p w14:paraId="0F294A6A" w14:textId="7CD4C6FC" w:rsidR="00AB3394" w:rsidRPr="00DA3766" w:rsidRDefault="00AB3394" w:rsidP="00AB3394">
      <w:pPr>
        <w:pStyle w:val="002"/>
        <w:spacing w:before="120" w:after="120"/>
        <w:ind w:firstLine="482"/>
      </w:pPr>
      <w:r w:rsidRPr="00DA3766">
        <w:t>六、结合</w:t>
      </w:r>
      <w:bookmarkStart w:id="60" w:name="OLE_LINK99"/>
      <w:r w:rsidRPr="00DA3766">
        <w:t>行业发展情况、标的资产</w:t>
      </w:r>
      <w:r w:rsidRPr="00DA3766">
        <w:t>IoT</w:t>
      </w:r>
      <w:r w:rsidRPr="00DA3766">
        <w:t>智能硬件各类产品销量、单价及单位成本的变动情况及原因</w:t>
      </w:r>
      <w:bookmarkEnd w:id="60"/>
      <w:r w:rsidRPr="00DA3766">
        <w:t>，外协加工费的定价依据及定价公允性、相关成本确认的完整性、准确性、是否符合《企业会计准则》的有关规定，以及是否存在代垫成本费用的情形等，说明报告期内</w:t>
      </w:r>
      <w:r w:rsidRPr="00DA3766">
        <w:t>IoT</w:t>
      </w:r>
      <w:r w:rsidRPr="00DA3766">
        <w:t>智能硬件业务收入、毛利率提升的原因及合理性，与同行业可比公司的对比情况及差异原因</w:t>
      </w:r>
    </w:p>
    <w:p w14:paraId="53850271" w14:textId="74C1E94A" w:rsidR="00C011FB" w:rsidRPr="00DA3766" w:rsidRDefault="007921C1" w:rsidP="007921C1">
      <w:pPr>
        <w:pStyle w:val="003"/>
        <w:spacing w:before="120" w:after="120"/>
        <w:ind w:firstLine="482"/>
      </w:pPr>
      <w:r w:rsidRPr="00DA3766">
        <w:t>（一）</w:t>
      </w:r>
      <w:r w:rsidR="00C011FB" w:rsidRPr="00DA3766">
        <w:t>行业发展情况、标的资产</w:t>
      </w:r>
      <w:r w:rsidR="00C011FB" w:rsidRPr="00DA3766">
        <w:t>IoT</w:t>
      </w:r>
      <w:r w:rsidR="00C011FB" w:rsidRPr="00DA3766">
        <w:t>智能硬件各类产品销量、单价及单位成本的变动情况及原因</w:t>
      </w:r>
    </w:p>
    <w:p w14:paraId="1C56BE78" w14:textId="77777777" w:rsidR="007002A3" w:rsidRPr="00DA3766" w:rsidRDefault="007002A3" w:rsidP="007002A3">
      <w:pPr>
        <w:pStyle w:val="005"/>
        <w:spacing w:before="120" w:after="120"/>
        <w:ind w:firstLine="480"/>
      </w:pPr>
      <w:r w:rsidRPr="00DA3766">
        <w:t>物联网产业是数字中国的重要基石，亦是数字化转型的关键抓手。从技术原理上看，物联网技术通过在传统机器本体中嵌入</w:t>
      </w:r>
      <w:r w:rsidRPr="00DA3766">
        <w:t>IoT</w:t>
      </w:r>
      <w:r w:rsidRPr="00DA3766">
        <w:t>智能硬件，并搭建基于前述硬件的</w:t>
      </w:r>
      <w:r w:rsidRPr="00DA3766">
        <w:t>SaaS</w:t>
      </w:r>
      <w:r w:rsidRPr="00DA3766">
        <w:t>云平台，能够使孤立的、功能单一的传统机器转变为互联互通、数据驱动的数字化和智能化服务节点，从而使</w:t>
      </w:r>
      <w:r w:rsidRPr="00DA3766">
        <w:rPr>
          <w:rFonts w:ascii="宋体" w:hAnsi="宋体"/>
        </w:rPr>
        <w:t>“</w:t>
      </w:r>
      <w:r w:rsidRPr="00DA3766">
        <w:t>万物互联</w:t>
      </w:r>
      <w:r w:rsidRPr="00DA3766">
        <w:rPr>
          <w:rFonts w:ascii="宋体" w:hAnsi="宋体"/>
        </w:rPr>
        <w:t>”</w:t>
      </w:r>
      <w:r w:rsidRPr="00DA3766">
        <w:t>成为物理现实。</w:t>
      </w:r>
    </w:p>
    <w:p w14:paraId="46D5B3B8" w14:textId="77777777" w:rsidR="007002A3" w:rsidRPr="00DA3766" w:rsidRDefault="007002A3" w:rsidP="007002A3">
      <w:pPr>
        <w:pStyle w:val="005"/>
        <w:spacing w:before="120" w:after="120"/>
        <w:ind w:firstLine="480"/>
      </w:pPr>
      <w:r w:rsidRPr="00DA3766">
        <w:t>2025</w:t>
      </w:r>
      <w:r w:rsidRPr="00DA3766">
        <w:t>年</w:t>
      </w:r>
      <w:r w:rsidRPr="00DA3766">
        <w:t>9</w:t>
      </w:r>
      <w:r w:rsidRPr="00DA3766">
        <w:t>月，工业和信息化部、市场监督管理总局印发《电子信息制造业</w:t>
      </w:r>
      <w:r w:rsidRPr="00DA3766">
        <w:t>2025-2026</w:t>
      </w:r>
      <w:r w:rsidRPr="00DA3766">
        <w:t>年稳增长行动方案》，提出推动电子整机高端化，提升产品供给水平。聚焦关键环节和重点领域，面向行业应用和消费场景，统筹专项资源，持续强化电子产品供给水平。促进人工智能终端迈向更高水平智能创新，推动智能体与终端产品深度融合。</w:t>
      </w:r>
    </w:p>
    <w:p w14:paraId="0F5C878B" w14:textId="77777777" w:rsidR="007002A3" w:rsidRPr="00DA3766" w:rsidRDefault="007002A3" w:rsidP="007002A3">
      <w:pPr>
        <w:pStyle w:val="005"/>
        <w:spacing w:before="120" w:after="120"/>
        <w:ind w:firstLine="480"/>
      </w:pPr>
      <w:r w:rsidRPr="00DA3766">
        <w:t>根据</w:t>
      </w:r>
      <w:r w:rsidRPr="00DA3766">
        <w:t>Strategy Analytics</w:t>
      </w:r>
      <w:r w:rsidRPr="00DA3766">
        <w:t>数据，全球物联网硬件市场</w:t>
      </w:r>
      <w:r w:rsidRPr="00DA3766">
        <w:t>2025</w:t>
      </w:r>
      <w:r w:rsidRPr="00DA3766">
        <w:t>年规模达</w:t>
      </w:r>
      <w:r w:rsidRPr="00DA3766">
        <w:t>1.1</w:t>
      </w:r>
      <w:r w:rsidRPr="00DA3766">
        <w:t>万亿美元，预计</w:t>
      </w:r>
      <w:r w:rsidRPr="00DA3766">
        <w:t>2030</w:t>
      </w:r>
      <w:r w:rsidRPr="00DA3766">
        <w:t>年将增至</w:t>
      </w:r>
      <w:r w:rsidRPr="00DA3766">
        <w:t>2.8</w:t>
      </w:r>
      <w:r w:rsidRPr="00DA3766">
        <w:t>万亿美元，年复合增长率达</w:t>
      </w:r>
      <w:r w:rsidRPr="00DA3766">
        <w:t>14.5%</w:t>
      </w:r>
      <w:r w:rsidRPr="00DA3766">
        <w:t>。</w:t>
      </w:r>
    </w:p>
    <w:p w14:paraId="4813F9EF" w14:textId="6BC88FF9" w:rsidR="00C013A4" w:rsidRPr="00DA3766" w:rsidRDefault="007002A3" w:rsidP="007002A3">
      <w:pPr>
        <w:pStyle w:val="005"/>
        <w:spacing w:before="120" w:after="120"/>
        <w:ind w:firstLine="480"/>
      </w:pPr>
      <w:r w:rsidRPr="00DA3766">
        <w:t>报告期内，标的公司</w:t>
      </w:r>
      <w:r w:rsidRPr="00DA3766">
        <w:t>IoT</w:t>
      </w:r>
      <w:r w:rsidRPr="00DA3766">
        <w:t>智能硬件各类主要产品销量、单价及单位成本的具体情况如下：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272"/>
        <w:gridCol w:w="1530"/>
        <w:gridCol w:w="1530"/>
        <w:gridCol w:w="1528"/>
      </w:tblGrid>
      <w:tr w:rsidR="007002A3" w:rsidRPr="00DA3766" w14:paraId="23F350E3" w14:textId="77777777" w:rsidTr="00DA3766">
        <w:trPr>
          <w:trHeight w:val="397"/>
          <w:tblHeader/>
          <w:jc w:val="center"/>
        </w:trPr>
        <w:tc>
          <w:tcPr>
            <w:tcW w:w="978" w:type="pct"/>
            <w:tcMar>
              <w:top w:w="0" w:type="dxa"/>
              <w:bottom w:w="0" w:type="dxa"/>
            </w:tcMar>
            <w:vAlign w:val="center"/>
          </w:tcPr>
          <w:p w14:paraId="1177161F"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lastRenderedPageBreak/>
              <w:t>期间</w:t>
            </w:r>
          </w:p>
        </w:tc>
        <w:tc>
          <w:tcPr>
            <w:tcW w:w="1332" w:type="pct"/>
            <w:tcMar>
              <w:top w:w="0" w:type="dxa"/>
              <w:bottom w:w="0" w:type="dxa"/>
            </w:tcMar>
            <w:vAlign w:val="center"/>
          </w:tcPr>
          <w:p w14:paraId="209856D1"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产品类型</w:t>
            </w:r>
          </w:p>
        </w:tc>
        <w:tc>
          <w:tcPr>
            <w:tcW w:w="897" w:type="pct"/>
            <w:tcMar>
              <w:top w:w="0" w:type="dxa"/>
              <w:bottom w:w="0" w:type="dxa"/>
            </w:tcMar>
            <w:vAlign w:val="center"/>
          </w:tcPr>
          <w:p w14:paraId="0F474235"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销售数量</w:t>
            </w:r>
          </w:p>
          <w:p w14:paraId="3BC39A29"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（万件）</w:t>
            </w:r>
          </w:p>
        </w:tc>
        <w:tc>
          <w:tcPr>
            <w:tcW w:w="897" w:type="pct"/>
            <w:tcMar>
              <w:top w:w="0" w:type="dxa"/>
              <w:bottom w:w="0" w:type="dxa"/>
            </w:tcMar>
            <w:vAlign w:val="center"/>
          </w:tcPr>
          <w:p w14:paraId="59FDE57E"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平均销售单价（元）</w:t>
            </w:r>
          </w:p>
        </w:tc>
        <w:tc>
          <w:tcPr>
            <w:tcW w:w="896" w:type="pct"/>
            <w:tcMar>
              <w:top w:w="0" w:type="dxa"/>
              <w:bottom w:w="0" w:type="dxa"/>
            </w:tcMar>
            <w:vAlign w:val="center"/>
          </w:tcPr>
          <w:p w14:paraId="7C5A015D"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平均单位成本（元）</w:t>
            </w:r>
          </w:p>
        </w:tc>
      </w:tr>
      <w:tr w:rsidR="007002A3" w:rsidRPr="00DA3766" w14:paraId="2F77D1C8" w14:textId="77777777" w:rsidTr="00DA3766">
        <w:trPr>
          <w:trHeight w:val="397"/>
          <w:jc w:val="center"/>
        </w:trPr>
        <w:tc>
          <w:tcPr>
            <w:tcW w:w="978" w:type="pct"/>
            <w:vMerge w:val="restart"/>
            <w:tcMar>
              <w:top w:w="0" w:type="dxa"/>
              <w:bottom w:w="0" w:type="dxa"/>
            </w:tcMar>
            <w:vAlign w:val="center"/>
          </w:tcPr>
          <w:p w14:paraId="4872D0EF"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月</w:t>
            </w:r>
          </w:p>
        </w:tc>
        <w:tc>
          <w:tcPr>
            <w:tcW w:w="1332" w:type="pct"/>
            <w:tcMar>
              <w:top w:w="0" w:type="dxa"/>
              <w:bottom w:w="0" w:type="dxa"/>
            </w:tcMar>
            <w:vAlign w:val="center"/>
          </w:tcPr>
          <w:p w14:paraId="77C62AB3"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086118F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3.40</w:t>
            </w:r>
          </w:p>
        </w:tc>
        <w:tc>
          <w:tcPr>
            <w:tcW w:w="897" w:type="pct"/>
            <w:tcMar>
              <w:top w:w="0" w:type="dxa"/>
              <w:bottom w:w="0" w:type="dxa"/>
            </w:tcMar>
            <w:vAlign w:val="center"/>
          </w:tcPr>
          <w:p w14:paraId="100803B8"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1,015.26</w:t>
            </w:r>
          </w:p>
        </w:tc>
        <w:tc>
          <w:tcPr>
            <w:tcW w:w="896" w:type="pct"/>
            <w:tcMar>
              <w:top w:w="0" w:type="dxa"/>
              <w:bottom w:w="0" w:type="dxa"/>
            </w:tcMar>
            <w:vAlign w:val="center"/>
          </w:tcPr>
          <w:p w14:paraId="1E83559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683.68</w:t>
            </w:r>
          </w:p>
        </w:tc>
      </w:tr>
      <w:tr w:rsidR="007002A3" w:rsidRPr="00DA3766" w14:paraId="7C34900D" w14:textId="77777777" w:rsidTr="00DA3766">
        <w:trPr>
          <w:trHeight w:val="397"/>
          <w:jc w:val="center"/>
        </w:trPr>
        <w:tc>
          <w:tcPr>
            <w:tcW w:w="978" w:type="pct"/>
            <w:vMerge/>
            <w:tcMar>
              <w:top w:w="0" w:type="dxa"/>
              <w:bottom w:w="0" w:type="dxa"/>
            </w:tcMar>
            <w:vAlign w:val="center"/>
          </w:tcPr>
          <w:p w14:paraId="22B7C185"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14:paraId="7E87D950"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3CA8D5A3"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37.07</w:t>
            </w:r>
          </w:p>
        </w:tc>
        <w:tc>
          <w:tcPr>
            <w:tcW w:w="897" w:type="pct"/>
            <w:tcMar>
              <w:top w:w="0" w:type="dxa"/>
              <w:bottom w:w="0" w:type="dxa"/>
            </w:tcMar>
            <w:vAlign w:val="center"/>
          </w:tcPr>
          <w:p w14:paraId="3418A68E"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121.30</w:t>
            </w:r>
          </w:p>
        </w:tc>
        <w:tc>
          <w:tcPr>
            <w:tcW w:w="896" w:type="pct"/>
            <w:tcMar>
              <w:top w:w="0" w:type="dxa"/>
              <w:bottom w:w="0" w:type="dxa"/>
            </w:tcMar>
            <w:vAlign w:val="center"/>
          </w:tcPr>
          <w:p w14:paraId="30BA7558"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74.70</w:t>
            </w:r>
          </w:p>
        </w:tc>
      </w:tr>
      <w:tr w:rsidR="00A1305B" w:rsidRPr="00DA3766" w14:paraId="36F45146" w14:textId="77777777" w:rsidTr="00DA3766">
        <w:trPr>
          <w:trHeight w:val="397"/>
          <w:jc w:val="center"/>
        </w:trPr>
        <w:tc>
          <w:tcPr>
            <w:tcW w:w="978" w:type="pct"/>
            <w:vMerge w:val="restart"/>
            <w:tcMar>
              <w:top w:w="0" w:type="dxa"/>
              <w:bottom w:w="0" w:type="dxa"/>
            </w:tcMar>
            <w:vAlign w:val="center"/>
          </w:tcPr>
          <w:p w14:paraId="07872FD2" w14:textId="77777777" w:rsidR="00A1305B" w:rsidRPr="00DA3766" w:rsidRDefault="00A1305B" w:rsidP="00A1305B">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年度</w:t>
            </w:r>
          </w:p>
        </w:tc>
        <w:tc>
          <w:tcPr>
            <w:tcW w:w="1332" w:type="pct"/>
            <w:tcMar>
              <w:top w:w="0" w:type="dxa"/>
              <w:bottom w:w="0" w:type="dxa"/>
            </w:tcMar>
            <w:vAlign w:val="center"/>
          </w:tcPr>
          <w:p w14:paraId="684250BF" w14:textId="77777777" w:rsidR="00A1305B" w:rsidRPr="00DA3766" w:rsidRDefault="00A1305B" w:rsidP="00A1305B">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532097D6" w14:textId="5832F655"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5.76</w:t>
            </w:r>
          </w:p>
        </w:tc>
        <w:tc>
          <w:tcPr>
            <w:tcW w:w="897" w:type="pct"/>
            <w:tcMar>
              <w:top w:w="0" w:type="dxa"/>
              <w:bottom w:w="0" w:type="dxa"/>
            </w:tcMar>
            <w:vAlign w:val="center"/>
          </w:tcPr>
          <w:p w14:paraId="246DCE87" w14:textId="161015AB"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1,162.91</w:t>
            </w:r>
          </w:p>
        </w:tc>
        <w:tc>
          <w:tcPr>
            <w:tcW w:w="896" w:type="pct"/>
            <w:tcMar>
              <w:top w:w="0" w:type="dxa"/>
              <w:bottom w:w="0" w:type="dxa"/>
            </w:tcMar>
            <w:vAlign w:val="center"/>
          </w:tcPr>
          <w:p w14:paraId="2398C618" w14:textId="31564187"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750.91</w:t>
            </w:r>
          </w:p>
        </w:tc>
      </w:tr>
      <w:tr w:rsidR="007002A3" w:rsidRPr="00DA3766" w14:paraId="21E96693" w14:textId="77777777" w:rsidTr="00DA3766">
        <w:trPr>
          <w:trHeight w:val="397"/>
          <w:jc w:val="center"/>
        </w:trPr>
        <w:tc>
          <w:tcPr>
            <w:tcW w:w="978" w:type="pct"/>
            <w:vMerge/>
            <w:tcMar>
              <w:top w:w="0" w:type="dxa"/>
              <w:bottom w:w="0" w:type="dxa"/>
            </w:tcMar>
            <w:vAlign w:val="center"/>
          </w:tcPr>
          <w:p w14:paraId="55DEBA0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14:paraId="5C928E74"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7D6FED06"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81.09</w:t>
            </w:r>
          </w:p>
        </w:tc>
        <w:tc>
          <w:tcPr>
            <w:tcW w:w="897" w:type="pct"/>
            <w:tcMar>
              <w:top w:w="0" w:type="dxa"/>
              <w:bottom w:w="0" w:type="dxa"/>
            </w:tcMar>
            <w:vAlign w:val="center"/>
          </w:tcPr>
          <w:p w14:paraId="49E50D2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108.73</w:t>
            </w:r>
          </w:p>
        </w:tc>
        <w:tc>
          <w:tcPr>
            <w:tcW w:w="896" w:type="pct"/>
            <w:tcMar>
              <w:top w:w="0" w:type="dxa"/>
              <w:bottom w:w="0" w:type="dxa"/>
            </w:tcMar>
            <w:vAlign w:val="center"/>
          </w:tcPr>
          <w:p w14:paraId="73370C8D"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67.01</w:t>
            </w:r>
          </w:p>
        </w:tc>
      </w:tr>
      <w:tr w:rsidR="007002A3" w:rsidRPr="00DA3766" w14:paraId="243D6EAC" w14:textId="77777777" w:rsidTr="00DA3766">
        <w:trPr>
          <w:trHeight w:val="397"/>
          <w:jc w:val="center"/>
        </w:trPr>
        <w:tc>
          <w:tcPr>
            <w:tcW w:w="978" w:type="pct"/>
            <w:vMerge w:val="restart"/>
            <w:tcMar>
              <w:top w:w="0" w:type="dxa"/>
              <w:bottom w:w="0" w:type="dxa"/>
            </w:tcMar>
            <w:vAlign w:val="center"/>
          </w:tcPr>
          <w:p w14:paraId="1210D7DE"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年度</w:t>
            </w:r>
          </w:p>
        </w:tc>
        <w:tc>
          <w:tcPr>
            <w:tcW w:w="1332" w:type="pct"/>
            <w:tcMar>
              <w:top w:w="0" w:type="dxa"/>
              <w:bottom w:w="0" w:type="dxa"/>
            </w:tcMar>
            <w:vAlign w:val="center"/>
          </w:tcPr>
          <w:p w14:paraId="2B36178C"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55321CAA"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1.23</w:t>
            </w:r>
          </w:p>
        </w:tc>
        <w:tc>
          <w:tcPr>
            <w:tcW w:w="897" w:type="pct"/>
            <w:tcMar>
              <w:top w:w="0" w:type="dxa"/>
              <w:bottom w:w="0" w:type="dxa"/>
            </w:tcMar>
            <w:vAlign w:val="center"/>
          </w:tcPr>
          <w:p w14:paraId="7E82988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3,547.48</w:t>
            </w:r>
          </w:p>
        </w:tc>
        <w:tc>
          <w:tcPr>
            <w:tcW w:w="896" w:type="pct"/>
            <w:tcMar>
              <w:top w:w="0" w:type="dxa"/>
              <w:bottom w:w="0" w:type="dxa"/>
            </w:tcMar>
            <w:vAlign w:val="center"/>
          </w:tcPr>
          <w:p w14:paraId="73231730"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2,363.12</w:t>
            </w:r>
          </w:p>
        </w:tc>
      </w:tr>
      <w:tr w:rsidR="007002A3" w:rsidRPr="00DA3766" w14:paraId="71490962" w14:textId="77777777" w:rsidTr="00DA3766">
        <w:trPr>
          <w:trHeight w:val="397"/>
          <w:jc w:val="center"/>
        </w:trPr>
        <w:tc>
          <w:tcPr>
            <w:tcW w:w="978" w:type="pct"/>
            <w:vMerge/>
            <w:tcMar>
              <w:top w:w="0" w:type="dxa"/>
              <w:bottom w:w="0" w:type="dxa"/>
            </w:tcMar>
            <w:vAlign w:val="center"/>
          </w:tcPr>
          <w:p w14:paraId="63CB750E"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332" w:type="pct"/>
            <w:tcMar>
              <w:top w:w="0" w:type="dxa"/>
              <w:bottom w:w="0" w:type="dxa"/>
            </w:tcMar>
            <w:vAlign w:val="center"/>
          </w:tcPr>
          <w:p w14:paraId="0F567940"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03763397"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91.97</w:t>
            </w:r>
          </w:p>
        </w:tc>
        <w:tc>
          <w:tcPr>
            <w:tcW w:w="897" w:type="pct"/>
            <w:tcMar>
              <w:top w:w="0" w:type="dxa"/>
              <w:bottom w:w="0" w:type="dxa"/>
            </w:tcMar>
            <w:vAlign w:val="center"/>
          </w:tcPr>
          <w:p w14:paraId="68A5E931"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90.48</w:t>
            </w:r>
          </w:p>
        </w:tc>
        <w:tc>
          <w:tcPr>
            <w:tcW w:w="896" w:type="pct"/>
            <w:tcMar>
              <w:top w:w="0" w:type="dxa"/>
              <w:bottom w:w="0" w:type="dxa"/>
            </w:tcMar>
            <w:vAlign w:val="center"/>
          </w:tcPr>
          <w:p w14:paraId="3FEFE5A0"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64.85</w:t>
            </w:r>
          </w:p>
        </w:tc>
      </w:tr>
    </w:tbl>
    <w:p w14:paraId="4E4AA19C" w14:textId="4F6F7EDC" w:rsidR="007002A3" w:rsidRPr="00DA3766" w:rsidRDefault="007002A3" w:rsidP="007002A3">
      <w:pPr>
        <w:pStyle w:val="005"/>
        <w:spacing w:before="120" w:after="120"/>
        <w:ind w:firstLine="480"/>
      </w:pPr>
      <w:r w:rsidRPr="00DA3766">
        <w:t>如上表所示，报告期内标的公司</w:t>
      </w:r>
      <w:r w:rsidRPr="00DA3766">
        <w:t>IoT</w:t>
      </w:r>
      <w:r w:rsidRPr="00DA3766">
        <w:t>智能硬件主要为智能设备</w:t>
      </w:r>
      <w:r w:rsidR="00BF78C6" w:rsidRPr="00DA3766">
        <w:t>产品和</w:t>
      </w:r>
      <w:r w:rsidRPr="00DA3766">
        <w:t>模块模组等组件产品，其中模块模组等组件产品的品类繁杂，平均销售单价及平均单位成本不具备可比性。</w:t>
      </w:r>
    </w:p>
    <w:p w14:paraId="7E0E8224" w14:textId="04A85713" w:rsidR="00C013A4" w:rsidRPr="00DA3766" w:rsidRDefault="0035223A" w:rsidP="007002A3">
      <w:pPr>
        <w:pStyle w:val="005"/>
        <w:spacing w:before="120" w:after="120"/>
        <w:ind w:firstLine="480"/>
        <w:rPr>
          <w:bCs/>
        </w:rPr>
      </w:pPr>
      <w:r w:rsidRPr="00DA3766">
        <w:t>报告期内，</w:t>
      </w:r>
      <w:r w:rsidR="007002A3" w:rsidRPr="00DA3766">
        <w:t>标的公司智能设备产品主要以场地自助设备及四轮充电桩为主</w:t>
      </w:r>
      <w:r w:rsidR="005F51F1" w:rsidRPr="00DA3766">
        <w:t>。</w:t>
      </w:r>
      <w:r w:rsidRPr="00DA3766">
        <w:t>其中</w:t>
      </w:r>
      <w:r w:rsidR="005F51F1" w:rsidRPr="00DA3766">
        <w:t>，报告期内标的公司</w:t>
      </w:r>
      <w:r w:rsidR="007002A3" w:rsidRPr="00DA3766">
        <w:t>场地自助设备</w:t>
      </w:r>
      <w:r w:rsidRPr="00DA3766">
        <w:t>的</w:t>
      </w:r>
      <w:r w:rsidR="007002A3" w:rsidRPr="00DA3766">
        <w:t>销售数量分别为</w:t>
      </w:r>
      <w:r w:rsidR="007002A3" w:rsidRPr="00DA3766">
        <w:t>0.94</w:t>
      </w:r>
      <w:r w:rsidR="007002A3" w:rsidRPr="00DA3766">
        <w:t>万件、</w:t>
      </w:r>
      <w:r w:rsidR="007002A3" w:rsidRPr="00DA3766">
        <w:t>1.05</w:t>
      </w:r>
      <w:r w:rsidR="007002A3" w:rsidRPr="00DA3766">
        <w:t>万件、</w:t>
      </w:r>
      <w:r w:rsidR="007002A3" w:rsidRPr="00DA3766">
        <w:t>0.53</w:t>
      </w:r>
      <w:r w:rsidR="007002A3" w:rsidRPr="00DA3766">
        <w:t>万件，平均销售单价分别为</w:t>
      </w:r>
      <w:r w:rsidR="007002A3" w:rsidRPr="00DA3766">
        <w:t>4</w:t>
      </w:r>
      <w:r w:rsidR="005F51F1" w:rsidRPr="00DA3766">
        <w:t>,</w:t>
      </w:r>
      <w:r w:rsidR="007002A3" w:rsidRPr="00DA3766">
        <w:t>635.53</w:t>
      </w:r>
      <w:r w:rsidR="007002A3" w:rsidRPr="00DA3766">
        <w:t>元、</w:t>
      </w:r>
      <w:r w:rsidR="007002A3" w:rsidRPr="00DA3766">
        <w:t>5,328.62</w:t>
      </w:r>
      <w:r w:rsidR="007002A3" w:rsidRPr="00DA3766">
        <w:t>元、</w:t>
      </w:r>
      <w:r w:rsidR="007002A3" w:rsidRPr="00DA3766">
        <w:t>4,946.22</w:t>
      </w:r>
      <w:r w:rsidR="007002A3" w:rsidRPr="00DA3766">
        <w:t>元，平均单位成本分别为</w:t>
      </w:r>
      <w:r w:rsidR="007002A3" w:rsidRPr="00DA3766">
        <w:t>3,076.70</w:t>
      </w:r>
      <w:r w:rsidR="007002A3" w:rsidRPr="00DA3766">
        <w:t>元、</w:t>
      </w:r>
      <w:r w:rsidR="007002A3" w:rsidRPr="00DA3766">
        <w:t>3,158.85</w:t>
      </w:r>
      <w:r w:rsidR="007002A3" w:rsidRPr="00DA3766">
        <w:t>元、</w:t>
      </w:r>
      <w:r w:rsidR="007002A3" w:rsidRPr="00DA3766">
        <w:t>2,985.72</w:t>
      </w:r>
      <w:r w:rsidR="007002A3" w:rsidRPr="00DA3766">
        <w:t>元。随着</w:t>
      </w:r>
      <w:r w:rsidRPr="00DA3766">
        <w:t>标的公司</w:t>
      </w:r>
      <w:r w:rsidR="007002A3" w:rsidRPr="00DA3766">
        <w:t>智能设备的多场景应用和推广，</w:t>
      </w:r>
      <w:r w:rsidRPr="00DA3766">
        <w:t>其</w:t>
      </w:r>
      <w:r w:rsidR="007002A3" w:rsidRPr="00DA3766">
        <w:t>销售数量</w:t>
      </w:r>
      <w:r w:rsidR="00192F35" w:rsidRPr="00DA3766">
        <w:t>持续增加</w:t>
      </w:r>
      <w:r w:rsidR="007002A3" w:rsidRPr="00DA3766">
        <w:t>，平均</w:t>
      </w:r>
      <w:r w:rsidR="00BF78C6" w:rsidRPr="00DA3766">
        <w:t>销售</w:t>
      </w:r>
      <w:r w:rsidR="007002A3" w:rsidRPr="00DA3766">
        <w:t>单价</w:t>
      </w:r>
      <w:r w:rsidR="00192F35" w:rsidRPr="00DA3766">
        <w:t>总体呈上升趋势，平均单位成本相对稳定</w:t>
      </w:r>
      <w:r w:rsidR="007002A3" w:rsidRPr="00DA3766">
        <w:t>。报告期内标的公司四轮充电桩的销售数量分别为</w:t>
      </w:r>
      <w:r w:rsidR="007002A3" w:rsidRPr="00DA3766">
        <w:t>0.02</w:t>
      </w:r>
      <w:r w:rsidR="007002A3" w:rsidRPr="00DA3766">
        <w:t>万件、</w:t>
      </w:r>
      <w:r w:rsidR="00A1305B">
        <w:rPr>
          <w:rFonts w:hint="eastAsia"/>
        </w:rPr>
        <w:t>2.61</w:t>
      </w:r>
      <w:r w:rsidR="007002A3" w:rsidRPr="00DA3766">
        <w:t>万件、</w:t>
      </w:r>
      <w:r w:rsidR="007002A3" w:rsidRPr="00DA3766">
        <w:t>1.71</w:t>
      </w:r>
      <w:r w:rsidR="007002A3" w:rsidRPr="00DA3766">
        <w:t>万件，平均销售单价分别为</w:t>
      </w:r>
      <w:r w:rsidR="007002A3" w:rsidRPr="00DA3766">
        <w:t>498.14</w:t>
      </w:r>
      <w:r w:rsidR="007002A3" w:rsidRPr="00DA3766">
        <w:t>元、</w:t>
      </w:r>
      <w:r w:rsidR="007002A3" w:rsidRPr="00DA3766">
        <w:t>31</w:t>
      </w:r>
      <w:r w:rsidR="00A1305B">
        <w:rPr>
          <w:rFonts w:hint="eastAsia"/>
        </w:rPr>
        <w:t>7.57</w:t>
      </w:r>
      <w:r w:rsidR="007002A3" w:rsidRPr="00DA3766">
        <w:t>元、</w:t>
      </w:r>
      <w:r w:rsidR="007002A3" w:rsidRPr="00DA3766">
        <w:t>344.52</w:t>
      </w:r>
      <w:r w:rsidR="007002A3" w:rsidRPr="00DA3766">
        <w:t>元，平均单位成本分别为</w:t>
      </w:r>
      <w:r w:rsidR="007002A3" w:rsidRPr="00DA3766">
        <w:t>397.39</w:t>
      </w:r>
      <w:r w:rsidR="007002A3" w:rsidRPr="00DA3766">
        <w:t>元、</w:t>
      </w:r>
      <w:r w:rsidR="00A1305B">
        <w:rPr>
          <w:rFonts w:hint="eastAsia"/>
        </w:rPr>
        <w:t>276.70</w:t>
      </w:r>
      <w:r w:rsidR="007002A3" w:rsidRPr="00DA3766">
        <w:t>元、</w:t>
      </w:r>
      <w:r w:rsidR="007002A3" w:rsidRPr="00DA3766">
        <w:t>265.31</w:t>
      </w:r>
      <w:r w:rsidR="007002A3" w:rsidRPr="00DA3766">
        <w:t>元</w:t>
      </w:r>
      <w:r w:rsidR="005D1B0E" w:rsidRPr="00DA3766">
        <w:t>。</w:t>
      </w:r>
      <w:r w:rsidR="007002A3" w:rsidRPr="00DA3766">
        <w:t>标的公司</w:t>
      </w:r>
      <w:r w:rsidR="005D1B0E" w:rsidRPr="00DA3766">
        <w:t>于</w:t>
      </w:r>
      <w:r w:rsidR="007002A3" w:rsidRPr="00DA3766">
        <w:t>2024</w:t>
      </w:r>
      <w:r w:rsidR="007002A3" w:rsidRPr="00DA3766">
        <w:t>年</w:t>
      </w:r>
      <w:r w:rsidR="005D1B0E" w:rsidRPr="00DA3766">
        <w:t>正式</w:t>
      </w:r>
      <w:r w:rsidR="007002A3" w:rsidRPr="00DA3766">
        <w:t>新增四轮充电桩相关业务，</w:t>
      </w:r>
      <w:r w:rsidR="0040088E" w:rsidRPr="00DA3766">
        <w:t>使得</w:t>
      </w:r>
      <w:bookmarkStart w:id="61" w:name="OLE_LINK33"/>
      <w:r w:rsidR="0040088E" w:rsidRPr="00DA3766">
        <w:t>标的公司智能设备产品</w:t>
      </w:r>
      <w:r w:rsidR="008C4637" w:rsidRPr="00DA3766">
        <w:t>2024</w:t>
      </w:r>
      <w:r w:rsidR="008C4637" w:rsidRPr="00DA3766">
        <w:t>年</w:t>
      </w:r>
      <w:r w:rsidR="0040088E" w:rsidRPr="00DA3766">
        <w:t>整体</w:t>
      </w:r>
      <w:r w:rsidR="007002A3" w:rsidRPr="00DA3766">
        <w:t>销售数量</w:t>
      </w:r>
      <w:bookmarkEnd w:id="61"/>
      <w:r w:rsidR="007002A3" w:rsidRPr="00DA3766">
        <w:t>较</w:t>
      </w:r>
      <w:r w:rsidR="007002A3" w:rsidRPr="00DA3766">
        <w:t>2023</w:t>
      </w:r>
      <w:r w:rsidR="007002A3" w:rsidRPr="00DA3766">
        <w:t>年</w:t>
      </w:r>
      <w:r w:rsidR="0040088E" w:rsidRPr="00DA3766">
        <w:t>大幅增加</w:t>
      </w:r>
      <w:r w:rsidR="007002A3" w:rsidRPr="00DA3766">
        <w:t>，</w:t>
      </w:r>
      <w:r w:rsidR="008C4637" w:rsidRPr="00DA3766">
        <w:t xml:space="preserve"> </w:t>
      </w:r>
      <w:r w:rsidR="008C4637" w:rsidRPr="00DA3766">
        <w:t>同时</w:t>
      </w:r>
      <w:r w:rsidR="008C4637" w:rsidRPr="00DA3766">
        <w:t>2025</w:t>
      </w:r>
      <w:r w:rsidR="008C4637" w:rsidRPr="00DA3766">
        <w:t>年</w:t>
      </w:r>
      <w:r w:rsidR="008C4637" w:rsidRPr="00DA3766">
        <w:t>1-6</w:t>
      </w:r>
      <w:r w:rsidR="008C4637" w:rsidRPr="00DA3766">
        <w:t>月</w:t>
      </w:r>
      <w:r w:rsidR="005D1B0E" w:rsidRPr="00DA3766">
        <w:t>标的公司智能设备产品整体销售数量保持稳定增长</w:t>
      </w:r>
      <w:r w:rsidR="008C4637" w:rsidRPr="00DA3766">
        <w:t>，</w:t>
      </w:r>
      <w:r w:rsidR="007002A3" w:rsidRPr="00DA3766">
        <w:t>销售数量</w:t>
      </w:r>
      <w:r w:rsidR="005D1B0E" w:rsidRPr="00DA3766">
        <w:t>达到</w:t>
      </w:r>
      <w:r w:rsidR="007002A3" w:rsidRPr="00DA3766">
        <w:t>2024</w:t>
      </w:r>
      <w:r w:rsidR="007002A3" w:rsidRPr="00DA3766">
        <w:t>年</w:t>
      </w:r>
      <w:r w:rsidR="0040088E" w:rsidRPr="00DA3766">
        <w:t>的</w:t>
      </w:r>
      <w:r w:rsidR="00A1305B">
        <w:rPr>
          <w:rFonts w:hint="eastAsia"/>
        </w:rPr>
        <w:t>59.03</w:t>
      </w:r>
      <w:r w:rsidR="0040088E" w:rsidRPr="00DA3766">
        <w:t>%</w:t>
      </w:r>
      <w:r w:rsidR="0040088E" w:rsidRPr="00DA3766">
        <w:t>。报告期内，标的公司四轮充电桩</w:t>
      </w:r>
      <w:r w:rsidR="007002A3" w:rsidRPr="00DA3766">
        <w:t>的平均销售单价的变动原因主要系由于</w:t>
      </w:r>
      <w:r w:rsidR="007002A3" w:rsidRPr="00DA3766">
        <w:t>2024</w:t>
      </w:r>
      <w:r w:rsidR="007002A3" w:rsidRPr="00DA3766">
        <w:t>年标的公司为了快速提高市场占有率</w:t>
      </w:r>
      <w:r w:rsidR="000231A9" w:rsidRPr="00DA3766">
        <w:t>而</w:t>
      </w:r>
      <w:r w:rsidR="007002A3" w:rsidRPr="00DA3766">
        <w:t>采用了</w:t>
      </w:r>
      <w:r w:rsidR="008C4637" w:rsidRPr="00DA3766">
        <w:t>价格领先</w:t>
      </w:r>
      <w:r w:rsidR="007002A3" w:rsidRPr="00DA3766">
        <w:t>策略，</w:t>
      </w:r>
      <w:r w:rsidR="008C4637" w:rsidRPr="00DA3766">
        <w:t>而后</w:t>
      </w:r>
      <w:r w:rsidR="007002A3" w:rsidRPr="00DA3766">
        <w:t>标的公司</w:t>
      </w:r>
      <w:r w:rsidR="000231A9" w:rsidRPr="00DA3766">
        <w:t>基于</w:t>
      </w:r>
      <w:r w:rsidR="000231A9" w:rsidRPr="00DA3766">
        <w:t>202</w:t>
      </w:r>
      <w:r w:rsidR="008C4637" w:rsidRPr="00DA3766">
        <w:t>4</w:t>
      </w:r>
      <w:r w:rsidR="000231A9" w:rsidRPr="00DA3766">
        <w:t>年市场销量以及用户反馈</w:t>
      </w:r>
      <w:r w:rsidR="007002A3" w:rsidRPr="00DA3766">
        <w:t>推出了不同类型的产品并调整了定价策略；</w:t>
      </w:r>
      <w:r w:rsidR="008C4637" w:rsidRPr="00DA3766">
        <w:t>标的公司</w:t>
      </w:r>
      <w:bookmarkStart w:id="62" w:name="OLE_LINK51"/>
      <w:r w:rsidR="007002A3" w:rsidRPr="00DA3766">
        <w:t>四轮充电桩</w:t>
      </w:r>
      <w:bookmarkEnd w:id="62"/>
      <w:r w:rsidR="007002A3" w:rsidRPr="00DA3766">
        <w:t>的平均单位成本呈下降趋势，主要系标的公司的控股子公司广州小充充分利用标的公司供应链以及相关资源，逐渐形成规模效应，</w:t>
      </w:r>
      <w:r w:rsidR="008C4637" w:rsidRPr="00DA3766">
        <w:t>使四轮充电桩产品</w:t>
      </w:r>
      <w:r w:rsidR="007002A3" w:rsidRPr="00DA3766">
        <w:t>成本得</w:t>
      </w:r>
      <w:r w:rsidR="008C4637" w:rsidRPr="00DA3766">
        <w:t>到</w:t>
      </w:r>
      <w:r w:rsidR="007002A3" w:rsidRPr="00DA3766">
        <w:t>有效控制。</w:t>
      </w:r>
    </w:p>
    <w:p w14:paraId="5DE64D73" w14:textId="4DBD20D5" w:rsidR="00C011FB" w:rsidRPr="004C2193" w:rsidRDefault="007921C1" w:rsidP="004C2193">
      <w:pPr>
        <w:pStyle w:val="003"/>
        <w:spacing w:before="120" w:after="120"/>
        <w:ind w:firstLine="458"/>
        <w:rPr>
          <w:spacing w:val="-6"/>
        </w:rPr>
      </w:pPr>
      <w:bookmarkStart w:id="63" w:name="OLE_LINK100"/>
      <w:r w:rsidRPr="004C2193">
        <w:rPr>
          <w:spacing w:val="-6"/>
        </w:rPr>
        <w:t>（二）</w:t>
      </w:r>
      <w:r w:rsidR="00C011FB" w:rsidRPr="004C2193">
        <w:rPr>
          <w:spacing w:val="-6"/>
        </w:rPr>
        <w:t>外协加工费的定价依据及定价公允性、相关成本确认的完整性、准确性、是否符合《企业会计准则》的有关规定，以及是否存在代垫成本费用的情形等</w:t>
      </w:r>
    </w:p>
    <w:bookmarkEnd w:id="63"/>
    <w:p w14:paraId="31D88E16" w14:textId="77777777" w:rsidR="007002A3" w:rsidRPr="00DA3766" w:rsidRDefault="007002A3" w:rsidP="007002A3">
      <w:pPr>
        <w:pStyle w:val="005"/>
        <w:spacing w:before="120" w:after="120"/>
        <w:ind w:firstLine="480"/>
      </w:pPr>
      <w:r w:rsidRPr="00DA3766">
        <w:t>报告期内，标的公司</w:t>
      </w:r>
      <w:r w:rsidRPr="00DA3766">
        <w:t>IoT</w:t>
      </w:r>
      <w:r w:rsidRPr="00DA3766">
        <w:t>智能硬件主要采用外协生产模式，外协加工模式下</w:t>
      </w:r>
      <w:r w:rsidRPr="00DA3766">
        <w:lastRenderedPageBreak/>
        <w:t>主要向外协厂商采购加工服务，相关加工流程标准化程度较高，自主生产仅涉及少量终端的组装。</w:t>
      </w:r>
    </w:p>
    <w:p w14:paraId="5BCFBCBB" w14:textId="77777777" w:rsidR="007002A3" w:rsidRPr="00DA3766" w:rsidRDefault="007002A3" w:rsidP="007002A3">
      <w:pPr>
        <w:pStyle w:val="005"/>
        <w:spacing w:before="120" w:after="120"/>
        <w:ind w:firstLine="480"/>
      </w:pPr>
      <w:r w:rsidRPr="00DA3766">
        <w:t>对于外协厂商加工费的确定，标的公司主要根据客户不同的业务需求制定生产计划，并选取多家外协厂商进行比价，最终根据生产计划以及比价结果，确定外协厂商及加工费。</w:t>
      </w:r>
    </w:p>
    <w:p w14:paraId="348BE196" w14:textId="317D37D6" w:rsidR="00C013A4" w:rsidRPr="00DA3766" w:rsidRDefault="007002A3" w:rsidP="007002A3">
      <w:pPr>
        <w:pStyle w:val="005"/>
        <w:spacing w:before="120" w:after="120"/>
        <w:ind w:firstLine="480"/>
      </w:pPr>
      <w:r w:rsidRPr="00DA3766">
        <w:t>标的公司收到客户的业务订单后，</w:t>
      </w:r>
      <w:r w:rsidR="0059522B" w:rsidRPr="00DA3766">
        <w:t>将</w:t>
      </w:r>
      <w:r w:rsidRPr="00DA3766">
        <w:t>同步向外协厂商下达生产订单，并集中采购生产过程中所需的主要原料，统一发货至外协厂商进一步加工，加工完成后再统一送至标的公司的成品仓库进行验收入库，最终由成品仓发货至客户</w:t>
      </w:r>
      <w:r w:rsidR="008C4637" w:rsidRPr="00DA3766">
        <w:t>。</w:t>
      </w:r>
      <w:r w:rsidRPr="00DA3766">
        <w:t>针对外协厂商的加工费，标的公司与外协厂商根据生产订单核对对应的加工费，将加工费计入存货成本中，并根据客户的物流签收单回执</w:t>
      </w:r>
      <w:r w:rsidR="0059522B" w:rsidRPr="00DA3766">
        <w:t>等</w:t>
      </w:r>
      <w:r w:rsidRPr="00DA3766">
        <w:t>确认销售收入，并据此结转对应的销售成本，符合《企业会计准则》的有关规定，不存在代垫成本费用的情形。</w:t>
      </w:r>
    </w:p>
    <w:p w14:paraId="459273C6" w14:textId="376E9F51" w:rsidR="00C011FB" w:rsidRPr="00DA3766" w:rsidRDefault="007921C1" w:rsidP="007921C1">
      <w:pPr>
        <w:pStyle w:val="003"/>
        <w:spacing w:before="120" w:after="120"/>
        <w:ind w:firstLine="482"/>
      </w:pPr>
      <w:r w:rsidRPr="00DA3766">
        <w:t>（三）</w:t>
      </w:r>
      <w:r w:rsidR="00C011FB" w:rsidRPr="00DA3766">
        <w:t>报告期内</w:t>
      </w:r>
      <w:r w:rsidR="00C011FB" w:rsidRPr="00DA3766">
        <w:t>IoT</w:t>
      </w:r>
      <w:r w:rsidR="00C011FB" w:rsidRPr="00DA3766">
        <w:t>智能硬件业务收入、毛利率提升的原因及合理性，与同行业可比公司的对比情况及差异原因</w:t>
      </w:r>
    </w:p>
    <w:p w14:paraId="4EB01F18" w14:textId="7AFCB6E7" w:rsidR="00FE5AD3" w:rsidRPr="00DA3766" w:rsidRDefault="007002A3" w:rsidP="007E30A6">
      <w:pPr>
        <w:pStyle w:val="005"/>
        <w:spacing w:before="120" w:after="120"/>
        <w:ind w:firstLine="480"/>
      </w:pPr>
      <w:r w:rsidRPr="00DA3766">
        <w:t>报告期各期，标的公司</w:t>
      </w:r>
      <w:r w:rsidRPr="00DA3766">
        <w:t>IoT</w:t>
      </w:r>
      <w:r w:rsidRPr="00DA3766">
        <w:t>智能硬件业务收入分别为</w:t>
      </w:r>
      <w:r w:rsidRPr="00DA3766">
        <w:t>14,601.82</w:t>
      </w:r>
      <w:r w:rsidRPr="00DA3766">
        <w:t>万元、</w:t>
      </w:r>
      <w:r w:rsidRPr="00DA3766">
        <w:t>16,968.02</w:t>
      </w:r>
      <w:r w:rsidRPr="00DA3766">
        <w:t>万元和</w:t>
      </w:r>
      <w:r w:rsidRPr="00DA3766">
        <w:t>8,778.91</w:t>
      </w:r>
      <w:r w:rsidRPr="00DA3766">
        <w:t>万元，</w:t>
      </w:r>
      <w:r w:rsidRPr="00DA3766">
        <w:t>2024</w:t>
      </w:r>
      <w:r w:rsidRPr="00DA3766">
        <w:t>年业务收入较</w:t>
      </w:r>
      <w:r w:rsidRPr="00DA3766">
        <w:t>2023</w:t>
      </w:r>
      <w:r w:rsidRPr="00DA3766">
        <w:t>年增长</w:t>
      </w:r>
      <w:r w:rsidRPr="00DA3766">
        <w:t>16.20%</w:t>
      </w:r>
      <w:r w:rsidRPr="00DA3766">
        <w:t>，</w:t>
      </w:r>
      <w:r w:rsidRPr="00DA3766">
        <w:t>2025</w:t>
      </w:r>
      <w:r w:rsidRPr="00DA3766">
        <w:t>年</w:t>
      </w:r>
      <w:r w:rsidRPr="00DA3766">
        <w:t>1-6</w:t>
      </w:r>
      <w:r w:rsidRPr="00DA3766">
        <w:t>月业务收入达到</w:t>
      </w:r>
      <w:r w:rsidRPr="00DA3766">
        <w:t>2024</w:t>
      </w:r>
      <w:r w:rsidRPr="00DA3766">
        <w:t>年的</w:t>
      </w:r>
      <w:r w:rsidRPr="00DA3766">
        <w:t>51.74%</w:t>
      </w:r>
      <w:r w:rsidRPr="00DA3766">
        <w:t>。标的公司</w:t>
      </w:r>
      <w:r w:rsidRPr="00DA3766">
        <w:t>IoT</w:t>
      </w:r>
      <w:r w:rsidRPr="00DA3766">
        <w:t>智能硬件业务主要包括面向下游智能自助设备厂家和运营商等客户销售</w:t>
      </w:r>
      <w:r w:rsidR="0059522B" w:rsidRPr="00DA3766">
        <w:t>智能设备和</w:t>
      </w:r>
      <w:r w:rsidRPr="00DA3766">
        <w:t>各类模块模组。报告期内，标的公司通过不断提升产品价值、扩大销售规模等实现了</w:t>
      </w:r>
      <w:r w:rsidRPr="00DA3766">
        <w:t>IoT</w:t>
      </w:r>
      <w:r w:rsidRPr="00DA3766">
        <w:t>智能硬件业务收入的持续增长。</w:t>
      </w:r>
    </w:p>
    <w:p w14:paraId="1596CF38" w14:textId="17FEDC43" w:rsidR="007921C1" w:rsidRPr="00DA3766" w:rsidRDefault="007921C1" w:rsidP="007921C1">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4"/>
        <w:gridCol w:w="1189"/>
        <w:gridCol w:w="1107"/>
        <w:gridCol w:w="1080"/>
        <w:gridCol w:w="1102"/>
      </w:tblGrid>
      <w:tr w:rsidR="007002A3" w:rsidRPr="00DA3766" w14:paraId="6BE0BD99" w14:textId="77777777" w:rsidTr="00F951FF">
        <w:trPr>
          <w:trHeight w:val="397"/>
          <w:jc w:val="center"/>
        </w:trPr>
        <w:tc>
          <w:tcPr>
            <w:tcW w:w="1061" w:type="pct"/>
            <w:vMerge w:val="restart"/>
            <w:tcMar>
              <w:top w:w="0" w:type="dxa"/>
              <w:left w:w="108" w:type="dxa"/>
              <w:bottom w:w="0" w:type="dxa"/>
              <w:right w:w="108" w:type="dxa"/>
            </w:tcMar>
            <w:vAlign w:val="center"/>
          </w:tcPr>
          <w:p w14:paraId="23E3E0B9"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314" w:type="pct"/>
            <w:gridSpan w:val="2"/>
            <w:tcMar>
              <w:top w:w="0" w:type="dxa"/>
              <w:left w:w="108" w:type="dxa"/>
              <w:bottom w:w="0" w:type="dxa"/>
              <w:right w:w="108" w:type="dxa"/>
            </w:tcMar>
            <w:vAlign w:val="center"/>
          </w:tcPr>
          <w:p w14:paraId="7830DC6A"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46" w:type="pct"/>
            <w:gridSpan w:val="2"/>
            <w:tcMar>
              <w:top w:w="0" w:type="dxa"/>
              <w:left w:w="108" w:type="dxa"/>
              <w:bottom w:w="0" w:type="dxa"/>
              <w:right w:w="108" w:type="dxa"/>
            </w:tcMar>
            <w:vAlign w:val="center"/>
          </w:tcPr>
          <w:p w14:paraId="0584CC17"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79" w:type="pct"/>
            <w:gridSpan w:val="2"/>
            <w:tcMar>
              <w:top w:w="0" w:type="dxa"/>
              <w:left w:w="108" w:type="dxa"/>
              <w:bottom w:w="0" w:type="dxa"/>
              <w:right w:w="108" w:type="dxa"/>
            </w:tcMar>
            <w:vAlign w:val="center"/>
          </w:tcPr>
          <w:p w14:paraId="5296525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7002A3" w:rsidRPr="00DA3766" w14:paraId="25726A6D" w14:textId="77777777" w:rsidTr="00F951FF">
        <w:trPr>
          <w:trHeight w:val="397"/>
          <w:jc w:val="center"/>
        </w:trPr>
        <w:tc>
          <w:tcPr>
            <w:tcW w:w="1061" w:type="pct"/>
            <w:vMerge/>
            <w:tcMar>
              <w:top w:w="0" w:type="dxa"/>
              <w:left w:w="108" w:type="dxa"/>
              <w:bottom w:w="0" w:type="dxa"/>
              <w:right w:w="108" w:type="dxa"/>
            </w:tcMar>
            <w:vAlign w:val="center"/>
          </w:tcPr>
          <w:p w14:paraId="27D67E0F"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6AAED97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9" w:type="pct"/>
            <w:tcMar>
              <w:top w:w="0" w:type="dxa"/>
              <w:left w:w="108" w:type="dxa"/>
              <w:bottom w:w="0" w:type="dxa"/>
              <w:right w:w="108" w:type="dxa"/>
            </w:tcMar>
            <w:vAlign w:val="center"/>
          </w:tcPr>
          <w:p w14:paraId="50D8B5A4"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97" w:type="pct"/>
            <w:tcMar>
              <w:top w:w="0" w:type="dxa"/>
              <w:left w:w="108" w:type="dxa"/>
              <w:bottom w:w="0" w:type="dxa"/>
              <w:right w:w="108" w:type="dxa"/>
            </w:tcMar>
            <w:vAlign w:val="center"/>
          </w:tcPr>
          <w:p w14:paraId="24BD3C8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49" w:type="pct"/>
            <w:tcMar>
              <w:top w:w="0" w:type="dxa"/>
              <w:left w:w="108" w:type="dxa"/>
              <w:bottom w:w="0" w:type="dxa"/>
              <w:right w:w="108" w:type="dxa"/>
            </w:tcMar>
            <w:vAlign w:val="center"/>
          </w:tcPr>
          <w:p w14:paraId="0AC6F83C"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33" w:type="pct"/>
            <w:tcMar>
              <w:top w:w="0" w:type="dxa"/>
              <w:left w:w="108" w:type="dxa"/>
              <w:bottom w:w="0" w:type="dxa"/>
              <w:right w:w="108" w:type="dxa"/>
            </w:tcMar>
            <w:vAlign w:val="center"/>
          </w:tcPr>
          <w:p w14:paraId="0E2DC155"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46" w:type="pct"/>
            <w:tcMar>
              <w:top w:w="0" w:type="dxa"/>
              <w:left w:w="108" w:type="dxa"/>
              <w:bottom w:w="0" w:type="dxa"/>
              <w:right w:w="108" w:type="dxa"/>
            </w:tcMar>
            <w:vAlign w:val="center"/>
          </w:tcPr>
          <w:p w14:paraId="0C5EA1D0"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收入占比</w:t>
            </w:r>
          </w:p>
        </w:tc>
      </w:tr>
      <w:tr w:rsidR="00483363" w:rsidRPr="00DA3766" w14:paraId="73C56FE5" w14:textId="77777777" w:rsidTr="00483363">
        <w:trPr>
          <w:trHeight w:val="397"/>
          <w:jc w:val="center"/>
        </w:trPr>
        <w:tc>
          <w:tcPr>
            <w:tcW w:w="1061" w:type="pct"/>
            <w:tcMar>
              <w:top w:w="0" w:type="dxa"/>
              <w:left w:w="108" w:type="dxa"/>
              <w:bottom w:w="0" w:type="dxa"/>
              <w:right w:w="108" w:type="dxa"/>
            </w:tcMar>
            <w:vAlign w:val="center"/>
          </w:tcPr>
          <w:p w14:paraId="3169A47A" w14:textId="0ED9A839" w:rsidR="00483363" w:rsidRPr="00DA3766" w:rsidRDefault="00483363" w:rsidP="00483363">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64" w:name="_Hlk218458640"/>
            <w:r w:rsidRPr="00DA3766">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14:paraId="3CD79DBC"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3,450.59</w:t>
            </w:r>
          </w:p>
        </w:tc>
        <w:tc>
          <w:tcPr>
            <w:tcW w:w="659" w:type="pct"/>
            <w:tcMar>
              <w:top w:w="0" w:type="dxa"/>
              <w:left w:w="108" w:type="dxa"/>
              <w:bottom w:w="0" w:type="dxa"/>
              <w:right w:w="108" w:type="dxa"/>
            </w:tcMar>
            <w:vAlign w:val="center"/>
          </w:tcPr>
          <w:p w14:paraId="36CAFEBA"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39.31%</w:t>
            </w:r>
          </w:p>
        </w:tc>
        <w:tc>
          <w:tcPr>
            <w:tcW w:w="697" w:type="pct"/>
            <w:tcMar>
              <w:top w:w="0" w:type="dxa"/>
              <w:left w:w="108" w:type="dxa"/>
              <w:bottom w:w="0" w:type="dxa"/>
              <w:right w:w="108" w:type="dxa"/>
            </w:tcMar>
            <w:vAlign w:val="center"/>
          </w:tcPr>
          <w:p w14:paraId="249AFFB6" w14:textId="02F83C1F" w:rsidR="00483363" w:rsidRPr="00F951FF"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6,695.43</w:t>
            </w:r>
          </w:p>
        </w:tc>
        <w:tc>
          <w:tcPr>
            <w:tcW w:w="649" w:type="pct"/>
            <w:tcMar>
              <w:top w:w="0" w:type="dxa"/>
              <w:left w:w="108" w:type="dxa"/>
              <w:bottom w:w="0" w:type="dxa"/>
              <w:right w:w="108" w:type="dxa"/>
            </w:tcMar>
            <w:vAlign w:val="center"/>
          </w:tcPr>
          <w:p w14:paraId="6950B04C" w14:textId="06F5DF44" w:rsidR="00483363" w:rsidRPr="00483363"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483363">
              <w:rPr>
                <w:rFonts w:ascii="Times New Roman" w:hAnsi="Times New Roman" w:cs="Times New Roman"/>
                <w:color w:val="000000"/>
                <w:sz w:val="21"/>
                <w:szCs w:val="21"/>
              </w:rPr>
              <w:t>39.46%</w:t>
            </w:r>
          </w:p>
        </w:tc>
        <w:tc>
          <w:tcPr>
            <w:tcW w:w="633" w:type="pct"/>
            <w:tcMar>
              <w:top w:w="0" w:type="dxa"/>
              <w:left w:w="108" w:type="dxa"/>
              <w:bottom w:w="0" w:type="dxa"/>
              <w:right w:w="108" w:type="dxa"/>
            </w:tcMar>
            <w:vAlign w:val="center"/>
          </w:tcPr>
          <w:p w14:paraId="578842E0"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4,374.40</w:t>
            </w:r>
          </w:p>
        </w:tc>
        <w:tc>
          <w:tcPr>
            <w:tcW w:w="646" w:type="pct"/>
            <w:tcMar>
              <w:top w:w="0" w:type="dxa"/>
              <w:left w:w="108" w:type="dxa"/>
              <w:bottom w:w="0" w:type="dxa"/>
              <w:right w:w="108" w:type="dxa"/>
            </w:tcMar>
            <w:vAlign w:val="center"/>
          </w:tcPr>
          <w:p w14:paraId="217A8177"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29.96%</w:t>
            </w:r>
          </w:p>
        </w:tc>
      </w:tr>
      <w:tr w:rsidR="00483363" w:rsidRPr="00DA3766" w14:paraId="25050D22" w14:textId="77777777" w:rsidTr="00483363">
        <w:trPr>
          <w:trHeight w:val="397"/>
          <w:jc w:val="center"/>
        </w:trPr>
        <w:tc>
          <w:tcPr>
            <w:tcW w:w="1061" w:type="pct"/>
            <w:tcMar>
              <w:top w:w="0" w:type="dxa"/>
              <w:left w:w="108" w:type="dxa"/>
              <w:bottom w:w="0" w:type="dxa"/>
              <w:right w:w="108" w:type="dxa"/>
            </w:tcMar>
            <w:vAlign w:val="center"/>
          </w:tcPr>
          <w:p w14:paraId="786290D6" w14:textId="0BA0ED61" w:rsidR="00483363" w:rsidRPr="00DA3766" w:rsidRDefault="00483363" w:rsidP="00483363">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14:paraId="785B4A44"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4,497.01</w:t>
            </w:r>
          </w:p>
        </w:tc>
        <w:tc>
          <w:tcPr>
            <w:tcW w:w="659" w:type="pct"/>
            <w:tcMar>
              <w:top w:w="0" w:type="dxa"/>
              <w:left w:w="108" w:type="dxa"/>
              <w:bottom w:w="0" w:type="dxa"/>
              <w:right w:w="108" w:type="dxa"/>
            </w:tcMar>
            <w:vAlign w:val="center"/>
          </w:tcPr>
          <w:p w14:paraId="613CFB87"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51.23%</w:t>
            </w:r>
          </w:p>
        </w:tc>
        <w:tc>
          <w:tcPr>
            <w:tcW w:w="697" w:type="pct"/>
            <w:tcMar>
              <w:top w:w="0" w:type="dxa"/>
              <w:left w:w="108" w:type="dxa"/>
              <w:bottom w:w="0" w:type="dxa"/>
              <w:right w:w="108" w:type="dxa"/>
            </w:tcMar>
            <w:vAlign w:val="center"/>
          </w:tcPr>
          <w:p w14:paraId="7B8A4860" w14:textId="5F4948E3" w:rsidR="00483363" w:rsidRPr="00F951FF"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8,816.96</w:t>
            </w:r>
          </w:p>
        </w:tc>
        <w:tc>
          <w:tcPr>
            <w:tcW w:w="649" w:type="pct"/>
            <w:tcMar>
              <w:top w:w="0" w:type="dxa"/>
              <w:left w:w="108" w:type="dxa"/>
              <w:bottom w:w="0" w:type="dxa"/>
              <w:right w:w="108" w:type="dxa"/>
            </w:tcMar>
            <w:vAlign w:val="center"/>
          </w:tcPr>
          <w:p w14:paraId="03077F05" w14:textId="3459337D" w:rsidR="00483363" w:rsidRPr="00483363"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483363">
              <w:rPr>
                <w:rFonts w:ascii="Times New Roman" w:hAnsi="Times New Roman" w:cs="Times New Roman"/>
                <w:color w:val="000000"/>
                <w:sz w:val="21"/>
                <w:szCs w:val="21"/>
              </w:rPr>
              <w:t>51.96%</w:t>
            </w:r>
          </w:p>
        </w:tc>
        <w:tc>
          <w:tcPr>
            <w:tcW w:w="633" w:type="pct"/>
            <w:tcMar>
              <w:top w:w="0" w:type="dxa"/>
              <w:left w:w="108" w:type="dxa"/>
              <w:bottom w:w="0" w:type="dxa"/>
              <w:right w:w="108" w:type="dxa"/>
            </w:tcMar>
            <w:vAlign w:val="center"/>
          </w:tcPr>
          <w:p w14:paraId="51A084E8"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8,321.71</w:t>
            </w:r>
          </w:p>
        </w:tc>
        <w:tc>
          <w:tcPr>
            <w:tcW w:w="646" w:type="pct"/>
            <w:tcMar>
              <w:top w:w="0" w:type="dxa"/>
              <w:left w:w="108" w:type="dxa"/>
              <w:bottom w:w="0" w:type="dxa"/>
              <w:right w:w="108" w:type="dxa"/>
            </w:tcMar>
            <w:vAlign w:val="center"/>
          </w:tcPr>
          <w:p w14:paraId="1617AAED"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56.99%</w:t>
            </w:r>
          </w:p>
        </w:tc>
      </w:tr>
      <w:tr w:rsidR="00483363" w:rsidRPr="00DA3766" w14:paraId="50910B1B" w14:textId="77777777" w:rsidTr="00483363">
        <w:trPr>
          <w:trHeight w:val="397"/>
          <w:jc w:val="center"/>
        </w:trPr>
        <w:tc>
          <w:tcPr>
            <w:tcW w:w="1061" w:type="pct"/>
            <w:tcMar>
              <w:top w:w="0" w:type="dxa"/>
              <w:left w:w="108" w:type="dxa"/>
              <w:bottom w:w="0" w:type="dxa"/>
              <w:right w:w="108" w:type="dxa"/>
            </w:tcMar>
            <w:vAlign w:val="center"/>
          </w:tcPr>
          <w:p w14:paraId="4DD58C52" w14:textId="77777777" w:rsidR="00483363" w:rsidRPr="00DA3766" w:rsidRDefault="00483363" w:rsidP="00483363">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14:paraId="1474FDC2"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831.30</w:t>
            </w:r>
          </w:p>
        </w:tc>
        <w:tc>
          <w:tcPr>
            <w:tcW w:w="659" w:type="pct"/>
            <w:tcMar>
              <w:top w:w="0" w:type="dxa"/>
              <w:left w:w="108" w:type="dxa"/>
              <w:bottom w:w="0" w:type="dxa"/>
              <w:right w:w="108" w:type="dxa"/>
            </w:tcMar>
            <w:vAlign w:val="center"/>
          </w:tcPr>
          <w:p w14:paraId="6737B864"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9.47%</w:t>
            </w:r>
          </w:p>
        </w:tc>
        <w:tc>
          <w:tcPr>
            <w:tcW w:w="697" w:type="pct"/>
            <w:tcMar>
              <w:top w:w="0" w:type="dxa"/>
              <w:left w:w="108" w:type="dxa"/>
              <w:bottom w:w="0" w:type="dxa"/>
              <w:right w:w="108" w:type="dxa"/>
            </w:tcMar>
            <w:vAlign w:val="center"/>
          </w:tcPr>
          <w:p w14:paraId="5FA9C804" w14:textId="14B59DA0" w:rsidR="00483363" w:rsidRPr="00F951FF"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1,455.62</w:t>
            </w:r>
          </w:p>
        </w:tc>
        <w:tc>
          <w:tcPr>
            <w:tcW w:w="649" w:type="pct"/>
            <w:tcMar>
              <w:top w:w="0" w:type="dxa"/>
              <w:left w:w="108" w:type="dxa"/>
              <w:bottom w:w="0" w:type="dxa"/>
              <w:right w:w="108" w:type="dxa"/>
            </w:tcMar>
            <w:vAlign w:val="center"/>
          </w:tcPr>
          <w:p w14:paraId="0F6B2CAE" w14:textId="2785D31D" w:rsidR="00483363" w:rsidRPr="00483363"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483363">
              <w:rPr>
                <w:rFonts w:ascii="Times New Roman" w:hAnsi="Times New Roman" w:cs="Times New Roman"/>
                <w:color w:val="000000"/>
                <w:sz w:val="21"/>
                <w:szCs w:val="21"/>
              </w:rPr>
              <w:t>8.58%</w:t>
            </w:r>
          </w:p>
        </w:tc>
        <w:tc>
          <w:tcPr>
            <w:tcW w:w="633" w:type="pct"/>
            <w:tcMar>
              <w:top w:w="0" w:type="dxa"/>
              <w:left w:w="108" w:type="dxa"/>
              <w:bottom w:w="0" w:type="dxa"/>
              <w:right w:w="108" w:type="dxa"/>
            </w:tcMar>
            <w:vAlign w:val="center"/>
          </w:tcPr>
          <w:p w14:paraId="1D9DBFEB"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1,905.71</w:t>
            </w:r>
          </w:p>
        </w:tc>
        <w:tc>
          <w:tcPr>
            <w:tcW w:w="646" w:type="pct"/>
            <w:tcMar>
              <w:top w:w="0" w:type="dxa"/>
              <w:left w:w="108" w:type="dxa"/>
              <w:bottom w:w="0" w:type="dxa"/>
              <w:right w:w="108" w:type="dxa"/>
            </w:tcMar>
            <w:vAlign w:val="center"/>
          </w:tcPr>
          <w:p w14:paraId="47D85065"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13.05%</w:t>
            </w:r>
          </w:p>
        </w:tc>
      </w:tr>
      <w:bookmarkEnd w:id="64"/>
      <w:tr w:rsidR="00483363" w:rsidRPr="00DA3766" w14:paraId="79757EBA" w14:textId="77777777" w:rsidTr="00F951FF">
        <w:trPr>
          <w:trHeight w:val="397"/>
          <w:jc w:val="center"/>
        </w:trPr>
        <w:tc>
          <w:tcPr>
            <w:tcW w:w="1061" w:type="pct"/>
            <w:tcMar>
              <w:top w:w="0" w:type="dxa"/>
              <w:left w:w="108" w:type="dxa"/>
              <w:bottom w:w="0" w:type="dxa"/>
              <w:right w:w="108" w:type="dxa"/>
            </w:tcMar>
            <w:vAlign w:val="center"/>
          </w:tcPr>
          <w:p w14:paraId="6763F188" w14:textId="77777777" w:rsidR="00483363" w:rsidRPr="00DA3766" w:rsidRDefault="00483363" w:rsidP="00483363">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0035EFBD"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8,778.91</w:t>
            </w:r>
          </w:p>
        </w:tc>
        <w:tc>
          <w:tcPr>
            <w:tcW w:w="659" w:type="pct"/>
            <w:tcMar>
              <w:top w:w="0" w:type="dxa"/>
              <w:left w:w="108" w:type="dxa"/>
              <w:bottom w:w="0" w:type="dxa"/>
              <w:right w:w="108" w:type="dxa"/>
            </w:tcMar>
            <w:vAlign w:val="center"/>
          </w:tcPr>
          <w:p w14:paraId="303AC668"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97" w:type="pct"/>
            <w:tcMar>
              <w:top w:w="0" w:type="dxa"/>
              <w:left w:w="108" w:type="dxa"/>
              <w:bottom w:w="0" w:type="dxa"/>
              <w:right w:w="108" w:type="dxa"/>
            </w:tcMar>
            <w:vAlign w:val="center"/>
          </w:tcPr>
          <w:p w14:paraId="59DA45B8"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16,968.02</w:t>
            </w:r>
          </w:p>
        </w:tc>
        <w:tc>
          <w:tcPr>
            <w:tcW w:w="649" w:type="pct"/>
            <w:tcMar>
              <w:top w:w="0" w:type="dxa"/>
              <w:left w:w="108" w:type="dxa"/>
              <w:bottom w:w="0" w:type="dxa"/>
              <w:right w:w="108" w:type="dxa"/>
            </w:tcMar>
            <w:vAlign w:val="center"/>
          </w:tcPr>
          <w:p w14:paraId="25B18614"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3" w:type="pct"/>
            <w:tcMar>
              <w:top w:w="0" w:type="dxa"/>
              <w:left w:w="108" w:type="dxa"/>
              <w:bottom w:w="0" w:type="dxa"/>
              <w:right w:w="108" w:type="dxa"/>
            </w:tcMar>
            <w:vAlign w:val="center"/>
          </w:tcPr>
          <w:p w14:paraId="267165C3"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14,601.82</w:t>
            </w:r>
          </w:p>
        </w:tc>
        <w:tc>
          <w:tcPr>
            <w:tcW w:w="646" w:type="pct"/>
            <w:tcMar>
              <w:top w:w="0" w:type="dxa"/>
              <w:left w:w="108" w:type="dxa"/>
              <w:bottom w:w="0" w:type="dxa"/>
              <w:right w:w="108" w:type="dxa"/>
            </w:tcMar>
            <w:vAlign w:val="center"/>
          </w:tcPr>
          <w:p w14:paraId="6759C207" w14:textId="77777777" w:rsidR="00483363" w:rsidRPr="00DA3766" w:rsidRDefault="00483363" w:rsidP="00483363">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3C3F30E7" w14:textId="3FD3738B" w:rsidR="00F951FF" w:rsidRPr="00DA3766" w:rsidRDefault="00F951FF" w:rsidP="00F951FF">
      <w:pPr>
        <w:spacing w:before="120" w:afterLines="0" w:after="0"/>
        <w:ind w:firstLine="480"/>
        <w:jc w:val="both"/>
        <w:rPr>
          <w:rFonts w:ascii="Times New Roman" w:hAnsi="Times New Roman" w:cs="Times New Roman"/>
          <w:szCs w:val="22"/>
        </w:rPr>
      </w:pPr>
      <w:r w:rsidRPr="00F951FF">
        <w:rPr>
          <w:rFonts w:ascii="Times New Roman" w:hAnsi="Times New Roman" w:cs="Times New Roman"/>
          <w:szCs w:val="22"/>
        </w:rPr>
        <w:t>2024</w:t>
      </w:r>
      <w:r w:rsidRPr="00F951FF">
        <w:rPr>
          <w:rFonts w:ascii="Times New Roman" w:hAnsi="Times New Roman" w:cs="Times New Roman"/>
          <w:szCs w:val="22"/>
        </w:rPr>
        <w:t>年，标的公司智能设备产品收入为</w:t>
      </w:r>
      <w:r w:rsidRPr="00F951FF">
        <w:rPr>
          <w:rFonts w:ascii="Times New Roman" w:hAnsi="Times New Roman" w:cs="Times New Roman" w:hint="eastAsia"/>
          <w:szCs w:val="22"/>
        </w:rPr>
        <w:t>6</w:t>
      </w:r>
      <w:r w:rsidR="00CB1D21">
        <w:rPr>
          <w:rFonts w:ascii="Times New Roman" w:hAnsi="Times New Roman" w:cs="Times New Roman" w:hint="eastAsia"/>
          <w:szCs w:val="22"/>
        </w:rPr>
        <w:t>,</w:t>
      </w:r>
      <w:r w:rsidRPr="00F951FF">
        <w:rPr>
          <w:rFonts w:ascii="Times New Roman" w:hAnsi="Times New Roman" w:cs="Times New Roman" w:hint="eastAsia"/>
          <w:szCs w:val="22"/>
        </w:rPr>
        <w:t>695.43</w:t>
      </w:r>
      <w:r w:rsidRPr="00F951FF">
        <w:rPr>
          <w:rFonts w:ascii="Times New Roman" w:hAnsi="Times New Roman" w:cs="Times New Roman"/>
          <w:szCs w:val="22"/>
        </w:rPr>
        <w:t>万元，较</w:t>
      </w:r>
      <w:r w:rsidRPr="00F951FF">
        <w:rPr>
          <w:rFonts w:ascii="Times New Roman" w:hAnsi="Times New Roman" w:cs="Times New Roman"/>
          <w:szCs w:val="22"/>
        </w:rPr>
        <w:t>2023</w:t>
      </w:r>
      <w:r w:rsidRPr="00F951FF">
        <w:rPr>
          <w:rFonts w:ascii="Times New Roman" w:hAnsi="Times New Roman" w:cs="Times New Roman"/>
          <w:szCs w:val="22"/>
        </w:rPr>
        <w:t>年增长</w:t>
      </w:r>
      <w:r w:rsidRPr="00F951FF">
        <w:rPr>
          <w:rFonts w:ascii="Times New Roman" w:hAnsi="Times New Roman" w:cs="Times New Roman" w:hint="eastAsia"/>
          <w:szCs w:val="22"/>
        </w:rPr>
        <w:t>53.06</w:t>
      </w:r>
      <w:r w:rsidRPr="00F951FF">
        <w:rPr>
          <w:rFonts w:ascii="Times New Roman" w:hAnsi="Times New Roman" w:cs="Times New Roman"/>
          <w:szCs w:val="22"/>
        </w:rPr>
        <w:t>%</w:t>
      </w:r>
      <w:r w:rsidRPr="00F951FF">
        <w:rPr>
          <w:rFonts w:ascii="Times New Roman" w:hAnsi="Times New Roman" w:cs="Times New Roman"/>
          <w:szCs w:val="22"/>
        </w:rPr>
        <w:t>，主要系场地自助设备及四轮充电桩等产品销售明显增长所致。</w:t>
      </w:r>
      <w:r w:rsidRPr="00F951FF">
        <w:rPr>
          <w:rFonts w:ascii="Times New Roman" w:hAnsi="Times New Roman" w:cs="Times New Roman"/>
          <w:szCs w:val="22"/>
        </w:rPr>
        <w:t>2024</w:t>
      </w:r>
      <w:r w:rsidRPr="00F951FF">
        <w:rPr>
          <w:rFonts w:ascii="Times New Roman" w:hAnsi="Times New Roman" w:cs="Times New Roman"/>
          <w:szCs w:val="22"/>
        </w:rPr>
        <w:t>年，标的公</w:t>
      </w:r>
      <w:r w:rsidRPr="00F951FF">
        <w:rPr>
          <w:rFonts w:ascii="Times New Roman" w:hAnsi="Times New Roman" w:cs="Times New Roman"/>
          <w:szCs w:val="22"/>
        </w:rPr>
        <w:lastRenderedPageBreak/>
        <w:t>司</w:t>
      </w:r>
      <w:bookmarkStart w:id="65" w:name="OLE_LINK53"/>
      <w:r w:rsidRPr="00F951FF">
        <w:rPr>
          <w:rFonts w:ascii="Times New Roman" w:hAnsi="Times New Roman" w:cs="Times New Roman"/>
          <w:szCs w:val="22"/>
        </w:rPr>
        <w:t>模块模组等组件产品</w:t>
      </w:r>
      <w:bookmarkEnd w:id="65"/>
      <w:r w:rsidRPr="00F951FF">
        <w:rPr>
          <w:rFonts w:ascii="Times New Roman" w:hAnsi="Times New Roman" w:cs="Times New Roman"/>
          <w:szCs w:val="22"/>
        </w:rPr>
        <w:t>收入</w:t>
      </w:r>
      <w:r w:rsidRPr="00F951FF">
        <w:rPr>
          <w:rFonts w:ascii="Times New Roman" w:hAnsi="Times New Roman" w:cs="Times New Roman"/>
          <w:szCs w:val="22"/>
        </w:rPr>
        <w:t>8,816.96</w:t>
      </w:r>
      <w:r w:rsidRPr="00F951FF">
        <w:rPr>
          <w:rFonts w:ascii="Times New Roman" w:hAnsi="Times New Roman" w:cs="Times New Roman"/>
          <w:szCs w:val="22"/>
        </w:rPr>
        <w:t>万元，较</w:t>
      </w:r>
      <w:r w:rsidRPr="00F951FF">
        <w:rPr>
          <w:rFonts w:ascii="Times New Roman" w:hAnsi="Times New Roman" w:cs="Times New Roman"/>
          <w:szCs w:val="22"/>
        </w:rPr>
        <w:t>2023</w:t>
      </w:r>
      <w:r w:rsidRPr="00F951FF">
        <w:rPr>
          <w:rFonts w:ascii="Times New Roman" w:hAnsi="Times New Roman" w:cs="Times New Roman"/>
          <w:szCs w:val="22"/>
        </w:rPr>
        <w:t>年增长</w:t>
      </w:r>
      <w:r w:rsidRPr="00F951FF">
        <w:rPr>
          <w:rFonts w:ascii="Times New Roman" w:hAnsi="Times New Roman" w:cs="Times New Roman"/>
          <w:szCs w:val="22"/>
        </w:rPr>
        <w:t>5.95%</w:t>
      </w:r>
      <w:r w:rsidRPr="00F951FF">
        <w:rPr>
          <w:rFonts w:ascii="Times New Roman" w:hAnsi="Times New Roman" w:cs="Times New Roman"/>
          <w:szCs w:val="22"/>
        </w:rPr>
        <w:t>，保持相对稳定。</w:t>
      </w:r>
    </w:p>
    <w:p w14:paraId="443B6470" w14:textId="31D1C1E4" w:rsidR="00FE5AD3" w:rsidRPr="00DA3766" w:rsidRDefault="0056662C" w:rsidP="0056662C">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t>报告期各期，标的公司</w:t>
      </w:r>
      <w:r w:rsidRPr="00DA3766">
        <w:rPr>
          <w:rFonts w:ascii="Times New Roman" w:hAnsi="Times New Roman" w:cs="Times New Roman"/>
          <w:szCs w:val="22"/>
        </w:rPr>
        <w:t>IoT</w:t>
      </w:r>
      <w:r w:rsidRPr="00DA3766">
        <w:rPr>
          <w:rFonts w:ascii="Times New Roman" w:hAnsi="Times New Roman" w:cs="Times New Roman"/>
          <w:szCs w:val="22"/>
        </w:rPr>
        <w:t>智能硬件业务毛利率分别为</w:t>
      </w:r>
      <w:r w:rsidRPr="00DA3766">
        <w:rPr>
          <w:rFonts w:ascii="Times New Roman" w:hAnsi="Times New Roman" w:cs="Times New Roman"/>
          <w:szCs w:val="22"/>
        </w:rPr>
        <w:t>30.90%</w:t>
      </w:r>
      <w:r w:rsidRPr="00DA3766">
        <w:rPr>
          <w:rFonts w:ascii="Times New Roman" w:hAnsi="Times New Roman" w:cs="Times New Roman"/>
          <w:szCs w:val="22"/>
        </w:rPr>
        <w:t>、</w:t>
      </w:r>
      <w:r w:rsidRPr="00DA3766">
        <w:rPr>
          <w:rFonts w:ascii="Times New Roman" w:hAnsi="Times New Roman" w:cs="Times New Roman"/>
          <w:szCs w:val="22"/>
        </w:rPr>
        <w:t>37.55%</w:t>
      </w:r>
      <w:r w:rsidRPr="00DA3766">
        <w:rPr>
          <w:rFonts w:ascii="Times New Roman" w:hAnsi="Times New Roman" w:cs="Times New Roman"/>
          <w:szCs w:val="22"/>
        </w:rPr>
        <w:t>和</w:t>
      </w:r>
      <w:r w:rsidRPr="00DA3766">
        <w:rPr>
          <w:rFonts w:ascii="Times New Roman" w:hAnsi="Times New Roman" w:cs="Times New Roman"/>
          <w:szCs w:val="22"/>
        </w:rPr>
        <w:t>37.38%</w:t>
      </w:r>
      <w:r w:rsidRPr="00DA3766">
        <w:rPr>
          <w:rFonts w:ascii="Times New Roman" w:hAnsi="Times New Roman" w:cs="Times New Roman"/>
          <w:szCs w:val="22"/>
        </w:rPr>
        <w:t>，保持相对稳定，</w:t>
      </w:r>
      <w:r w:rsidRPr="00DA3766">
        <w:rPr>
          <w:rFonts w:ascii="Times New Roman" w:hAnsi="Times New Roman" w:cs="Times New Roman"/>
          <w:szCs w:val="22"/>
        </w:rPr>
        <w:t>2024</w:t>
      </w:r>
      <w:r w:rsidRPr="00DA3766">
        <w:rPr>
          <w:rFonts w:ascii="Times New Roman" w:hAnsi="Times New Roman" w:cs="Times New Roman"/>
          <w:szCs w:val="22"/>
        </w:rPr>
        <w:t>年业务毛利率较</w:t>
      </w:r>
      <w:r w:rsidRPr="00DA3766">
        <w:rPr>
          <w:rFonts w:ascii="Times New Roman" w:hAnsi="Times New Roman" w:cs="Times New Roman"/>
          <w:szCs w:val="22"/>
        </w:rPr>
        <w:t>2023</w:t>
      </w:r>
      <w:r w:rsidRPr="00DA3766">
        <w:rPr>
          <w:rFonts w:ascii="Times New Roman" w:hAnsi="Times New Roman" w:cs="Times New Roman"/>
          <w:szCs w:val="22"/>
        </w:rPr>
        <w:t>年有一定上升，</w:t>
      </w:r>
      <w:r w:rsidRPr="00DA3766">
        <w:rPr>
          <w:rFonts w:ascii="Times New Roman" w:hAnsi="Times New Roman" w:cs="Times New Roman"/>
          <w:szCs w:val="22"/>
        </w:rPr>
        <w:t>2025</w:t>
      </w:r>
      <w:r w:rsidRPr="00DA3766">
        <w:rPr>
          <w:rFonts w:ascii="Times New Roman" w:hAnsi="Times New Roman" w:cs="Times New Roman"/>
          <w:szCs w:val="22"/>
        </w:rPr>
        <w:t>年业务毛利率与</w:t>
      </w:r>
      <w:r w:rsidRPr="00DA3766">
        <w:rPr>
          <w:rFonts w:ascii="Times New Roman" w:hAnsi="Times New Roman" w:cs="Times New Roman"/>
          <w:szCs w:val="22"/>
        </w:rPr>
        <w:t>2024</w:t>
      </w:r>
      <w:r w:rsidRPr="00DA3766">
        <w:rPr>
          <w:rFonts w:ascii="Times New Roman" w:hAnsi="Times New Roman" w:cs="Times New Roman"/>
          <w:szCs w:val="22"/>
        </w:rPr>
        <w:t>年基本持平。报告期内，标的公司</w:t>
      </w:r>
      <w:r w:rsidRPr="00DA3766">
        <w:rPr>
          <w:rFonts w:ascii="Times New Roman" w:hAnsi="Times New Roman" w:cs="Times New Roman"/>
          <w:szCs w:val="22"/>
        </w:rPr>
        <w:t>IoT</w:t>
      </w:r>
      <w:r w:rsidRPr="00DA3766">
        <w:rPr>
          <w:rFonts w:ascii="Times New Roman" w:hAnsi="Times New Roman" w:cs="Times New Roman"/>
          <w:szCs w:val="22"/>
        </w:rPr>
        <w:t>智能硬件业务按</w:t>
      </w:r>
      <w:r w:rsidR="00FC4DA5" w:rsidRPr="00DA3766">
        <w:rPr>
          <w:rFonts w:ascii="Times New Roman" w:hAnsi="Times New Roman" w:cs="Times New Roman"/>
          <w:szCs w:val="22"/>
        </w:rPr>
        <w:t>智能设备</w:t>
      </w:r>
      <w:r w:rsidRPr="00DA3766">
        <w:rPr>
          <w:rFonts w:ascii="Times New Roman" w:hAnsi="Times New Roman" w:cs="Times New Roman"/>
          <w:szCs w:val="22"/>
        </w:rPr>
        <w:t>和</w:t>
      </w:r>
      <w:r w:rsidR="00FC4DA5" w:rsidRPr="00DA3766">
        <w:rPr>
          <w:rFonts w:ascii="Times New Roman" w:hAnsi="Times New Roman" w:cs="Times New Roman"/>
          <w:szCs w:val="22"/>
        </w:rPr>
        <w:t>模块模组等组件</w:t>
      </w:r>
      <w:r w:rsidRPr="00DA3766">
        <w:rPr>
          <w:rFonts w:ascii="Times New Roman" w:hAnsi="Times New Roman" w:cs="Times New Roman"/>
          <w:szCs w:val="22"/>
        </w:rPr>
        <w:t>产品分类的毛利率及收入占比情况如下：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56662C" w:rsidRPr="00DA3766" w14:paraId="1639EF8A" w14:textId="77777777" w:rsidTr="00DA3766">
        <w:trPr>
          <w:trHeight w:val="397"/>
          <w:jc w:val="center"/>
        </w:trPr>
        <w:tc>
          <w:tcPr>
            <w:tcW w:w="1061" w:type="pct"/>
            <w:vMerge w:val="restart"/>
            <w:tcMar>
              <w:top w:w="0" w:type="dxa"/>
              <w:left w:w="108" w:type="dxa"/>
              <w:bottom w:w="0" w:type="dxa"/>
              <w:right w:w="108" w:type="dxa"/>
            </w:tcMar>
            <w:vAlign w:val="center"/>
          </w:tcPr>
          <w:p w14:paraId="5BA18E19"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项目</w:t>
            </w:r>
          </w:p>
        </w:tc>
        <w:tc>
          <w:tcPr>
            <w:tcW w:w="1313" w:type="pct"/>
            <w:gridSpan w:val="2"/>
            <w:tcMar>
              <w:top w:w="0" w:type="dxa"/>
              <w:left w:w="108" w:type="dxa"/>
              <w:bottom w:w="0" w:type="dxa"/>
              <w:right w:w="108" w:type="dxa"/>
            </w:tcMar>
            <w:vAlign w:val="center"/>
          </w:tcPr>
          <w:p w14:paraId="5FD5325E"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2025</w:t>
            </w:r>
            <w:r w:rsidRPr="00DA3766">
              <w:rPr>
                <w:rFonts w:ascii="Times New Roman" w:hAnsi="Times New Roman" w:cs="Times New Roman"/>
                <w:b/>
                <w:bCs/>
                <w:kern w:val="2"/>
                <w:sz w:val="21"/>
                <w:szCs w:val="21"/>
              </w:rPr>
              <w:t>年</w:t>
            </w:r>
            <w:r w:rsidRPr="00DA3766">
              <w:rPr>
                <w:rFonts w:ascii="Times New Roman" w:hAnsi="Times New Roman" w:cs="Times New Roman"/>
                <w:b/>
                <w:bCs/>
                <w:kern w:val="2"/>
                <w:sz w:val="21"/>
                <w:szCs w:val="21"/>
              </w:rPr>
              <w:t>1-6</w:t>
            </w:r>
            <w:r w:rsidRPr="00DA3766">
              <w:rPr>
                <w:rFonts w:ascii="Times New Roman" w:hAnsi="Times New Roman" w:cs="Times New Roman"/>
                <w:b/>
                <w:bCs/>
                <w:kern w:val="2"/>
                <w:sz w:val="21"/>
                <w:szCs w:val="21"/>
              </w:rPr>
              <w:t>月</w:t>
            </w:r>
          </w:p>
        </w:tc>
        <w:tc>
          <w:tcPr>
            <w:tcW w:w="1314" w:type="pct"/>
            <w:gridSpan w:val="2"/>
            <w:tcMar>
              <w:top w:w="0" w:type="dxa"/>
              <w:left w:w="108" w:type="dxa"/>
              <w:bottom w:w="0" w:type="dxa"/>
              <w:right w:w="108" w:type="dxa"/>
            </w:tcMar>
            <w:vAlign w:val="center"/>
          </w:tcPr>
          <w:p w14:paraId="10FA1F76"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2024</w:t>
            </w:r>
            <w:r w:rsidRPr="00DA3766">
              <w:rPr>
                <w:rFonts w:ascii="Times New Roman" w:hAnsi="Times New Roman" w:cs="Times New Roman"/>
                <w:b/>
                <w:bCs/>
                <w:kern w:val="2"/>
                <w:sz w:val="21"/>
                <w:szCs w:val="21"/>
              </w:rPr>
              <w:t>年度</w:t>
            </w:r>
          </w:p>
        </w:tc>
        <w:tc>
          <w:tcPr>
            <w:tcW w:w="1312" w:type="pct"/>
            <w:gridSpan w:val="2"/>
            <w:tcMar>
              <w:top w:w="0" w:type="dxa"/>
              <w:left w:w="108" w:type="dxa"/>
              <w:bottom w:w="0" w:type="dxa"/>
              <w:right w:w="108" w:type="dxa"/>
            </w:tcMar>
            <w:vAlign w:val="center"/>
          </w:tcPr>
          <w:p w14:paraId="6695A724"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2023</w:t>
            </w:r>
            <w:r w:rsidRPr="00DA3766">
              <w:rPr>
                <w:rFonts w:ascii="Times New Roman" w:hAnsi="Times New Roman" w:cs="Times New Roman"/>
                <w:b/>
                <w:bCs/>
                <w:kern w:val="2"/>
                <w:sz w:val="21"/>
                <w:szCs w:val="21"/>
              </w:rPr>
              <w:t>年度</w:t>
            </w:r>
          </w:p>
        </w:tc>
      </w:tr>
      <w:tr w:rsidR="0056662C" w:rsidRPr="00DA3766" w14:paraId="3760536D" w14:textId="77777777" w:rsidTr="00DA3766">
        <w:trPr>
          <w:trHeight w:val="397"/>
          <w:jc w:val="center"/>
        </w:trPr>
        <w:tc>
          <w:tcPr>
            <w:tcW w:w="1061" w:type="pct"/>
            <w:vMerge/>
            <w:tcMar>
              <w:top w:w="0" w:type="dxa"/>
              <w:left w:w="108" w:type="dxa"/>
              <w:bottom w:w="0" w:type="dxa"/>
              <w:right w:w="108" w:type="dxa"/>
            </w:tcMar>
            <w:vAlign w:val="center"/>
          </w:tcPr>
          <w:p w14:paraId="47A74458"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p>
        </w:tc>
        <w:tc>
          <w:tcPr>
            <w:tcW w:w="655" w:type="pct"/>
            <w:tcMar>
              <w:top w:w="0" w:type="dxa"/>
              <w:left w:w="108" w:type="dxa"/>
              <w:bottom w:w="0" w:type="dxa"/>
              <w:right w:w="108" w:type="dxa"/>
            </w:tcMar>
            <w:vAlign w:val="center"/>
          </w:tcPr>
          <w:p w14:paraId="76F5BB2F"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8" w:type="pct"/>
            <w:tcMar>
              <w:top w:w="0" w:type="dxa"/>
              <w:left w:w="108" w:type="dxa"/>
              <w:bottom w:w="0" w:type="dxa"/>
              <w:right w:w="108" w:type="dxa"/>
            </w:tcMar>
            <w:vAlign w:val="center"/>
          </w:tcPr>
          <w:p w14:paraId="4C1AE466"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14:paraId="3EB8ED4E"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7" w:type="pct"/>
            <w:tcMar>
              <w:top w:w="0" w:type="dxa"/>
              <w:left w:w="108" w:type="dxa"/>
              <w:bottom w:w="0" w:type="dxa"/>
              <w:right w:w="108" w:type="dxa"/>
            </w:tcMar>
            <w:vAlign w:val="center"/>
          </w:tcPr>
          <w:p w14:paraId="5774916A"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14:paraId="2DFB85AC"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5" w:type="pct"/>
            <w:tcMar>
              <w:top w:w="0" w:type="dxa"/>
              <w:left w:w="108" w:type="dxa"/>
              <w:bottom w:w="0" w:type="dxa"/>
              <w:right w:w="108" w:type="dxa"/>
            </w:tcMar>
            <w:vAlign w:val="center"/>
          </w:tcPr>
          <w:p w14:paraId="2543DC1F"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rPr>
            </w:pPr>
            <w:r w:rsidRPr="00DA3766">
              <w:rPr>
                <w:rFonts w:ascii="Times New Roman" w:hAnsi="Times New Roman" w:cs="Times New Roman"/>
                <w:b/>
                <w:bCs/>
                <w:kern w:val="2"/>
                <w:sz w:val="21"/>
                <w:szCs w:val="21"/>
              </w:rPr>
              <w:t>收入占比</w:t>
            </w:r>
          </w:p>
        </w:tc>
      </w:tr>
      <w:tr w:rsidR="00483363" w:rsidRPr="00DA3766" w14:paraId="6B6D4788" w14:textId="77777777" w:rsidTr="00DA3766">
        <w:trPr>
          <w:trHeight w:val="397"/>
          <w:jc w:val="center"/>
        </w:trPr>
        <w:tc>
          <w:tcPr>
            <w:tcW w:w="1061" w:type="pct"/>
            <w:tcMar>
              <w:top w:w="0" w:type="dxa"/>
              <w:left w:w="108" w:type="dxa"/>
              <w:bottom w:w="0" w:type="dxa"/>
              <w:right w:w="108" w:type="dxa"/>
            </w:tcMar>
            <w:vAlign w:val="center"/>
          </w:tcPr>
          <w:p w14:paraId="056D3EFD" w14:textId="0E7DE746" w:rsidR="00483363" w:rsidRPr="00DA3766" w:rsidRDefault="00483363" w:rsidP="00483363">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14:paraId="4B1620D7"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32.66%</w:t>
            </w:r>
          </w:p>
        </w:tc>
        <w:tc>
          <w:tcPr>
            <w:tcW w:w="658" w:type="pct"/>
            <w:tcMar>
              <w:top w:w="0" w:type="dxa"/>
              <w:left w:w="108" w:type="dxa"/>
              <w:bottom w:w="0" w:type="dxa"/>
              <w:right w:w="108" w:type="dxa"/>
            </w:tcMar>
            <w:vAlign w:val="center"/>
          </w:tcPr>
          <w:p w14:paraId="2AF6A309"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39.31%</w:t>
            </w:r>
          </w:p>
        </w:tc>
        <w:tc>
          <w:tcPr>
            <w:tcW w:w="657" w:type="pct"/>
            <w:tcMar>
              <w:top w:w="0" w:type="dxa"/>
              <w:left w:w="108" w:type="dxa"/>
              <w:bottom w:w="0" w:type="dxa"/>
              <w:right w:w="108" w:type="dxa"/>
            </w:tcMar>
            <w:vAlign w:val="center"/>
          </w:tcPr>
          <w:p w14:paraId="52D95C52" w14:textId="6F591A41"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w:t>
            </w:r>
            <w:r w:rsidR="003B3BE2">
              <w:rPr>
                <w:rFonts w:ascii="Times New Roman" w:hAnsi="Times New Roman" w:cs="Times New Roman"/>
                <w:color w:val="000000"/>
                <w:kern w:val="2"/>
                <w:sz w:val="21"/>
                <w:szCs w:val="22"/>
              </w:rPr>
              <w:t>5</w:t>
            </w:r>
            <w:r w:rsidRPr="00DA3766">
              <w:rPr>
                <w:rFonts w:ascii="Times New Roman" w:hAnsi="Times New Roman" w:cs="Times New Roman"/>
                <w:color w:val="000000"/>
                <w:kern w:val="2"/>
                <w:sz w:val="21"/>
                <w:szCs w:val="22"/>
              </w:rPr>
              <w:t>.4</w:t>
            </w:r>
            <w:r w:rsidR="003B3BE2">
              <w:rPr>
                <w:rFonts w:ascii="Times New Roman" w:hAnsi="Times New Roman" w:cs="Times New Roman"/>
                <w:color w:val="000000"/>
                <w:kern w:val="2"/>
                <w:sz w:val="21"/>
                <w:szCs w:val="22"/>
              </w:rPr>
              <w:t>3</w:t>
            </w:r>
            <w:r w:rsidRPr="00DA3766">
              <w:rPr>
                <w:rFonts w:ascii="Times New Roman" w:hAnsi="Times New Roman" w:cs="Times New Roman"/>
                <w:color w:val="000000"/>
                <w:kern w:val="2"/>
                <w:sz w:val="21"/>
                <w:szCs w:val="22"/>
              </w:rPr>
              <w:t>%</w:t>
            </w:r>
          </w:p>
        </w:tc>
        <w:tc>
          <w:tcPr>
            <w:tcW w:w="657" w:type="pct"/>
            <w:tcMar>
              <w:top w:w="0" w:type="dxa"/>
              <w:left w:w="108" w:type="dxa"/>
              <w:bottom w:w="0" w:type="dxa"/>
              <w:right w:w="108" w:type="dxa"/>
            </w:tcMar>
            <w:vAlign w:val="center"/>
          </w:tcPr>
          <w:p w14:paraId="77B79DA3" w14:textId="17623691" w:rsidR="00483363" w:rsidRPr="00483363"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483363">
              <w:rPr>
                <w:rFonts w:ascii="Times New Roman" w:hAnsi="Times New Roman" w:cs="Times New Roman"/>
                <w:color w:val="000000"/>
                <w:sz w:val="21"/>
                <w:szCs w:val="21"/>
              </w:rPr>
              <w:t>39.46%</w:t>
            </w:r>
          </w:p>
        </w:tc>
        <w:tc>
          <w:tcPr>
            <w:tcW w:w="657" w:type="pct"/>
            <w:tcMar>
              <w:top w:w="0" w:type="dxa"/>
              <w:left w:w="108" w:type="dxa"/>
              <w:bottom w:w="0" w:type="dxa"/>
              <w:right w:w="108" w:type="dxa"/>
            </w:tcMar>
            <w:vAlign w:val="center"/>
          </w:tcPr>
          <w:p w14:paraId="5A276CFA"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33.39%</w:t>
            </w:r>
          </w:p>
        </w:tc>
        <w:tc>
          <w:tcPr>
            <w:tcW w:w="655" w:type="pct"/>
            <w:tcMar>
              <w:top w:w="0" w:type="dxa"/>
              <w:left w:w="108" w:type="dxa"/>
              <w:bottom w:w="0" w:type="dxa"/>
              <w:right w:w="108" w:type="dxa"/>
            </w:tcMar>
            <w:vAlign w:val="center"/>
          </w:tcPr>
          <w:p w14:paraId="358C88EA"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29.96%</w:t>
            </w:r>
          </w:p>
        </w:tc>
      </w:tr>
      <w:tr w:rsidR="00483363" w:rsidRPr="00DA3766" w14:paraId="6C6D2B94" w14:textId="77777777" w:rsidTr="00DA3766">
        <w:trPr>
          <w:trHeight w:val="397"/>
          <w:jc w:val="center"/>
        </w:trPr>
        <w:tc>
          <w:tcPr>
            <w:tcW w:w="1061" w:type="pct"/>
            <w:tcMar>
              <w:top w:w="0" w:type="dxa"/>
              <w:left w:w="108" w:type="dxa"/>
              <w:bottom w:w="0" w:type="dxa"/>
              <w:right w:w="108" w:type="dxa"/>
            </w:tcMar>
            <w:vAlign w:val="center"/>
          </w:tcPr>
          <w:p w14:paraId="5A5E1408" w14:textId="1118C558" w:rsidR="00483363" w:rsidRPr="00DA3766" w:rsidRDefault="00483363" w:rsidP="00483363">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14:paraId="663358D6"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38.42%</w:t>
            </w:r>
          </w:p>
        </w:tc>
        <w:tc>
          <w:tcPr>
            <w:tcW w:w="658" w:type="pct"/>
            <w:tcMar>
              <w:top w:w="0" w:type="dxa"/>
              <w:left w:w="108" w:type="dxa"/>
              <w:bottom w:w="0" w:type="dxa"/>
              <w:right w:w="108" w:type="dxa"/>
            </w:tcMar>
            <w:vAlign w:val="center"/>
          </w:tcPr>
          <w:p w14:paraId="5AE3F317"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51.23%</w:t>
            </w:r>
          </w:p>
        </w:tc>
        <w:tc>
          <w:tcPr>
            <w:tcW w:w="657" w:type="pct"/>
            <w:tcMar>
              <w:top w:w="0" w:type="dxa"/>
              <w:left w:w="108" w:type="dxa"/>
              <w:bottom w:w="0" w:type="dxa"/>
              <w:right w:w="108" w:type="dxa"/>
            </w:tcMar>
            <w:vAlign w:val="center"/>
          </w:tcPr>
          <w:p w14:paraId="75F1A207"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38.37%</w:t>
            </w:r>
          </w:p>
        </w:tc>
        <w:tc>
          <w:tcPr>
            <w:tcW w:w="657" w:type="pct"/>
            <w:tcMar>
              <w:top w:w="0" w:type="dxa"/>
              <w:left w:w="108" w:type="dxa"/>
              <w:bottom w:w="0" w:type="dxa"/>
              <w:right w:w="108" w:type="dxa"/>
            </w:tcMar>
            <w:vAlign w:val="center"/>
          </w:tcPr>
          <w:p w14:paraId="51E1DD3B" w14:textId="3F07B61E" w:rsidR="00483363" w:rsidRPr="00483363"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483363">
              <w:rPr>
                <w:rFonts w:ascii="Times New Roman" w:hAnsi="Times New Roman" w:cs="Times New Roman"/>
                <w:color w:val="000000"/>
                <w:sz w:val="21"/>
                <w:szCs w:val="21"/>
              </w:rPr>
              <w:t>51.96%</w:t>
            </w:r>
          </w:p>
        </w:tc>
        <w:tc>
          <w:tcPr>
            <w:tcW w:w="657" w:type="pct"/>
            <w:tcMar>
              <w:top w:w="0" w:type="dxa"/>
              <w:left w:w="108" w:type="dxa"/>
              <w:bottom w:w="0" w:type="dxa"/>
              <w:right w:w="108" w:type="dxa"/>
            </w:tcMar>
            <w:vAlign w:val="center"/>
          </w:tcPr>
          <w:p w14:paraId="60F0EF7B"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28.33%</w:t>
            </w:r>
          </w:p>
        </w:tc>
        <w:tc>
          <w:tcPr>
            <w:tcW w:w="655" w:type="pct"/>
            <w:tcMar>
              <w:top w:w="0" w:type="dxa"/>
              <w:left w:w="108" w:type="dxa"/>
              <w:bottom w:w="0" w:type="dxa"/>
              <w:right w:w="108" w:type="dxa"/>
            </w:tcMar>
            <w:vAlign w:val="center"/>
          </w:tcPr>
          <w:p w14:paraId="162033BA"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56.99%</w:t>
            </w:r>
          </w:p>
        </w:tc>
      </w:tr>
      <w:tr w:rsidR="00483363" w:rsidRPr="00DA3766" w14:paraId="02B1CD9E" w14:textId="77777777" w:rsidTr="00DA3766">
        <w:trPr>
          <w:trHeight w:val="397"/>
          <w:jc w:val="center"/>
        </w:trPr>
        <w:tc>
          <w:tcPr>
            <w:tcW w:w="1061" w:type="pct"/>
            <w:tcMar>
              <w:top w:w="0" w:type="dxa"/>
              <w:left w:w="108" w:type="dxa"/>
              <w:bottom w:w="0" w:type="dxa"/>
              <w:right w:w="108" w:type="dxa"/>
            </w:tcMar>
            <w:vAlign w:val="center"/>
          </w:tcPr>
          <w:p w14:paraId="332DB1C5" w14:textId="77777777" w:rsidR="00483363" w:rsidRPr="00DA3766" w:rsidRDefault="00483363" w:rsidP="00483363">
            <w:pPr>
              <w:widowControl w:val="0"/>
              <w:adjustRightInd w:val="0"/>
              <w:snapToGrid w:val="0"/>
              <w:spacing w:beforeLines="0" w:before="0" w:afterLines="0" w:after="0" w:line="240" w:lineRule="auto"/>
              <w:ind w:firstLineChars="0" w:firstLine="0"/>
              <w:rPr>
                <w:rFonts w:ascii="Times New Roman" w:hAnsi="Times New Roman" w:cs="Times New Roman"/>
                <w:b/>
                <w:bCs/>
                <w:kern w:val="2"/>
                <w:sz w:val="21"/>
                <w:szCs w:val="21"/>
              </w:rPr>
            </w:pPr>
            <w:r w:rsidRPr="00DA3766">
              <w:rPr>
                <w:rFonts w:ascii="Times New Roman" w:hAnsi="Times New Roman" w:cs="Times New Roman"/>
                <w:kern w:val="2"/>
                <w:sz w:val="21"/>
                <w:szCs w:val="21"/>
              </w:rPr>
              <w:t>其他</w:t>
            </w:r>
          </w:p>
        </w:tc>
        <w:tc>
          <w:tcPr>
            <w:tcW w:w="655" w:type="pct"/>
            <w:tcMar>
              <w:top w:w="0" w:type="dxa"/>
              <w:left w:w="108" w:type="dxa"/>
              <w:bottom w:w="0" w:type="dxa"/>
              <w:right w:w="108" w:type="dxa"/>
            </w:tcMar>
            <w:vAlign w:val="center"/>
          </w:tcPr>
          <w:p w14:paraId="7B09A6B5"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51.40%</w:t>
            </w:r>
          </w:p>
        </w:tc>
        <w:tc>
          <w:tcPr>
            <w:tcW w:w="658" w:type="pct"/>
            <w:tcMar>
              <w:top w:w="0" w:type="dxa"/>
              <w:left w:w="108" w:type="dxa"/>
              <w:bottom w:w="0" w:type="dxa"/>
              <w:right w:w="108" w:type="dxa"/>
            </w:tcMar>
            <w:vAlign w:val="center"/>
          </w:tcPr>
          <w:p w14:paraId="3C4D6D48"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9.47%</w:t>
            </w:r>
          </w:p>
        </w:tc>
        <w:tc>
          <w:tcPr>
            <w:tcW w:w="657" w:type="pct"/>
            <w:tcMar>
              <w:top w:w="0" w:type="dxa"/>
              <w:left w:w="108" w:type="dxa"/>
              <w:bottom w:w="0" w:type="dxa"/>
              <w:right w:w="108" w:type="dxa"/>
            </w:tcMar>
            <w:vAlign w:val="center"/>
          </w:tcPr>
          <w:p w14:paraId="016642FE" w14:textId="7FAD1095"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4</w:t>
            </w:r>
            <w:r w:rsidR="003B3BE2">
              <w:rPr>
                <w:rFonts w:ascii="Times New Roman" w:hAnsi="Times New Roman" w:cs="Times New Roman"/>
                <w:color w:val="000000"/>
                <w:kern w:val="2"/>
                <w:sz w:val="21"/>
                <w:szCs w:val="22"/>
              </w:rPr>
              <w:t>2</w:t>
            </w:r>
            <w:r w:rsidRPr="00DA3766">
              <w:rPr>
                <w:rFonts w:ascii="Times New Roman" w:hAnsi="Times New Roman" w:cs="Times New Roman"/>
                <w:color w:val="000000"/>
                <w:kern w:val="2"/>
                <w:sz w:val="21"/>
                <w:szCs w:val="22"/>
              </w:rPr>
              <w:t>.</w:t>
            </w:r>
            <w:r w:rsidR="003B3BE2">
              <w:rPr>
                <w:rFonts w:ascii="Times New Roman" w:hAnsi="Times New Roman" w:cs="Times New Roman"/>
                <w:color w:val="000000"/>
                <w:kern w:val="2"/>
                <w:sz w:val="21"/>
                <w:szCs w:val="22"/>
              </w:rPr>
              <w:t>38</w:t>
            </w:r>
            <w:r w:rsidRPr="00DA3766">
              <w:rPr>
                <w:rFonts w:ascii="Times New Roman" w:hAnsi="Times New Roman" w:cs="Times New Roman"/>
                <w:color w:val="000000"/>
                <w:kern w:val="2"/>
                <w:sz w:val="21"/>
                <w:szCs w:val="22"/>
              </w:rPr>
              <w:t>%</w:t>
            </w:r>
          </w:p>
        </w:tc>
        <w:tc>
          <w:tcPr>
            <w:tcW w:w="657" w:type="pct"/>
            <w:tcMar>
              <w:top w:w="0" w:type="dxa"/>
              <w:left w:w="108" w:type="dxa"/>
              <w:bottom w:w="0" w:type="dxa"/>
              <w:right w:w="108" w:type="dxa"/>
            </w:tcMar>
            <w:vAlign w:val="center"/>
          </w:tcPr>
          <w:p w14:paraId="4B24C9F6" w14:textId="7DF48B2E" w:rsidR="00483363" w:rsidRPr="00483363"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483363">
              <w:rPr>
                <w:rFonts w:ascii="Times New Roman" w:hAnsi="Times New Roman" w:cs="Times New Roman"/>
                <w:color w:val="000000"/>
                <w:sz w:val="21"/>
                <w:szCs w:val="21"/>
              </w:rPr>
              <w:t>8.58%</w:t>
            </w:r>
          </w:p>
        </w:tc>
        <w:tc>
          <w:tcPr>
            <w:tcW w:w="657" w:type="pct"/>
            <w:tcMar>
              <w:top w:w="0" w:type="dxa"/>
              <w:left w:w="108" w:type="dxa"/>
              <w:bottom w:w="0" w:type="dxa"/>
              <w:right w:w="108" w:type="dxa"/>
            </w:tcMar>
            <w:vAlign w:val="center"/>
          </w:tcPr>
          <w:p w14:paraId="5D64CB57"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36.39%</w:t>
            </w:r>
          </w:p>
        </w:tc>
        <w:tc>
          <w:tcPr>
            <w:tcW w:w="655" w:type="pct"/>
            <w:tcMar>
              <w:top w:w="0" w:type="dxa"/>
              <w:left w:w="108" w:type="dxa"/>
              <w:bottom w:w="0" w:type="dxa"/>
              <w:right w:w="108" w:type="dxa"/>
            </w:tcMar>
            <w:vAlign w:val="center"/>
          </w:tcPr>
          <w:p w14:paraId="7ED9C043" w14:textId="77777777" w:rsidR="00483363" w:rsidRPr="00DA3766" w:rsidRDefault="00483363" w:rsidP="00483363">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13.05%</w:t>
            </w:r>
          </w:p>
        </w:tc>
      </w:tr>
      <w:tr w:rsidR="0056662C" w:rsidRPr="00DA3766" w14:paraId="63FCBABC" w14:textId="77777777" w:rsidTr="00DA3766">
        <w:trPr>
          <w:trHeight w:val="397"/>
          <w:jc w:val="center"/>
        </w:trPr>
        <w:tc>
          <w:tcPr>
            <w:tcW w:w="1061" w:type="pct"/>
            <w:tcMar>
              <w:top w:w="0" w:type="dxa"/>
              <w:left w:w="108" w:type="dxa"/>
              <w:bottom w:w="0" w:type="dxa"/>
              <w:right w:w="108" w:type="dxa"/>
            </w:tcMar>
            <w:vAlign w:val="center"/>
          </w:tcPr>
          <w:p w14:paraId="7A29E2DD"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合计</w:t>
            </w:r>
          </w:p>
        </w:tc>
        <w:tc>
          <w:tcPr>
            <w:tcW w:w="655" w:type="pct"/>
            <w:tcMar>
              <w:top w:w="0" w:type="dxa"/>
              <w:left w:w="108" w:type="dxa"/>
              <w:bottom w:w="0" w:type="dxa"/>
              <w:right w:w="108" w:type="dxa"/>
            </w:tcMar>
            <w:vAlign w:val="center"/>
          </w:tcPr>
          <w:p w14:paraId="33F12888" w14:textId="09B2AE04"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37.38%</w:t>
            </w:r>
          </w:p>
        </w:tc>
        <w:tc>
          <w:tcPr>
            <w:tcW w:w="658" w:type="pct"/>
            <w:tcMar>
              <w:top w:w="0" w:type="dxa"/>
              <w:left w:w="108" w:type="dxa"/>
              <w:bottom w:w="0" w:type="dxa"/>
              <w:right w:w="108" w:type="dxa"/>
            </w:tcMar>
            <w:vAlign w:val="center"/>
          </w:tcPr>
          <w:p w14:paraId="45ACB7B5" w14:textId="77777777"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14:paraId="0E106D7A" w14:textId="2F3F9727"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37.55%</w:t>
            </w:r>
          </w:p>
        </w:tc>
        <w:tc>
          <w:tcPr>
            <w:tcW w:w="657" w:type="pct"/>
            <w:tcMar>
              <w:top w:w="0" w:type="dxa"/>
              <w:left w:w="108" w:type="dxa"/>
              <w:bottom w:w="0" w:type="dxa"/>
              <w:right w:w="108" w:type="dxa"/>
            </w:tcMar>
            <w:vAlign w:val="center"/>
          </w:tcPr>
          <w:p w14:paraId="2744A92E" w14:textId="77777777"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14:paraId="101B049C" w14:textId="24698630"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30.90%</w:t>
            </w:r>
          </w:p>
        </w:tc>
        <w:tc>
          <w:tcPr>
            <w:tcW w:w="655" w:type="pct"/>
            <w:tcMar>
              <w:top w:w="0" w:type="dxa"/>
              <w:left w:w="108" w:type="dxa"/>
              <w:bottom w:w="0" w:type="dxa"/>
              <w:right w:w="108" w:type="dxa"/>
            </w:tcMar>
            <w:vAlign w:val="center"/>
          </w:tcPr>
          <w:p w14:paraId="778C7F4E" w14:textId="77777777" w:rsidR="0056662C" w:rsidRPr="00DA3766" w:rsidRDefault="0056662C" w:rsidP="00DA3766">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r>
    </w:tbl>
    <w:p w14:paraId="69048CEF" w14:textId="4AD9059B" w:rsidR="00FE5AD3" w:rsidRPr="00DA3766" w:rsidRDefault="0056662C" w:rsidP="00DA3766">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t>2024</w:t>
      </w:r>
      <w:r w:rsidRPr="00DA3766">
        <w:rPr>
          <w:rFonts w:ascii="Times New Roman" w:hAnsi="Times New Roman" w:cs="Times New Roman"/>
          <w:szCs w:val="22"/>
        </w:rPr>
        <w:t>年，标的公司</w:t>
      </w:r>
      <w:r w:rsidRPr="00DA3766">
        <w:rPr>
          <w:rFonts w:ascii="Times New Roman" w:hAnsi="Times New Roman" w:cs="Times New Roman"/>
          <w:szCs w:val="22"/>
        </w:rPr>
        <w:t>IoT</w:t>
      </w:r>
      <w:r w:rsidRPr="00DA3766">
        <w:rPr>
          <w:rFonts w:ascii="Times New Roman" w:hAnsi="Times New Roman" w:cs="Times New Roman"/>
          <w:szCs w:val="22"/>
        </w:rPr>
        <w:t>智能硬件业务整体毛利率为</w:t>
      </w:r>
      <w:r w:rsidRPr="00DA3766">
        <w:rPr>
          <w:rFonts w:ascii="Times New Roman" w:hAnsi="Times New Roman" w:cs="Times New Roman"/>
          <w:szCs w:val="22"/>
        </w:rPr>
        <w:t>37.55%</w:t>
      </w:r>
      <w:r w:rsidRPr="00DA3766">
        <w:rPr>
          <w:rFonts w:ascii="Times New Roman" w:hAnsi="Times New Roman" w:cs="Times New Roman"/>
          <w:szCs w:val="22"/>
        </w:rPr>
        <w:t>，较</w:t>
      </w:r>
      <w:r w:rsidRPr="00DA3766">
        <w:rPr>
          <w:rFonts w:ascii="Times New Roman" w:hAnsi="Times New Roman" w:cs="Times New Roman"/>
          <w:szCs w:val="22"/>
        </w:rPr>
        <w:t>2023</w:t>
      </w:r>
      <w:r w:rsidRPr="00DA3766">
        <w:rPr>
          <w:rFonts w:ascii="Times New Roman" w:hAnsi="Times New Roman" w:cs="Times New Roman"/>
          <w:szCs w:val="22"/>
        </w:rPr>
        <w:t>年</w:t>
      </w:r>
      <w:r w:rsidRPr="00DA3766">
        <w:rPr>
          <w:rFonts w:ascii="Times New Roman" w:hAnsi="Times New Roman" w:cs="Times New Roman"/>
          <w:szCs w:val="22"/>
        </w:rPr>
        <w:t>30.90%</w:t>
      </w:r>
      <w:r w:rsidRPr="00DA3766">
        <w:rPr>
          <w:rFonts w:ascii="Times New Roman" w:hAnsi="Times New Roman" w:cs="Times New Roman"/>
          <w:szCs w:val="22"/>
        </w:rPr>
        <w:t>上升</w:t>
      </w:r>
      <w:r w:rsidRPr="00DA3766">
        <w:rPr>
          <w:rFonts w:ascii="Times New Roman" w:hAnsi="Times New Roman" w:cs="Times New Roman"/>
          <w:szCs w:val="22"/>
        </w:rPr>
        <w:t>6.65%</w:t>
      </w:r>
      <w:r w:rsidRPr="00DA3766">
        <w:rPr>
          <w:rFonts w:ascii="Times New Roman" w:hAnsi="Times New Roman" w:cs="Times New Roman"/>
          <w:szCs w:val="22"/>
        </w:rPr>
        <w:t>，主要系</w:t>
      </w:r>
      <w:r w:rsidR="005D6682" w:rsidRPr="00DA3766">
        <w:rPr>
          <w:rFonts w:ascii="Times New Roman" w:hAnsi="Times New Roman" w:cs="Times New Roman"/>
          <w:szCs w:val="22"/>
        </w:rPr>
        <w:t>收入占比较高的模块模组等组件产品整体毛利率上升</w:t>
      </w:r>
      <w:r w:rsidRPr="00DA3766">
        <w:rPr>
          <w:rFonts w:ascii="Times New Roman" w:hAnsi="Times New Roman" w:cs="Times New Roman"/>
          <w:szCs w:val="22"/>
        </w:rPr>
        <w:t>所致。</w:t>
      </w:r>
      <w:r w:rsidR="005D6682" w:rsidRPr="00DA3766">
        <w:rPr>
          <w:rFonts w:ascii="Times New Roman" w:hAnsi="Times New Roman" w:cs="Times New Roman"/>
          <w:szCs w:val="22"/>
        </w:rPr>
        <w:t>标的公司</w:t>
      </w:r>
      <w:r w:rsidR="006C66C6" w:rsidRPr="00DA3766">
        <w:rPr>
          <w:rFonts w:ascii="Times New Roman" w:hAnsi="Times New Roman" w:cs="Times New Roman"/>
          <w:szCs w:val="22"/>
        </w:rPr>
        <w:t>通过持续的研发创新，不断迭代升级</w:t>
      </w:r>
      <w:r w:rsidR="005D6682" w:rsidRPr="00DA3766">
        <w:rPr>
          <w:rFonts w:ascii="Times New Roman" w:hAnsi="Times New Roman" w:cs="Times New Roman"/>
          <w:szCs w:val="22"/>
        </w:rPr>
        <w:t>智能支付模块</w:t>
      </w:r>
      <w:r w:rsidR="006C66C6" w:rsidRPr="00DA3766">
        <w:rPr>
          <w:rFonts w:ascii="Times New Roman" w:hAnsi="Times New Roman" w:cs="Times New Roman"/>
          <w:szCs w:val="22"/>
        </w:rPr>
        <w:t>等组件产品，形成了较强的市场竞争力和较大的盈利空间。</w:t>
      </w:r>
      <w:r w:rsidR="00FE5AD3" w:rsidRPr="00DA3766">
        <w:rPr>
          <w:rFonts w:ascii="Times New Roman" w:hAnsi="Times New Roman" w:cs="Times New Roman"/>
          <w:szCs w:val="22"/>
        </w:rPr>
        <w:t>2025</w:t>
      </w:r>
      <w:r w:rsidR="00FE5AD3" w:rsidRPr="00DA3766">
        <w:rPr>
          <w:rFonts w:ascii="Times New Roman" w:hAnsi="Times New Roman" w:cs="Times New Roman"/>
          <w:szCs w:val="22"/>
        </w:rPr>
        <w:t>年</w:t>
      </w:r>
      <w:r w:rsidR="00FE5AD3" w:rsidRPr="00DA3766">
        <w:rPr>
          <w:rFonts w:ascii="Times New Roman" w:hAnsi="Times New Roman" w:cs="Times New Roman"/>
          <w:szCs w:val="22"/>
        </w:rPr>
        <w:t>1-6</w:t>
      </w:r>
      <w:r w:rsidR="00FE5AD3" w:rsidRPr="00DA3766">
        <w:rPr>
          <w:rFonts w:ascii="Times New Roman" w:hAnsi="Times New Roman" w:cs="Times New Roman"/>
          <w:szCs w:val="22"/>
        </w:rPr>
        <w:t>月，标的公司</w:t>
      </w:r>
      <w:r w:rsidR="00B460B3" w:rsidRPr="00DA3766">
        <w:rPr>
          <w:rFonts w:ascii="Times New Roman" w:hAnsi="Times New Roman" w:cs="Times New Roman"/>
          <w:szCs w:val="22"/>
        </w:rPr>
        <w:t>IoT</w:t>
      </w:r>
      <w:r w:rsidR="00B460B3" w:rsidRPr="00DA3766">
        <w:rPr>
          <w:rFonts w:ascii="Times New Roman" w:hAnsi="Times New Roman" w:cs="Times New Roman"/>
          <w:szCs w:val="22"/>
        </w:rPr>
        <w:t>智能硬件业务</w:t>
      </w:r>
      <w:r w:rsidR="00FE5AD3" w:rsidRPr="00DA3766">
        <w:rPr>
          <w:rFonts w:ascii="Times New Roman" w:hAnsi="Times New Roman" w:cs="Times New Roman"/>
          <w:szCs w:val="22"/>
        </w:rPr>
        <w:t>整体毛利率为</w:t>
      </w:r>
      <w:r w:rsidR="00B460B3" w:rsidRPr="00DA3766">
        <w:rPr>
          <w:rFonts w:ascii="Times New Roman" w:hAnsi="Times New Roman" w:cs="Times New Roman"/>
          <w:szCs w:val="22"/>
        </w:rPr>
        <w:t>37.38%</w:t>
      </w:r>
      <w:r w:rsidR="00FE5AD3" w:rsidRPr="00DA3766">
        <w:rPr>
          <w:rFonts w:ascii="Times New Roman" w:hAnsi="Times New Roman" w:cs="Times New Roman"/>
          <w:szCs w:val="22"/>
        </w:rPr>
        <w:t>，较</w:t>
      </w:r>
      <w:r w:rsidR="00FE5AD3" w:rsidRPr="00DA3766">
        <w:rPr>
          <w:rFonts w:ascii="Times New Roman" w:hAnsi="Times New Roman" w:cs="Times New Roman"/>
          <w:szCs w:val="22"/>
        </w:rPr>
        <w:t>2024</w:t>
      </w:r>
      <w:r w:rsidR="00FE5AD3" w:rsidRPr="00DA3766">
        <w:rPr>
          <w:rFonts w:ascii="Times New Roman" w:hAnsi="Times New Roman" w:cs="Times New Roman"/>
          <w:szCs w:val="22"/>
        </w:rPr>
        <w:t>年</w:t>
      </w:r>
      <w:r w:rsidR="00B460B3" w:rsidRPr="00DA3766">
        <w:rPr>
          <w:rFonts w:ascii="Times New Roman" w:hAnsi="Times New Roman" w:cs="Times New Roman"/>
          <w:szCs w:val="22"/>
        </w:rPr>
        <w:t>37.55%</w:t>
      </w:r>
      <w:r w:rsidR="00FE5AD3" w:rsidRPr="00DA3766">
        <w:rPr>
          <w:rFonts w:ascii="Times New Roman" w:hAnsi="Times New Roman" w:cs="Times New Roman"/>
          <w:szCs w:val="22"/>
        </w:rPr>
        <w:t>下降</w:t>
      </w:r>
      <w:r w:rsidR="00FE5AD3" w:rsidRPr="00DA3766">
        <w:rPr>
          <w:rFonts w:ascii="Times New Roman" w:hAnsi="Times New Roman" w:cs="Times New Roman"/>
          <w:szCs w:val="22"/>
        </w:rPr>
        <w:t>0.</w:t>
      </w:r>
      <w:r w:rsidR="00B460B3" w:rsidRPr="00DA3766">
        <w:rPr>
          <w:rFonts w:ascii="Times New Roman" w:hAnsi="Times New Roman" w:cs="Times New Roman"/>
          <w:szCs w:val="22"/>
        </w:rPr>
        <w:t>17</w:t>
      </w:r>
      <w:r w:rsidR="00FE5AD3" w:rsidRPr="00DA3766">
        <w:rPr>
          <w:rFonts w:ascii="Times New Roman" w:hAnsi="Times New Roman" w:cs="Times New Roman"/>
          <w:szCs w:val="22"/>
        </w:rPr>
        <w:t>%</w:t>
      </w:r>
      <w:r w:rsidR="00FE5AD3" w:rsidRPr="00DA3766">
        <w:rPr>
          <w:rFonts w:ascii="Times New Roman" w:hAnsi="Times New Roman" w:cs="Times New Roman"/>
          <w:szCs w:val="22"/>
        </w:rPr>
        <w:t>，基本持平。</w:t>
      </w:r>
    </w:p>
    <w:p w14:paraId="138C3294" w14:textId="34B86CCA" w:rsidR="00B460B3" w:rsidRPr="00DA3766" w:rsidRDefault="00B460B3" w:rsidP="00DA3766">
      <w:pPr>
        <w:pStyle w:val="005"/>
        <w:spacing w:before="120" w:afterLines="0" w:after="0"/>
        <w:ind w:firstLine="480"/>
      </w:pPr>
      <w:r w:rsidRPr="00DA3766">
        <w:t>综上，报告期内标的公司</w:t>
      </w:r>
      <w:r w:rsidRPr="00DA3766">
        <w:t>IoT</w:t>
      </w:r>
      <w:r w:rsidRPr="00DA3766">
        <w:t>智能硬件业务收入和毛利率的变动具备合理性。</w:t>
      </w:r>
    </w:p>
    <w:p w14:paraId="78633F86" w14:textId="77777777" w:rsidR="007921C1" w:rsidRPr="00DA3766" w:rsidRDefault="00A428B5" w:rsidP="0033692B">
      <w:pPr>
        <w:spacing w:before="120" w:afterLines="0" w:after="0"/>
        <w:ind w:firstLine="480"/>
        <w:jc w:val="both"/>
        <w:rPr>
          <w:rFonts w:ascii="Times New Roman" w:hAnsi="Times New Roman" w:cs="Times New Roman"/>
          <w:szCs w:val="22"/>
          <w:lang w:bidi="ar"/>
        </w:rPr>
      </w:pPr>
      <w:bookmarkStart w:id="66" w:name="_Hlk218380574"/>
      <w:r w:rsidRPr="00DA3766">
        <w:rPr>
          <w:rFonts w:ascii="Times New Roman" w:hAnsi="Times New Roman" w:cs="Times New Roman"/>
          <w:szCs w:val="22"/>
          <w:lang w:bidi="ar"/>
        </w:rPr>
        <w:t>报告期内，标的公司</w:t>
      </w:r>
      <w:r w:rsidRPr="00DA3766">
        <w:rPr>
          <w:rFonts w:ascii="Times New Roman" w:hAnsi="Times New Roman" w:cs="Times New Roman"/>
        </w:rPr>
        <w:t>IoT</w:t>
      </w:r>
      <w:r w:rsidRPr="00DA3766">
        <w:rPr>
          <w:rFonts w:ascii="Times New Roman" w:hAnsi="Times New Roman" w:cs="Times New Roman"/>
        </w:rPr>
        <w:t>智能硬件业务</w:t>
      </w:r>
      <w:r w:rsidRPr="00DA3766">
        <w:rPr>
          <w:rFonts w:ascii="Times New Roman" w:hAnsi="Times New Roman" w:cs="Times New Roman"/>
          <w:szCs w:val="22"/>
          <w:lang w:bidi="ar"/>
        </w:rPr>
        <w:t>与同行业可比上市公司</w:t>
      </w:r>
      <w:r w:rsidR="008272FD" w:rsidRPr="00DA3766">
        <w:rPr>
          <w:rFonts w:ascii="Times New Roman" w:hAnsi="Times New Roman" w:cs="Times New Roman"/>
          <w:szCs w:val="22"/>
          <w:lang w:bidi="ar"/>
        </w:rPr>
        <w:t>相关</w:t>
      </w:r>
      <w:r w:rsidRPr="00DA3766">
        <w:rPr>
          <w:rFonts w:ascii="Times New Roman" w:hAnsi="Times New Roman" w:cs="Times New Roman"/>
          <w:szCs w:val="22"/>
          <w:lang w:bidi="ar"/>
        </w:rPr>
        <w:t>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7921C1" w:rsidRPr="00DA3766" w14:paraId="48C63894" w14:textId="77777777" w:rsidTr="00DA3766">
        <w:trPr>
          <w:trHeight w:val="397"/>
          <w:tblHeader/>
          <w:jc w:val="center"/>
        </w:trPr>
        <w:tc>
          <w:tcPr>
            <w:tcW w:w="1000" w:type="pct"/>
            <w:tcMar>
              <w:top w:w="0" w:type="dxa"/>
              <w:bottom w:w="0" w:type="dxa"/>
            </w:tcMar>
            <w:vAlign w:val="center"/>
          </w:tcPr>
          <w:p w14:paraId="1288E12F"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283371F6"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58A7B27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3475B594"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22C3B367"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921C1" w:rsidRPr="00DA3766" w14:paraId="36A607FA" w14:textId="77777777" w:rsidTr="00DA3766">
        <w:trPr>
          <w:trHeight w:val="397"/>
          <w:jc w:val="center"/>
        </w:trPr>
        <w:tc>
          <w:tcPr>
            <w:tcW w:w="1000" w:type="pct"/>
            <w:tcMar>
              <w:top w:w="0" w:type="dxa"/>
              <w:bottom w:w="0" w:type="dxa"/>
            </w:tcMar>
            <w:vAlign w:val="center"/>
          </w:tcPr>
          <w:p w14:paraId="77756E83"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000" w:type="pct"/>
            <w:tcMar>
              <w:top w:w="0" w:type="dxa"/>
              <w:left w:w="108" w:type="dxa"/>
              <w:bottom w:w="0" w:type="dxa"/>
              <w:right w:w="108" w:type="dxa"/>
            </w:tcMar>
            <w:vAlign w:val="center"/>
          </w:tcPr>
          <w:p w14:paraId="6F1D953E"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电子价签终端</w:t>
            </w:r>
          </w:p>
        </w:tc>
        <w:tc>
          <w:tcPr>
            <w:tcW w:w="1000" w:type="pct"/>
            <w:tcMar>
              <w:top w:w="0" w:type="dxa"/>
              <w:left w:w="108" w:type="dxa"/>
              <w:bottom w:w="0" w:type="dxa"/>
              <w:right w:w="108" w:type="dxa"/>
            </w:tcMar>
            <w:vAlign w:val="center"/>
          </w:tcPr>
          <w:p w14:paraId="5CF35CE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7F3F69E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33.49%</w:t>
            </w:r>
          </w:p>
        </w:tc>
        <w:tc>
          <w:tcPr>
            <w:tcW w:w="1000" w:type="pct"/>
            <w:tcMar>
              <w:top w:w="0" w:type="dxa"/>
              <w:left w:w="108" w:type="dxa"/>
              <w:bottom w:w="0" w:type="dxa"/>
              <w:right w:w="108" w:type="dxa"/>
            </w:tcMar>
            <w:vAlign w:val="center"/>
          </w:tcPr>
          <w:p w14:paraId="3ECF6D6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31.41%</w:t>
            </w:r>
          </w:p>
        </w:tc>
      </w:tr>
      <w:tr w:rsidR="007921C1" w:rsidRPr="00DA3766" w14:paraId="4BCB1E2A" w14:textId="77777777" w:rsidTr="00DA3766">
        <w:trPr>
          <w:trHeight w:val="397"/>
          <w:jc w:val="center"/>
        </w:trPr>
        <w:tc>
          <w:tcPr>
            <w:tcW w:w="1000" w:type="pct"/>
            <w:tcMar>
              <w:top w:w="0" w:type="dxa"/>
              <w:bottom w:w="0" w:type="dxa"/>
            </w:tcMar>
            <w:vAlign w:val="center"/>
          </w:tcPr>
          <w:p w14:paraId="1A8CD4B2"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映翰通</w:t>
            </w:r>
          </w:p>
        </w:tc>
        <w:tc>
          <w:tcPr>
            <w:tcW w:w="1000" w:type="pct"/>
            <w:tcMar>
              <w:top w:w="0" w:type="dxa"/>
              <w:left w:w="108" w:type="dxa"/>
              <w:bottom w:w="0" w:type="dxa"/>
              <w:right w:w="108" w:type="dxa"/>
            </w:tcMar>
            <w:vAlign w:val="center"/>
          </w:tcPr>
          <w:p w14:paraId="27C86018"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智能售货控制系统产品</w:t>
            </w:r>
          </w:p>
        </w:tc>
        <w:tc>
          <w:tcPr>
            <w:tcW w:w="1000" w:type="pct"/>
            <w:tcMar>
              <w:top w:w="0" w:type="dxa"/>
              <w:left w:w="108" w:type="dxa"/>
              <w:bottom w:w="0" w:type="dxa"/>
              <w:right w:w="108" w:type="dxa"/>
            </w:tcMar>
            <w:vAlign w:val="center"/>
          </w:tcPr>
          <w:p w14:paraId="4D1B51B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2C1B6B0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28.08%</w:t>
            </w:r>
          </w:p>
        </w:tc>
        <w:tc>
          <w:tcPr>
            <w:tcW w:w="1000" w:type="pct"/>
            <w:tcMar>
              <w:top w:w="0" w:type="dxa"/>
              <w:left w:w="108" w:type="dxa"/>
              <w:bottom w:w="0" w:type="dxa"/>
              <w:right w:w="108" w:type="dxa"/>
            </w:tcMar>
            <w:vAlign w:val="center"/>
          </w:tcPr>
          <w:p w14:paraId="32E6655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32.18%</w:t>
            </w:r>
          </w:p>
        </w:tc>
      </w:tr>
      <w:tr w:rsidR="007921C1" w:rsidRPr="00DA3766" w14:paraId="5170A324" w14:textId="77777777" w:rsidTr="00DA3766">
        <w:trPr>
          <w:trHeight w:val="397"/>
          <w:jc w:val="center"/>
        </w:trPr>
        <w:tc>
          <w:tcPr>
            <w:tcW w:w="1000" w:type="pct"/>
            <w:tcMar>
              <w:top w:w="0" w:type="dxa"/>
              <w:bottom w:w="0" w:type="dxa"/>
            </w:tcMar>
            <w:vAlign w:val="center"/>
          </w:tcPr>
          <w:p w14:paraId="4A50FD62"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000" w:type="pct"/>
            <w:tcMar>
              <w:top w:w="0" w:type="dxa"/>
              <w:left w:w="108" w:type="dxa"/>
              <w:bottom w:w="0" w:type="dxa"/>
              <w:right w:w="108" w:type="dxa"/>
            </w:tcMar>
            <w:vAlign w:val="center"/>
          </w:tcPr>
          <w:p w14:paraId="2015876C"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物联网模组</w:t>
            </w:r>
          </w:p>
        </w:tc>
        <w:tc>
          <w:tcPr>
            <w:tcW w:w="1000" w:type="pct"/>
            <w:tcMar>
              <w:top w:w="0" w:type="dxa"/>
              <w:left w:w="108" w:type="dxa"/>
              <w:bottom w:w="0" w:type="dxa"/>
              <w:right w:w="108" w:type="dxa"/>
            </w:tcMar>
            <w:vAlign w:val="center"/>
          </w:tcPr>
          <w:p w14:paraId="74F9068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107BA5F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32.54%</w:t>
            </w:r>
          </w:p>
        </w:tc>
        <w:tc>
          <w:tcPr>
            <w:tcW w:w="1000" w:type="pct"/>
            <w:tcMar>
              <w:top w:w="0" w:type="dxa"/>
              <w:left w:w="108" w:type="dxa"/>
              <w:bottom w:w="0" w:type="dxa"/>
              <w:right w:w="108" w:type="dxa"/>
            </w:tcMar>
            <w:vAlign w:val="center"/>
          </w:tcPr>
          <w:p w14:paraId="729B78A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30.90%</w:t>
            </w:r>
          </w:p>
        </w:tc>
      </w:tr>
      <w:tr w:rsidR="007921C1" w:rsidRPr="00DA3766" w14:paraId="466184D4" w14:textId="77777777" w:rsidTr="00DA3766">
        <w:trPr>
          <w:trHeight w:val="397"/>
          <w:jc w:val="center"/>
        </w:trPr>
        <w:tc>
          <w:tcPr>
            <w:tcW w:w="1000" w:type="pct"/>
            <w:tcMar>
              <w:top w:w="0" w:type="dxa"/>
              <w:bottom w:w="0" w:type="dxa"/>
            </w:tcMar>
            <w:vAlign w:val="center"/>
          </w:tcPr>
          <w:p w14:paraId="692F7B4F"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5D9A80B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IoT</w:t>
            </w:r>
            <w:r w:rsidRPr="00DA3766">
              <w:rPr>
                <w:rFonts w:ascii="Times New Roman" w:hAnsi="Times New Roman" w:cs="Times New Roman"/>
                <w:sz w:val="21"/>
                <w:szCs w:val="21"/>
              </w:rPr>
              <w:t>智能硬件</w:t>
            </w:r>
          </w:p>
        </w:tc>
        <w:tc>
          <w:tcPr>
            <w:tcW w:w="1000" w:type="pct"/>
            <w:tcMar>
              <w:top w:w="0" w:type="dxa"/>
              <w:left w:w="108" w:type="dxa"/>
              <w:bottom w:w="0" w:type="dxa"/>
              <w:right w:w="108" w:type="dxa"/>
            </w:tcMar>
            <w:vAlign w:val="center"/>
          </w:tcPr>
          <w:p w14:paraId="0B49698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37.38%</w:t>
            </w:r>
          </w:p>
        </w:tc>
        <w:tc>
          <w:tcPr>
            <w:tcW w:w="1000" w:type="pct"/>
            <w:tcMar>
              <w:top w:w="0" w:type="dxa"/>
              <w:left w:w="108" w:type="dxa"/>
              <w:bottom w:w="0" w:type="dxa"/>
              <w:right w:w="108" w:type="dxa"/>
            </w:tcMar>
            <w:vAlign w:val="center"/>
          </w:tcPr>
          <w:p w14:paraId="1A61AFC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37.55%</w:t>
            </w:r>
          </w:p>
        </w:tc>
        <w:tc>
          <w:tcPr>
            <w:tcW w:w="1000" w:type="pct"/>
            <w:tcMar>
              <w:top w:w="0" w:type="dxa"/>
              <w:left w:w="108" w:type="dxa"/>
              <w:bottom w:w="0" w:type="dxa"/>
              <w:right w:w="108" w:type="dxa"/>
            </w:tcMar>
            <w:vAlign w:val="center"/>
          </w:tcPr>
          <w:p w14:paraId="30A1B31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30.90%</w:t>
            </w:r>
          </w:p>
        </w:tc>
      </w:tr>
    </w:tbl>
    <w:p w14:paraId="26318751" w14:textId="77777777" w:rsidR="007921C1" w:rsidRPr="00DA3766" w:rsidRDefault="007921C1" w:rsidP="007921C1">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bookmarkEnd w:id="66"/>
    <w:p w14:paraId="4F8866EE" w14:textId="233B13EA" w:rsidR="00A428B5" w:rsidRPr="00DA3766" w:rsidRDefault="0056662C" w:rsidP="00A428B5">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t>报告期各期，标的公司</w:t>
      </w:r>
      <w:r w:rsidRPr="00DA3766">
        <w:rPr>
          <w:rFonts w:ascii="Times New Roman" w:hAnsi="Times New Roman" w:cs="Times New Roman"/>
          <w:szCs w:val="22"/>
        </w:rPr>
        <w:t>IoT</w:t>
      </w:r>
      <w:r w:rsidRPr="00DA3766">
        <w:rPr>
          <w:rFonts w:ascii="Times New Roman" w:hAnsi="Times New Roman" w:cs="Times New Roman"/>
          <w:szCs w:val="22"/>
        </w:rPr>
        <w:t>智能硬件业务毛利率总体与汉朔科技、映翰通、云里物里等同行业可比公司物联网相关硬件毛利率较为接近。</w:t>
      </w:r>
    </w:p>
    <w:p w14:paraId="221FBC50" w14:textId="2B2BF530" w:rsidR="00AB3394" w:rsidRPr="00DA3766" w:rsidRDefault="00AB3394" w:rsidP="00AB3394">
      <w:pPr>
        <w:pStyle w:val="002"/>
        <w:spacing w:before="120" w:after="120"/>
        <w:ind w:firstLine="482"/>
      </w:pPr>
      <w:r w:rsidRPr="00DA3766">
        <w:lastRenderedPageBreak/>
        <w:t>七、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p>
    <w:p w14:paraId="558E34E2" w14:textId="1099EF97" w:rsidR="00C07DBE" w:rsidRPr="00DA3766" w:rsidRDefault="007921C1" w:rsidP="007921C1">
      <w:pPr>
        <w:pStyle w:val="003"/>
        <w:spacing w:before="120" w:after="120"/>
        <w:ind w:firstLine="482"/>
      </w:pPr>
      <w:r w:rsidRPr="00DA3766">
        <w:t>（一）</w:t>
      </w:r>
      <w:r w:rsidR="00C07DBE" w:rsidRPr="00DA3766">
        <w:t>数字增值服务业务的运营模式、盈利模式</w:t>
      </w:r>
    </w:p>
    <w:p w14:paraId="5BA63C41" w14:textId="77777777" w:rsidR="0056662C" w:rsidRPr="00DA3766" w:rsidRDefault="0056662C" w:rsidP="0056662C">
      <w:pPr>
        <w:pStyle w:val="005"/>
        <w:spacing w:before="120" w:after="120"/>
        <w:ind w:firstLine="480"/>
      </w:pPr>
      <w:r w:rsidRPr="00DA3766">
        <w:t>基于业内领先的</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和强大的智能自助设备全链条服务能力，标的公司灵活开展广告投放、流量引入和价值转化等多元化数字增值服务，以增加业务收入来源和提升综合盈利能力。具体而言，标的公司数字增值服务业务主要包括基于标的公司</w:t>
      </w:r>
      <w:r w:rsidRPr="00DA3766">
        <w:t>SaaS</w:t>
      </w:r>
      <w:r w:rsidRPr="00DA3766">
        <w:t>云平台为互联网平台为主的客户通过开屏广告、流量引入等方式提供全场景数字增值服务。</w:t>
      </w:r>
    </w:p>
    <w:p w14:paraId="00E62A9D" w14:textId="136267CD" w:rsidR="00A428B5" w:rsidRPr="00DA3766" w:rsidRDefault="0056662C" w:rsidP="0056662C">
      <w:pPr>
        <w:pStyle w:val="005"/>
        <w:spacing w:before="120" w:after="120"/>
        <w:ind w:firstLine="480"/>
      </w:pPr>
      <w:r w:rsidRPr="00DA3766">
        <w:t>报告期内，标的公司数字增值服务业务运营良好，各期收入分别为</w:t>
      </w:r>
      <w:r w:rsidRPr="00DA3766">
        <w:t>5,821.77</w:t>
      </w:r>
      <w:r w:rsidRPr="00DA3766">
        <w:t>万元、</w:t>
      </w:r>
      <w:r w:rsidRPr="00DA3766">
        <w:t>8,479.53</w:t>
      </w:r>
      <w:r w:rsidRPr="00DA3766">
        <w:t>万元和</w:t>
      </w:r>
      <w:r w:rsidRPr="00DA3766">
        <w:t>4,361.28</w:t>
      </w:r>
      <w:r w:rsidRPr="00DA3766">
        <w:t>万元，</w:t>
      </w:r>
      <w:r w:rsidRPr="00DA3766">
        <w:t>2024</w:t>
      </w:r>
      <w:r w:rsidRPr="00DA3766">
        <w:t>年业务收入较</w:t>
      </w:r>
      <w:r w:rsidRPr="00DA3766">
        <w:t>2023</w:t>
      </w:r>
      <w:r w:rsidRPr="00DA3766">
        <w:t>年增长</w:t>
      </w:r>
      <w:r w:rsidRPr="00DA3766">
        <w:t>45.65%</w:t>
      </w:r>
      <w:r w:rsidRPr="00DA3766">
        <w:t>，</w:t>
      </w:r>
      <w:r w:rsidRPr="00DA3766">
        <w:t>2025</w:t>
      </w:r>
      <w:r w:rsidRPr="00DA3766">
        <w:t>年</w:t>
      </w:r>
      <w:r w:rsidRPr="00DA3766">
        <w:t>1-6</w:t>
      </w:r>
      <w:r w:rsidRPr="00DA3766">
        <w:t>月业务收入占</w:t>
      </w:r>
      <w:r w:rsidRPr="00DA3766">
        <w:t>2024</w:t>
      </w:r>
      <w:r w:rsidRPr="00DA3766">
        <w:t>年为</w:t>
      </w:r>
      <w:r w:rsidRPr="00DA3766">
        <w:t>51.43%</w:t>
      </w:r>
      <w:r w:rsidRPr="00DA3766">
        <w:t>。</w:t>
      </w:r>
    </w:p>
    <w:p w14:paraId="4B8FACCD" w14:textId="618CDEC2" w:rsidR="00C07DBE" w:rsidRPr="00DA3766" w:rsidRDefault="007921C1" w:rsidP="007921C1">
      <w:pPr>
        <w:pStyle w:val="003"/>
        <w:spacing w:before="120" w:after="120"/>
        <w:ind w:firstLine="482"/>
      </w:pPr>
      <w:bookmarkStart w:id="67" w:name="OLE_LINK101"/>
      <w:r w:rsidRPr="00DA3766">
        <w:t>（二）与客户签订合同的主要条款内容，客户核实确认工作量数据的方法、周期、核实确认时点与实际接受服务之间的时间差异</w:t>
      </w:r>
    </w:p>
    <w:bookmarkEnd w:id="67"/>
    <w:p w14:paraId="1A6FACA9" w14:textId="02B8EF0B" w:rsidR="00CB5B1C" w:rsidRPr="00DA3766" w:rsidRDefault="0056662C" w:rsidP="00CB5B1C">
      <w:pPr>
        <w:pStyle w:val="005"/>
        <w:spacing w:before="120" w:after="120"/>
        <w:ind w:firstLine="480"/>
      </w:pPr>
      <w:r w:rsidRPr="00DA3766">
        <w:t>标的公司通常在与客户签订的数字增值服务业务相关合同中约定服务内容、服务费用、对账和结算方式等主要条款。以标的公司数字增值服务业务主要细分业务支付宝</w:t>
      </w:r>
      <w:r w:rsidR="00A77411" w:rsidRPr="00DA3766">
        <w:t>推广</w:t>
      </w:r>
      <w:r w:rsidRPr="00DA3766">
        <w:t>为例，上述主要条款的典型合同一般性约定如下：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4537"/>
        <w:gridCol w:w="1756"/>
      </w:tblGrid>
      <w:tr w:rsidR="00A847C7" w:rsidRPr="00DA3766" w14:paraId="2C34E558" w14:textId="77777777" w:rsidTr="000C4294">
        <w:trPr>
          <w:trHeight w:val="397"/>
          <w:jc w:val="center"/>
        </w:trPr>
        <w:tc>
          <w:tcPr>
            <w:tcW w:w="1409" w:type="pct"/>
            <w:vAlign w:val="center"/>
            <w:hideMark/>
          </w:tcPr>
          <w:p w14:paraId="67501ECB"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服务内容</w:t>
            </w:r>
          </w:p>
        </w:tc>
        <w:tc>
          <w:tcPr>
            <w:tcW w:w="2588" w:type="pct"/>
            <w:vAlign w:val="center"/>
            <w:hideMark/>
          </w:tcPr>
          <w:p w14:paraId="07BA3AE0"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费用约定</w:t>
            </w:r>
          </w:p>
        </w:tc>
        <w:tc>
          <w:tcPr>
            <w:tcW w:w="1002" w:type="pct"/>
            <w:vAlign w:val="center"/>
            <w:hideMark/>
          </w:tcPr>
          <w:p w14:paraId="0E7150C9"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对账和结算方式</w:t>
            </w:r>
          </w:p>
        </w:tc>
      </w:tr>
      <w:tr w:rsidR="00A847C7" w:rsidRPr="00DA3766" w14:paraId="71E2498D" w14:textId="77777777" w:rsidTr="000C4294">
        <w:trPr>
          <w:trHeight w:val="397"/>
          <w:jc w:val="center"/>
        </w:trPr>
        <w:tc>
          <w:tcPr>
            <w:tcW w:w="1409" w:type="pct"/>
            <w:vAlign w:val="center"/>
            <w:hideMark/>
          </w:tcPr>
          <w:p w14:paraId="044F2EE6" w14:textId="77777777" w:rsidR="00A847C7" w:rsidRPr="00DA3766" w:rsidRDefault="00A847C7" w:rsidP="00DA3766">
            <w:pPr>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校园、出行服务、快递物流、智能售卖、公交出行、生活服务、汽车服务等应用场景支付宝推广</w:t>
            </w:r>
          </w:p>
        </w:tc>
        <w:tc>
          <w:tcPr>
            <w:tcW w:w="2588" w:type="pct"/>
            <w:vAlign w:val="center"/>
            <w:hideMark/>
          </w:tcPr>
          <w:p w14:paraId="6CC6DD6E" w14:textId="77777777" w:rsidR="00A847C7" w:rsidRPr="00DA3766" w:rsidRDefault="00A847C7"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基础分润</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支付宝灯火广告收入</w:t>
            </w:r>
            <w:r w:rsidRPr="00DA3766">
              <w:rPr>
                <w:rFonts w:ascii="Times New Roman" w:hAnsi="Times New Roman" w:cs="Times New Roman"/>
                <w:color w:val="000000"/>
                <w:kern w:val="2"/>
                <w:sz w:val="21"/>
                <w:szCs w:val="21"/>
              </w:rPr>
              <w:t>*100%</w:t>
            </w:r>
            <w:r w:rsidRPr="00DA3766">
              <w:rPr>
                <w:rFonts w:ascii="Times New Roman" w:hAnsi="Times New Roman" w:cs="Times New Roman"/>
                <w:color w:val="000000"/>
                <w:kern w:val="2"/>
                <w:sz w:val="21"/>
                <w:szCs w:val="21"/>
              </w:rPr>
              <w:t>；此外，月度整体实际每千次有效曝光收入低于</w:t>
            </w:r>
            <w:r w:rsidRPr="00DA3766">
              <w:rPr>
                <w:rFonts w:ascii="Times New Roman" w:hAnsi="Times New Roman" w:cs="Times New Roman"/>
                <w:color w:val="000000"/>
                <w:kern w:val="2"/>
                <w:sz w:val="21"/>
                <w:szCs w:val="21"/>
              </w:rPr>
              <w:t>30</w:t>
            </w:r>
            <w:r w:rsidRPr="00DA3766">
              <w:rPr>
                <w:rFonts w:ascii="Times New Roman" w:hAnsi="Times New Roman" w:cs="Times New Roman"/>
                <w:color w:val="000000"/>
                <w:kern w:val="2"/>
                <w:sz w:val="21"/>
                <w:szCs w:val="21"/>
              </w:rPr>
              <w:t>元（不含</w:t>
            </w:r>
            <w:r w:rsidRPr="00DA3766">
              <w:rPr>
                <w:rFonts w:ascii="Times New Roman" w:hAnsi="Times New Roman" w:cs="Times New Roman"/>
                <w:color w:val="000000"/>
                <w:kern w:val="2"/>
                <w:sz w:val="21"/>
                <w:szCs w:val="21"/>
              </w:rPr>
              <w:t>30</w:t>
            </w:r>
            <w:r w:rsidRPr="00DA3766">
              <w:rPr>
                <w:rFonts w:ascii="Times New Roman" w:hAnsi="Times New Roman" w:cs="Times New Roman"/>
                <w:color w:val="000000"/>
                <w:kern w:val="2"/>
                <w:sz w:val="21"/>
                <w:szCs w:val="21"/>
              </w:rPr>
              <w:t>元，以平台系统记录和测算为准）的小程序，有机会享受</w:t>
            </w:r>
            <w:r w:rsidRPr="00DA3766">
              <w:rPr>
                <w:rFonts w:ascii="Times New Roman" w:hAnsi="Times New Roman" w:cs="Times New Roman"/>
                <w:color w:val="000000"/>
                <w:kern w:val="2"/>
                <w:sz w:val="21"/>
                <w:szCs w:val="21"/>
              </w:rPr>
              <w:t>0-200%</w:t>
            </w:r>
            <w:r w:rsidRPr="00DA3766">
              <w:rPr>
                <w:rFonts w:ascii="Times New Roman" w:hAnsi="Times New Roman" w:cs="Times New Roman"/>
                <w:color w:val="000000"/>
                <w:kern w:val="2"/>
                <w:sz w:val="21"/>
                <w:szCs w:val="21"/>
              </w:rPr>
              <w:t>的额外叠加分润</w:t>
            </w:r>
          </w:p>
        </w:tc>
        <w:tc>
          <w:tcPr>
            <w:tcW w:w="1002" w:type="pct"/>
            <w:vAlign w:val="center"/>
            <w:hideMark/>
          </w:tcPr>
          <w:p w14:paraId="2429C7CA" w14:textId="5D0B5355" w:rsidR="00A847C7" w:rsidRPr="00DA3766" w:rsidRDefault="00A847C7"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结算金额以账单金额为准，</w:t>
            </w:r>
            <w:r w:rsidR="00CE4C86" w:rsidRPr="00CE4C86">
              <w:rPr>
                <w:rFonts w:ascii="Times New Roman" w:hAnsi="Times New Roman" w:cs="Times New Roman" w:hint="eastAsia"/>
                <w:color w:val="000000"/>
                <w:kern w:val="2"/>
                <w:sz w:val="21"/>
                <w:szCs w:val="21"/>
              </w:rPr>
              <w:t>双方次月完成对账</w:t>
            </w:r>
            <w:r w:rsidRPr="00DA3766">
              <w:rPr>
                <w:rFonts w:ascii="Times New Roman" w:hAnsi="Times New Roman" w:cs="Times New Roman"/>
                <w:color w:val="000000"/>
                <w:kern w:val="2"/>
                <w:sz w:val="21"/>
                <w:szCs w:val="21"/>
              </w:rPr>
              <w:t>，先票后款。</w:t>
            </w:r>
          </w:p>
        </w:tc>
      </w:tr>
    </w:tbl>
    <w:p w14:paraId="7FBA1EE5" w14:textId="0BB72369" w:rsidR="00BD47DE" w:rsidRPr="00DA3766" w:rsidRDefault="00CB5B1C" w:rsidP="00CB5B1C">
      <w:pPr>
        <w:pStyle w:val="005"/>
        <w:spacing w:before="120" w:after="120"/>
        <w:ind w:firstLine="480"/>
      </w:pPr>
      <w:r w:rsidRPr="00DA3766">
        <w:t>标的公司数字增值服务业务中支付宝</w:t>
      </w:r>
      <w:r w:rsidR="00A77411" w:rsidRPr="00DA3766">
        <w:t>推广</w:t>
      </w:r>
      <w:r w:rsidRPr="00DA3766">
        <w:t>等细分业务涉及与客户核对工作量数据，标的公司通常于当月根据业务相关工作数量以及协议具体约定确认收入，该等会计处理与相关协议约定不存在实质性差异，标的公司不存在延期对账调节收入的情形。</w:t>
      </w:r>
    </w:p>
    <w:p w14:paraId="0B880436" w14:textId="7F83CF50" w:rsidR="00BD47DE" w:rsidRPr="00DA3766" w:rsidRDefault="007921C1" w:rsidP="007921C1">
      <w:pPr>
        <w:pStyle w:val="003"/>
        <w:spacing w:before="120" w:after="120"/>
        <w:ind w:firstLine="482"/>
      </w:pPr>
      <w:r w:rsidRPr="00DA3766">
        <w:lastRenderedPageBreak/>
        <w:t>（三）</w:t>
      </w:r>
      <w:r w:rsidR="00BD47DE" w:rsidRPr="00DA3766">
        <w:t>相关服务控制权转移及收入确认时点、收入确认方式是否符合《企业会计准则》的有关规定，与同行业公司的收入确认政策是否一致</w:t>
      </w:r>
    </w:p>
    <w:p w14:paraId="6D7D317B" w14:textId="77777777" w:rsidR="0056662C" w:rsidRPr="00DA3766" w:rsidRDefault="0056662C" w:rsidP="0056662C">
      <w:pPr>
        <w:spacing w:before="120" w:afterLines="0" w:after="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承接业务后，按照客户要求对其品牌形象和公司产品等进行媒体传播、推广等，并与其签订相应的合同。标的公司根据合同约定内容，执行相应线上推广服务，并按照合同约定形成相应的工作量数据等。标的公司在收到客户对工作量数据等核实确认后，已收取价款或取得收款权利且相关的经济利益很可能流入时确认收入。</w:t>
      </w:r>
    </w:p>
    <w:p w14:paraId="5C565116" w14:textId="76E02EFF" w:rsidR="00E00DD1" w:rsidRPr="00DA3766" w:rsidRDefault="0056662C" w:rsidP="000C4294">
      <w:pPr>
        <w:pStyle w:val="005"/>
        <w:spacing w:before="120" w:after="120"/>
        <w:ind w:firstLine="480"/>
      </w:pPr>
      <w:r w:rsidRPr="00DA3766">
        <w:t>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E00DD1" w:rsidRPr="00DA3766" w14:paraId="5C5A2F9C" w14:textId="77777777" w:rsidTr="00DA3766">
        <w:trPr>
          <w:trHeight w:val="397"/>
          <w:jc w:val="center"/>
        </w:trPr>
        <w:tc>
          <w:tcPr>
            <w:tcW w:w="1416" w:type="dxa"/>
            <w:tcMar>
              <w:top w:w="0" w:type="dxa"/>
              <w:left w:w="108" w:type="dxa"/>
              <w:bottom w:w="0" w:type="dxa"/>
              <w:right w:w="108" w:type="dxa"/>
            </w:tcMar>
            <w:vAlign w:val="center"/>
          </w:tcPr>
          <w:p w14:paraId="767196A6" w14:textId="77777777" w:rsidR="00E00DD1" w:rsidRPr="00DA3766" w:rsidRDefault="00E00DD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14:paraId="7EAD6074" w14:textId="77777777" w:rsidR="00E00DD1" w:rsidRPr="00DA3766" w:rsidRDefault="00E00DD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相关会计政策主要内容</w:t>
            </w:r>
          </w:p>
        </w:tc>
      </w:tr>
      <w:tr w:rsidR="00E00DD1" w:rsidRPr="00DA3766" w14:paraId="2C0D5E85" w14:textId="77777777" w:rsidTr="00DA3766">
        <w:trPr>
          <w:trHeight w:val="397"/>
          <w:jc w:val="center"/>
        </w:trPr>
        <w:tc>
          <w:tcPr>
            <w:tcW w:w="1416" w:type="dxa"/>
            <w:tcMar>
              <w:top w:w="0" w:type="dxa"/>
              <w:left w:w="108" w:type="dxa"/>
              <w:bottom w:w="0" w:type="dxa"/>
              <w:right w:w="108" w:type="dxa"/>
            </w:tcMar>
            <w:vAlign w:val="center"/>
          </w:tcPr>
          <w:p w14:paraId="0AE15C0D" w14:textId="72FA3F83" w:rsidR="00E00DD1" w:rsidRPr="00DA3766" w:rsidRDefault="00E00DD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7175" w:type="dxa"/>
            <w:tcMar>
              <w:top w:w="0" w:type="dxa"/>
              <w:left w:w="108" w:type="dxa"/>
              <w:bottom w:w="0" w:type="dxa"/>
              <w:right w:w="108" w:type="dxa"/>
            </w:tcMar>
            <w:vAlign w:val="center"/>
          </w:tcPr>
          <w:p w14:paraId="0295132D" w14:textId="52411BA7" w:rsidR="00E00DD1" w:rsidRPr="00DA3766" w:rsidRDefault="00E00DD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主要是指在使用本公司产品的商户系统中安装架设第三方支付平台的通道，为第三方平台提供推广和安装服务，第三方平台按照协议约定的资金流水比例向公司支付一定的推广和服务费；即在公司架设收费通道后，通过通道实际产生资金流水时确认收入。</w:t>
            </w:r>
          </w:p>
        </w:tc>
      </w:tr>
    </w:tbl>
    <w:p w14:paraId="7A952C9E" w14:textId="624A73EB" w:rsidR="00AB3394" w:rsidRPr="00DA3766" w:rsidRDefault="00AB3394" w:rsidP="00AB3394">
      <w:pPr>
        <w:pStyle w:val="002"/>
        <w:spacing w:before="120" w:after="120"/>
        <w:ind w:firstLine="482"/>
      </w:pPr>
      <w:r w:rsidRPr="00DA3766">
        <w:t>八、结合行业发展情况、标的资产新增客户及订单情况、成本变动情况及原因等，说明</w:t>
      </w:r>
      <w:r w:rsidRPr="00DA3766">
        <w:t>2024</w:t>
      </w:r>
      <w:r w:rsidRPr="00DA3766">
        <w:t>年数字增值服务业务收入、毛利率增长的原因及合理性，与同行业可比公司的对比情况及差异原因</w:t>
      </w:r>
    </w:p>
    <w:p w14:paraId="30106746" w14:textId="77777777" w:rsidR="0056662C" w:rsidRPr="00DA3766" w:rsidRDefault="0056662C" w:rsidP="0056662C">
      <w:pPr>
        <w:pStyle w:val="005"/>
        <w:spacing w:before="120" w:afterLines="0" w:after="0"/>
        <w:ind w:firstLine="480"/>
      </w:pPr>
      <w:r w:rsidRPr="00DA3766">
        <w:t>数字增值服务正处于高速增长与结构升级的关键期，大数据、</w:t>
      </w:r>
      <w:r w:rsidRPr="00DA3766">
        <w:t>AI</w:t>
      </w:r>
      <w:r w:rsidRPr="00DA3766">
        <w:t>与</w:t>
      </w:r>
      <w:r w:rsidRPr="00DA3766">
        <w:t>5G</w:t>
      </w:r>
      <w:r w:rsidRPr="00DA3766">
        <w:t>等技术深度赋能，</w:t>
      </w:r>
      <w:r w:rsidRPr="00DA3766">
        <w:t>C</w:t>
      </w:r>
      <w:r w:rsidRPr="00DA3766">
        <w:t>端与</w:t>
      </w:r>
      <w:r w:rsidRPr="00DA3766">
        <w:t>B</w:t>
      </w:r>
      <w:r w:rsidRPr="00DA3766">
        <w:t>端双轮驱动，市场规模持续扩大。根据思瀚产业研究院数据，预计到</w:t>
      </w:r>
      <w:r w:rsidRPr="00DA3766">
        <w:t>2029</w:t>
      </w:r>
      <w:r w:rsidRPr="00DA3766">
        <w:t>年中国数字营销行业市场规模将达到人民币</w:t>
      </w:r>
      <w:r w:rsidRPr="00DA3766">
        <w:t>20,644</w:t>
      </w:r>
      <w:r w:rsidRPr="00DA3766">
        <w:t>亿元，年复合增长率为</w:t>
      </w:r>
      <w:r w:rsidRPr="00DA3766">
        <w:t>10.2%</w:t>
      </w:r>
      <w:r w:rsidRPr="00DA3766">
        <w:t>。</w:t>
      </w:r>
    </w:p>
    <w:p w14:paraId="5F351F0E" w14:textId="0056C126" w:rsidR="007921C1" w:rsidRPr="00DA3766" w:rsidRDefault="0056662C" w:rsidP="0056662C">
      <w:pPr>
        <w:pStyle w:val="005"/>
        <w:spacing w:before="120" w:afterLines="0" w:after="0"/>
        <w:ind w:firstLine="480"/>
      </w:pPr>
      <w:r w:rsidRPr="00DA3766">
        <w:t>截至本核查意见出具之日，标的公司与相关客户于</w:t>
      </w:r>
      <w:r w:rsidRPr="00DA3766">
        <w:t>2025</w:t>
      </w:r>
      <w:r w:rsidRPr="00DA3766">
        <w:t>年新签订数字增值服务合同如下：</w:t>
      </w:r>
    </w:p>
    <w:tbl>
      <w:tblPr>
        <w:tblW w:w="854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5"/>
        <w:gridCol w:w="4961"/>
        <w:gridCol w:w="2050"/>
      </w:tblGrid>
      <w:tr w:rsidR="007921C1" w:rsidRPr="00DA3766" w14:paraId="05994A73" w14:textId="77777777" w:rsidTr="004C2193">
        <w:trPr>
          <w:trHeight w:val="397"/>
          <w:tblHeader/>
          <w:jc w:val="center"/>
        </w:trPr>
        <w:tc>
          <w:tcPr>
            <w:tcW w:w="1535" w:type="dxa"/>
            <w:tcMar>
              <w:top w:w="0" w:type="dxa"/>
              <w:bottom w:w="0" w:type="dxa"/>
            </w:tcMar>
            <w:vAlign w:val="center"/>
            <w:hideMark/>
          </w:tcPr>
          <w:p w14:paraId="13F556E5"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主要客户</w:t>
            </w:r>
          </w:p>
        </w:tc>
        <w:tc>
          <w:tcPr>
            <w:tcW w:w="4961" w:type="dxa"/>
            <w:tcMar>
              <w:top w:w="0" w:type="dxa"/>
              <w:bottom w:w="0" w:type="dxa"/>
            </w:tcMar>
            <w:vAlign w:val="center"/>
            <w:hideMark/>
          </w:tcPr>
          <w:p w14:paraId="46135DDE"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服务内容</w:t>
            </w:r>
          </w:p>
        </w:tc>
        <w:tc>
          <w:tcPr>
            <w:tcW w:w="2050" w:type="dxa"/>
            <w:tcMar>
              <w:top w:w="0" w:type="dxa"/>
              <w:bottom w:w="0" w:type="dxa"/>
            </w:tcMar>
            <w:vAlign w:val="center"/>
          </w:tcPr>
          <w:p w14:paraId="7004DCD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合同有效期</w:t>
            </w:r>
          </w:p>
        </w:tc>
      </w:tr>
      <w:tr w:rsidR="007921C1" w:rsidRPr="00DA3766" w14:paraId="1722F304" w14:textId="77777777" w:rsidTr="00DA3766">
        <w:trPr>
          <w:trHeight w:val="397"/>
          <w:jc w:val="center"/>
        </w:trPr>
        <w:tc>
          <w:tcPr>
            <w:tcW w:w="1535" w:type="dxa"/>
            <w:tcMar>
              <w:top w:w="0" w:type="dxa"/>
              <w:bottom w:w="0" w:type="dxa"/>
            </w:tcMar>
            <w:vAlign w:val="center"/>
          </w:tcPr>
          <w:p w14:paraId="64C9DA8B" w14:textId="1DE622AF" w:rsidR="007921C1" w:rsidRPr="00DA3766" w:rsidRDefault="00335249"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F</w:t>
            </w:r>
          </w:p>
        </w:tc>
        <w:tc>
          <w:tcPr>
            <w:tcW w:w="4961" w:type="dxa"/>
            <w:tcMar>
              <w:top w:w="0" w:type="dxa"/>
              <w:bottom w:w="0" w:type="dxa"/>
            </w:tcMar>
            <w:vAlign w:val="center"/>
          </w:tcPr>
          <w:p w14:paraId="2ED1EC40"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联合会员相关业务</w:t>
            </w:r>
          </w:p>
        </w:tc>
        <w:tc>
          <w:tcPr>
            <w:tcW w:w="2050" w:type="dxa"/>
            <w:tcMar>
              <w:top w:w="0" w:type="dxa"/>
              <w:bottom w:w="0" w:type="dxa"/>
            </w:tcMar>
            <w:vAlign w:val="center"/>
          </w:tcPr>
          <w:p w14:paraId="4661205A"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24</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24</w:t>
            </w:r>
            <w:r w:rsidRPr="00DA3766">
              <w:rPr>
                <w:rFonts w:ascii="Times New Roman" w:hAnsi="Times New Roman" w:cs="Times New Roman"/>
                <w:color w:val="000000"/>
                <w:sz w:val="21"/>
                <w:szCs w:val="21"/>
              </w:rPr>
              <w:t>日</w:t>
            </w:r>
          </w:p>
        </w:tc>
      </w:tr>
      <w:tr w:rsidR="007921C1" w:rsidRPr="00DA3766" w14:paraId="4B292934" w14:textId="77777777" w:rsidTr="00DA3766">
        <w:trPr>
          <w:trHeight w:val="397"/>
          <w:jc w:val="center"/>
        </w:trPr>
        <w:tc>
          <w:tcPr>
            <w:tcW w:w="1535" w:type="dxa"/>
            <w:tcMar>
              <w:top w:w="0" w:type="dxa"/>
              <w:bottom w:w="0" w:type="dxa"/>
            </w:tcMar>
            <w:vAlign w:val="center"/>
          </w:tcPr>
          <w:p w14:paraId="32D19D85" w14:textId="7E902ADD" w:rsidR="007921C1" w:rsidRPr="00DA3766" w:rsidRDefault="00335249"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G</w:t>
            </w:r>
          </w:p>
        </w:tc>
        <w:tc>
          <w:tcPr>
            <w:tcW w:w="4961" w:type="dxa"/>
            <w:tcMar>
              <w:top w:w="0" w:type="dxa"/>
              <w:bottom w:w="0" w:type="dxa"/>
            </w:tcMar>
            <w:vAlign w:val="center"/>
          </w:tcPr>
          <w:p w14:paraId="2E94D295"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乙方通过其自有渠道或合作渠道为甲方产品提供信息展示等推广服务，引导用户主动点击甲方产品的推广信息，甲方按本协议约定向乙方支付推广服务费。</w:t>
            </w:r>
          </w:p>
        </w:tc>
        <w:tc>
          <w:tcPr>
            <w:tcW w:w="2050" w:type="dxa"/>
            <w:tcMar>
              <w:top w:w="0" w:type="dxa"/>
              <w:bottom w:w="0" w:type="dxa"/>
            </w:tcMar>
            <w:vAlign w:val="center"/>
          </w:tcPr>
          <w:p w14:paraId="1E5F5AC0"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日</w:t>
            </w:r>
          </w:p>
        </w:tc>
      </w:tr>
      <w:tr w:rsidR="007921C1" w:rsidRPr="00DA3766" w14:paraId="4E9E3829" w14:textId="77777777" w:rsidTr="00DA3766">
        <w:trPr>
          <w:trHeight w:val="397"/>
          <w:jc w:val="center"/>
        </w:trPr>
        <w:tc>
          <w:tcPr>
            <w:tcW w:w="1535" w:type="dxa"/>
            <w:tcMar>
              <w:top w:w="0" w:type="dxa"/>
              <w:bottom w:w="0" w:type="dxa"/>
            </w:tcMar>
            <w:vAlign w:val="center"/>
          </w:tcPr>
          <w:p w14:paraId="051E853D" w14:textId="78D7BDF3" w:rsidR="007921C1" w:rsidRPr="00DA3766" w:rsidRDefault="0033524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H</w:t>
            </w:r>
          </w:p>
        </w:tc>
        <w:tc>
          <w:tcPr>
            <w:tcW w:w="4961" w:type="dxa"/>
            <w:tcMar>
              <w:top w:w="0" w:type="dxa"/>
              <w:bottom w:w="0" w:type="dxa"/>
            </w:tcMar>
            <w:vAlign w:val="center"/>
          </w:tcPr>
          <w:p w14:paraId="7EEA245D" w14:textId="2EDC53B3"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甲方将自有产品</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如有</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与乙方数字商品组合为微信连续包月产品</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以下称</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甲方产品</w:t>
            </w:r>
            <w:r w:rsidRPr="00DA3766">
              <w:rPr>
                <w:rFonts w:ascii="Times New Roman" w:hAnsi="Times New Roman" w:cs="Times New Roman"/>
                <w:color w:val="000000"/>
                <w:sz w:val="21"/>
                <w:szCs w:val="21"/>
              </w:rPr>
              <w:t>"</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，并委托乙方为甲方产品提供推广服务，以提升甲方产品销售量，甲</w:t>
            </w:r>
            <w:r w:rsidRPr="00DA3766">
              <w:rPr>
                <w:rFonts w:ascii="Times New Roman" w:hAnsi="Times New Roman" w:cs="Times New Roman"/>
                <w:color w:val="000000"/>
                <w:sz w:val="21"/>
                <w:szCs w:val="21"/>
              </w:rPr>
              <w:lastRenderedPageBreak/>
              <w:t>方按照本协议约定向乙方支付推广服务费用。</w:t>
            </w:r>
          </w:p>
        </w:tc>
        <w:tc>
          <w:tcPr>
            <w:tcW w:w="2050" w:type="dxa"/>
            <w:tcMar>
              <w:top w:w="0" w:type="dxa"/>
              <w:bottom w:w="0" w:type="dxa"/>
            </w:tcMar>
            <w:vAlign w:val="center"/>
          </w:tcPr>
          <w:p w14:paraId="7781EE41"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r>
    </w:tbl>
    <w:p w14:paraId="001DFFFA" w14:textId="739AD5BD" w:rsidR="0056662C" w:rsidRPr="00DA3766" w:rsidRDefault="0056662C" w:rsidP="0056662C">
      <w:pPr>
        <w:pStyle w:val="005"/>
        <w:spacing w:before="120" w:after="120"/>
        <w:ind w:firstLine="480"/>
      </w:pPr>
      <w:r w:rsidRPr="00DA3766">
        <w:t>报告期各期，标的公司数字增值服务业务收入分别为</w:t>
      </w:r>
      <w:r w:rsidRPr="00DA3766">
        <w:t>5,821.77</w:t>
      </w:r>
      <w:r w:rsidRPr="00DA3766">
        <w:t>万元、</w:t>
      </w:r>
      <w:r w:rsidRPr="00DA3766">
        <w:t>8,479.53</w:t>
      </w:r>
      <w:r w:rsidRPr="00DA3766">
        <w:t>万元和</w:t>
      </w:r>
      <w:r w:rsidRPr="00DA3766">
        <w:t>4,361.28</w:t>
      </w:r>
      <w:r w:rsidRPr="00DA3766">
        <w:t>万元，</w:t>
      </w:r>
      <w:r w:rsidRPr="00DA3766">
        <w:t>2024</w:t>
      </w:r>
      <w:r w:rsidRPr="00DA3766">
        <w:t>年业务收入较</w:t>
      </w:r>
      <w:r w:rsidRPr="00DA3766">
        <w:t>2023</w:t>
      </w:r>
      <w:r w:rsidRPr="00DA3766">
        <w:t>年增长</w:t>
      </w:r>
      <w:r w:rsidRPr="00DA3766">
        <w:t>45.65%</w:t>
      </w:r>
      <w:r w:rsidRPr="00DA3766">
        <w:t>，主要系新引入的支付宝</w:t>
      </w:r>
      <w:r w:rsidR="00A77411" w:rsidRPr="00DA3766">
        <w:t>推广</w:t>
      </w:r>
      <w:r w:rsidRPr="00DA3766">
        <w:t>业务实现收入</w:t>
      </w:r>
      <w:r w:rsidRPr="00DA3766">
        <w:t>2,253.27</w:t>
      </w:r>
      <w:r w:rsidRPr="00DA3766">
        <w:t>万元。报告期内，标的公司数字增值服务业务主要包括支付宝</w:t>
      </w:r>
      <w:r w:rsidR="00A77411" w:rsidRPr="00DA3766">
        <w:t>推广</w:t>
      </w:r>
      <w:r w:rsidRPr="00DA3766">
        <w:t>、电信运营商积分等细分业务，其中支付宝</w:t>
      </w:r>
      <w:r w:rsidR="00A77411" w:rsidRPr="00DA3766">
        <w:t>推广</w:t>
      </w:r>
      <w:r w:rsidRPr="00DA3766">
        <w:t>业务以提供支付宝支付红包方式引导消费者在消费支付环节选择支付宝付款并据此获得支付宝佣金，对应服务成本较小。</w:t>
      </w:r>
    </w:p>
    <w:p w14:paraId="19F1C941" w14:textId="1606B00B" w:rsidR="0056662C" w:rsidRPr="00DA3766" w:rsidRDefault="0056662C" w:rsidP="0056662C">
      <w:pPr>
        <w:pStyle w:val="005"/>
        <w:spacing w:before="120" w:after="120"/>
        <w:ind w:firstLine="480"/>
      </w:pPr>
      <w:r w:rsidRPr="00DA3766">
        <w:t>报告期各期，数字增值服务业务毛利率分别为</w:t>
      </w:r>
      <w:r w:rsidRPr="00DA3766">
        <w:t>43.24%</w:t>
      </w:r>
      <w:r w:rsidRPr="00DA3766">
        <w:t>、</w:t>
      </w:r>
      <w:r w:rsidRPr="00DA3766">
        <w:t>60.25%</w:t>
      </w:r>
      <w:r w:rsidRPr="00DA3766">
        <w:t>和</w:t>
      </w:r>
      <w:r w:rsidRPr="00DA3766">
        <w:t>60.14%</w:t>
      </w:r>
      <w:r w:rsidRPr="00DA3766">
        <w:t>，</w:t>
      </w:r>
      <w:r w:rsidRPr="00DA3766">
        <w:t>2024</w:t>
      </w:r>
      <w:r w:rsidRPr="00DA3766">
        <w:t>年业务毛利率较</w:t>
      </w:r>
      <w:r w:rsidRPr="00DA3766">
        <w:t>2023</w:t>
      </w:r>
      <w:r w:rsidRPr="00DA3766">
        <w:t>年明显上升，</w:t>
      </w:r>
      <w:r w:rsidRPr="00DA3766">
        <w:t>2025</w:t>
      </w:r>
      <w:r w:rsidRPr="00DA3766">
        <w:t>年业务毛利率与</w:t>
      </w:r>
      <w:r w:rsidRPr="00DA3766">
        <w:t>2024</w:t>
      </w:r>
      <w:r w:rsidRPr="00DA3766">
        <w:t>年基本持平。</w:t>
      </w:r>
      <w:r w:rsidRPr="00DA3766">
        <w:t>2024</w:t>
      </w:r>
      <w:r w:rsidRPr="00DA3766">
        <w:t>年度，标的公司数字增值服务业务整体毛利率明显上升主要系新引入的支付宝</w:t>
      </w:r>
      <w:r w:rsidR="00A77411" w:rsidRPr="00DA3766">
        <w:t>推广</w:t>
      </w:r>
      <w:r w:rsidRPr="00DA3766">
        <w:t>业务毛利率较高且收入占比在当年即达到较高比例所致。</w:t>
      </w:r>
    </w:p>
    <w:p w14:paraId="6BC27544" w14:textId="77777777" w:rsidR="0056662C" w:rsidRPr="00DA3766" w:rsidRDefault="0056662C" w:rsidP="0056662C">
      <w:pPr>
        <w:pStyle w:val="005"/>
        <w:spacing w:before="120" w:after="120"/>
        <w:ind w:firstLine="480"/>
      </w:pPr>
      <w:r w:rsidRPr="00DA3766">
        <w:t>综上，报告期内标的公司数字增值服务业务收入和毛利率的变动具备合理性。</w:t>
      </w:r>
    </w:p>
    <w:p w14:paraId="56EE1FE4" w14:textId="1E1991D2" w:rsidR="004337CB" w:rsidRPr="00DA3766" w:rsidRDefault="0056662C" w:rsidP="0056662C">
      <w:pPr>
        <w:pStyle w:val="005"/>
        <w:spacing w:before="120" w:after="120"/>
        <w:ind w:firstLine="480"/>
      </w:pPr>
      <w:r w:rsidRPr="00DA3766">
        <w:rPr>
          <w:lang w:bidi="ar"/>
        </w:rPr>
        <w:t>报告期内，标的公司同行业可比上市公司映翰通、汉朔科技、广联达、云里物里、美登科技、石基信息均尚无与标的公司</w:t>
      </w:r>
      <w:r w:rsidRPr="00DA3766">
        <w:t>数字增值服务业务</w:t>
      </w:r>
      <w:r w:rsidRPr="00DA3766">
        <w:rPr>
          <w:lang w:bidi="ar"/>
        </w:rPr>
        <w:t>直接可比的业务类型。</w:t>
      </w:r>
    </w:p>
    <w:p w14:paraId="4D79B33A" w14:textId="2F148ED0" w:rsidR="00AB3394" w:rsidRPr="00DA3766" w:rsidRDefault="00AB3394" w:rsidP="00AB3394">
      <w:pPr>
        <w:pStyle w:val="002"/>
        <w:spacing w:before="120" w:after="120"/>
        <w:ind w:firstLine="482"/>
      </w:pPr>
      <w:r w:rsidRPr="00DA3766">
        <w:t>九、结合业务类别、收入结构、同类业务毛利率等方面与同行业可比公司的对比情况及差异原因，毛利率偏离综合毛利率较多的主要客户情况及合理性等，补充说明报告期内标的资产</w:t>
      </w:r>
      <w:bookmarkStart w:id="68" w:name="_Hlk218459334"/>
      <w:r w:rsidRPr="00DA3766">
        <w:t>综合毛利率高于同行业可比公司平均值</w:t>
      </w:r>
      <w:bookmarkEnd w:id="68"/>
      <w:r w:rsidRPr="00DA3766">
        <w:t>的原因及合理性</w:t>
      </w:r>
    </w:p>
    <w:p w14:paraId="19C57F68" w14:textId="679EBE98" w:rsidR="0057301E" w:rsidRPr="00DA3766" w:rsidRDefault="0057301E" w:rsidP="00DA3766">
      <w:pPr>
        <w:spacing w:before="120" w:afterLines="0" w:after="120"/>
        <w:ind w:firstLine="480"/>
        <w:jc w:val="both"/>
        <w:rPr>
          <w:rFonts w:ascii="Times New Roman" w:hAnsi="Times New Roman" w:cs="Times New Roman"/>
        </w:rPr>
      </w:pPr>
      <w:r w:rsidRPr="00DA3766">
        <w:rPr>
          <w:rFonts w:ascii="Times New Roman" w:hAnsi="Times New Roman" w:cs="Times New Roman"/>
        </w:rPr>
        <w:t>报告期内，标的公司综合毛利率情况如下：</w:t>
      </w:r>
    </w:p>
    <w:p w14:paraId="48B57972" w14:textId="77777777" w:rsidR="0057301E" w:rsidRPr="00DA3766" w:rsidRDefault="0057301E" w:rsidP="0057301E">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57301E" w:rsidRPr="00DA3766" w14:paraId="74420F87" w14:textId="77777777" w:rsidTr="00DA3766">
        <w:trPr>
          <w:trHeight w:val="397"/>
          <w:jc w:val="center"/>
        </w:trPr>
        <w:tc>
          <w:tcPr>
            <w:tcW w:w="2043" w:type="dxa"/>
            <w:tcMar>
              <w:top w:w="0" w:type="dxa"/>
              <w:left w:w="108" w:type="dxa"/>
              <w:bottom w:w="0" w:type="dxa"/>
              <w:right w:w="108" w:type="dxa"/>
            </w:tcMar>
            <w:vAlign w:val="center"/>
          </w:tcPr>
          <w:p w14:paraId="7500DAE2"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3CDA1374"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2134" w:type="dxa"/>
            <w:tcMar>
              <w:top w:w="0" w:type="dxa"/>
              <w:left w:w="108" w:type="dxa"/>
              <w:bottom w:w="0" w:type="dxa"/>
              <w:right w:w="108" w:type="dxa"/>
            </w:tcMar>
            <w:vAlign w:val="center"/>
          </w:tcPr>
          <w:p w14:paraId="15290CA7"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2134" w:type="dxa"/>
            <w:tcMar>
              <w:top w:w="0" w:type="dxa"/>
              <w:left w:w="108" w:type="dxa"/>
              <w:bottom w:w="0" w:type="dxa"/>
              <w:right w:w="108" w:type="dxa"/>
            </w:tcMar>
            <w:vAlign w:val="center"/>
          </w:tcPr>
          <w:p w14:paraId="62D72F65"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57301E" w:rsidRPr="00DA3766" w14:paraId="1EF4D652" w14:textId="77777777" w:rsidTr="00DA3766">
        <w:trPr>
          <w:trHeight w:val="397"/>
          <w:jc w:val="center"/>
        </w:trPr>
        <w:tc>
          <w:tcPr>
            <w:tcW w:w="2043" w:type="dxa"/>
            <w:tcMar>
              <w:top w:w="0" w:type="dxa"/>
              <w:left w:w="108" w:type="dxa"/>
              <w:bottom w:w="0" w:type="dxa"/>
              <w:right w:w="108" w:type="dxa"/>
            </w:tcMar>
            <w:vAlign w:val="center"/>
          </w:tcPr>
          <w:p w14:paraId="255AA614"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营业收入</w:t>
            </w:r>
          </w:p>
        </w:tc>
        <w:tc>
          <w:tcPr>
            <w:tcW w:w="2217" w:type="dxa"/>
            <w:tcMar>
              <w:top w:w="0" w:type="dxa"/>
              <w:left w:w="108" w:type="dxa"/>
              <w:bottom w:w="0" w:type="dxa"/>
              <w:right w:w="108" w:type="dxa"/>
            </w:tcMar>
            <w:vAlign w:val="center"/>
          </w:tcPr>
          <w:p w14:paraId="21A226CF"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24,799.86</w:t>
            </w:r>
          </w:p>
        </w:tc>
        <w:tc>
          <w:tcPr>
            <w:tcW w:w="2134" w:type="dxa"/>
            <w:tcMar>
              <w:top w:w="0" w:type="dxa"/>
              <w:left w:w="108" w:type="dxa"/>
              <w:bottom w:w="0" w:type="dxa"/>
              <w:right w:w="108" w:type="dxa"/>
            </w:tcMar>
            <w:vAlign w:val="center"/>
          </w:tcPr>
          <w:p w14:paraId="64B788FF"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44,716.44</w:t>
            </w:r>
          </w:p>
        </w:tc>
        <w:tc>
          <w:tcPr>
            <w:tcW w:w="2134" w:type="dxa"/>
            <w:tcMar>
              <w:top w:w="0" w:type="dxa"/>
              <w:left w:w="108" w:type="dxa"/>
              <w:bottom w:w="0" w:type="dxa"/>
              <w:right w:w="108" w:type="dxa"/>
            </w:tcMar>
            <w:vAlign w:val="center"/>
          </w:tcPr>
          <w:p w14:paraId="700F888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38,501.66</w:t>
            </w:r>
          </w:p>
        </w:tc>
      </w:tr>
      <w:tr w:rsidR="0057301E" w:rsidRPr="00DA3766" w14:paraId="61F38D36" w14:textId="77777777" w:rsidTr="00DA3766">
        <w:trPr>
          <w:trHeight w:val="397"/>
          <w:jc w:val="center"/>
        </w:trPr>
        <w:tc>
          <w:tcPr>
            <w:tcW w:w="2043" w:type="dxa"/>
            <w:tcMar>
              <w:top w:w="0" w:type="dxa"/>
              <w:left w:w="108" w:type="dxa"/>
              <w:bottom w:w="0" w:type="dxa"/>
              <w:right w:w="108" w:type="dxa"/>
            </w:tcMar>
            <w:vAlign w:val="center"/>
          </w:tcPr>
          <w:p w14:paraId="31CEBB44"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营业成本</w:t>
            </w:r>
          </w:p>
        </w:tc>
        <w:tc>
          <w:tcPr>
            <w:tcW w:w="2217" w:type="dxa"/>
            <w:tcMar>
              <w:top w:w="0" w:type="dxa"/>
              <w:left w:w="108" w:type="dxa"/>
              <w:bottom w:w="0" w:type="dxa"/>
              <w:right w:w="108" w:type="dxa"/>
            </w:tcMar>
            <w:vAlign w:val="center"/>
          </w:tcPr>
          <w:p w14:paraId="62F2F160"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9,412.56</w:t>
            </w:r>
          </w:p>
        </w:tc>
        <w:tc>
          <w:tcPr>
            <w:tcW w:w="2134" w:type="dxa"/>
            <w:tcMar>
              <w:top w:w="0" w:type="dxa"/>
              <w:left w:w="108" w:type="dxa"/>
              <w:bottom w:w="0" w:type="dxa"/>
              <w:right w:w="108" w:type="dxa"/>
            </w:tcMar>
            <w:vAlign w:val="center"/>
          </w:tcPr>
          <w:p w14:paraId="1D22C944"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16,589.26</w:t>
            </w:r>
          </w:p>
        </w:tc>
        <w:tc>
          <w:tcPr>
            <w:tcW w:w="2134" w:type="dxa"/>
            <w:tcMar>
              <w:top w:w="0" w:type="dxa"/>
              <w:left w:w="108" w:type="dxa"/>
              <w:bottom w:w="0" w:type="dxa"/>
              <w:right w:w="108" w:type="dxa"/>
            </w:tcMar>
            <w:vAlign w:val="center"/>
          </w:tcPr>
          <w:p w14:paraId="5A9003ED"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15,330.66</w:t>
            </w:r>
          </w:p>
        </w:tc>
      </w:tr>
      <w:tr w:rsidR="0057301E" w:rsidRPr="00DA3766" w14:paraId="622C24E1" w14:textId="77777777" w:rsidTr="00DA3766">
        <w:trPr>
          <w:trHeight w:val="397"/>
          <w:jc w:val="center"/>
        </w:trPr>
        <w:tc>
          <w:tcPr>
            <w:tcW w:w="2043" w:type="dxa"/>
            <w:tcMar>
              <w:top w:w="0" w:type="dxa"/>
              <w:left w:w="108" w:type="dxa"/>
              <w:bottom w:w="0" w:type="dxa"/>
              <w:right w:w="108" w:type="dxa"/>
            </w:tcMar>
            <w:vAlign w:val="center"/>
          </w:tcPr>
          <w:p w14:paraId="577D42F5"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综合毛利率</w:t>
            </w:r>
          </w:p>
        </w:tc>
        <w:tc>
          <w:tcPr>
            <w:tcW w:w="2217" w:type="dxa"/>
            <w:tcMar>
              <w:top w:w="0" w:type="dxa"/>
              <w:left w:w="108" w:type="dxa"/>
              <w:bottom w:w="0" w:type="dxa"/>
              <w:right w:w="108" w:type="dxa"/>
            </w:tcMar>
            <w:vAlign w:val="center"/>
          </w:tcPr>
          <w:p w14:paraId="7B7E91E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62.05%</w:t>
            </w:r>
          </w:p>
        </w:tc>
        <w:tc>
          <w:tcPr>
            <w:tcW w:w="2134" w:type="dxa"/>
            <w:tcMar>
              <w:top w:w="0" w:type="dxa"/>
              <w:left w:w="108" w:type="dxa"/>
              <w:bottom w:w="0" w:type="dxa"/>
              <w:right w:w="108" w:type="dxa"/>
            </w:tcMar>
            <w:vAlign w:val="center"/>
          </w:tcPr>
          <w:p w14:paraId="41AF85FC"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62.90%</w:t>
            </w:r>
          </w:p>
        </w:tc>
        <w:tc>
          <w:tcPr>
            <w:tcW w:w="2134" w:type="dxa"/>
            <w:tcMar>
              <w:top w:w="0" w:type="dxa"/>
              <w:left w:w="108" w:type="dxa"/>
              <w:bottom w:w="0" w:type="dxa"/>
              <w:right w:w="108" w:type="dxa"/>
            </w:tcMar>
            <w:vAlign w:val="center"/>
          </w:tcPr>
          <w:p w14:paraId="05B3EA3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60.18%</w:t>
            </w:r>
          </w:p>
        </w:tc>
      </w:tr>
    </w:tbl>
    <w:p w14:paraId="4BC657EB" w14:textId="528FA5BA" w:rsidR="0057301E" w:rsidRPr="00DA3766" w:rsidRDefault="0057301E" w:rsidP="00AB3394">
      <w:pPr>
        <w:pStyle w:val="005"/>
        <w:spacing w:before="120" w:after="120"/>
        <w:ind w:firstLine="480"/>
      </w:pPr>
      <w:r w:rsidRPr="00DA3766">
        <w:t>报告期各期，标的公司综合毛利率分别为</w:t>
      </w:r>
      <w:r w:rsidRPr="00DA3766">
        <w:t>60.18%</w:t>
      </w:r>
      <w:r w:rsidRPr="00DA3766">
        <w:t>、</w:t>
      </w:r>
      <w:r w:rsidRPr="00DA3766">
        <w:t>62.90%</w:t>
      </w:r>
      <w:r w:rsidRPr="00DA3766">
        <w:t>和</w:t>
      </w:r>
      <w:r w:rsidRPr="00DA3766">
        <w:t>62.05%</w:t>
      </w:r>
      <w:r w:rsidRPr="00DA3766">
        <w:t>，综合毛利率相对稳定。</w:t>
      </w:r>
    </w:p>
    <w:p w14:paraId="0ADD2A78" w14:textId="77777777" w:rsidR="0034010F" w:rsidRPr="00DA3766" w:rsidRDefault="0034010F" w:rsidP="0034010F">
      <w:pPr>
        <w:spacing w:before="120" w:afterLines="0" w:after="120"/>
        <w:ind w:firstLine="480"/>
        <w:jc w:val="both"/>
        <w:rPr>
          <w:rFonts w:ascii="Times New Roman" w:hAnsi="Times New Roman" w:cs="Times New Roman"/>
          <w:szCs w:val="22"/>
          <w:lang w:bidi="ar"/>
        </w:rPr>
      </w:pPr>
      <w:r w:rsidRPr="00DA3766">
        <w:rPr>
          <w:rFonts w:ascii="Times New Roman" w:hAnsi="Times New Roman" w:cs="Times New Roman"/>
          <w:szCs w:val="22"/>
          <w:lang w:bidi="ar"/>
        </w:rPr>
        <w:lastRenderedPageBreak/>
        <w:t>报告期内，标的公司与同行业可比上市公司的综合毛利率对比如下：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1699"/>
        <w:gridCol w:w="1699"/>
        <w:gridCol w:w="1699"/>
        <w:gridCol w:w="1699"/>
      </w:tblGrid>
      <w:tr w:rsidR="0034010F" w:rsidRPr="00DA3766" w14:paraId="6BC4B824" w14:textId="77777777" w:rsidTr="00DA3766">
        <w:trPr>
          <w:trHeight w:val="397"/>
          <w:tblHeader/>
          <w:jc w:val="center"/>
        </w:trPr>
        <w:tc>
          <w:tcPr>
            <w:tcW w:w="1732" w:type="dxa"/>
            <w:tcMar>
              <w:top w:w="0" w:type="dxa"/>
              <w:left w:w="108" w:type="dxa"/>
              <w:bottom w:w="0" w:type="dxa"/>
              <w:right w:w="108" w:type="dxa"/>
            </w:tcMar>
            <w:vAlign w:val="center"/>
          </w:tcPr>
          <w:p w14:paraId="61B2E647"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699" w:type="dxa"/>
            <w:tcMar>
              <w:top w:w="0" w:type="dxa"/>
              <w:left w:w="108" w:type="dxa"/>
              <w:bottom w:w="0" w:type="dxa"/>
              <w:right w:w="108" w:type="dxa"/>
            </w:tcMar>
            <w:vAlign w:val="center"/>
          </w:tcPr>
          <w:p w14:paraId="273923D6"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699" w:type="dxa"/>
            <w:tcMar>
              <w:top w:w="0" w:type="dxa"/>
              <w:left w:w="108" w:type="dxa"/>
              <w:bottom w:w="0" w:type="dxa"/>
              <w:right w:w="108" w:type="dxa"/>
            </w:tcMar>
            <w:vAlign w:val="center"/>
          </w:tcPr>
          <w:p w14:paraId="56208DC0"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699" w:type="dxa"/>
            <w:tcMar>
              <w:top w:w="0" w:type="dxa"/>
              <w:left w:w="108" w:type="dxa"/>
              <w:bottom w:w="0" w:type="dxa"/>
              <w:right w:w="108" w:type="dxa"/>
            </w:tcMar>
            <w:vAlign w:val="center"/>
          </w:tcPr>
          <w:p w14:paraId="39EAE3C1"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699" w:type="dxa"/>
            <w:tcMar>
              <w:top w:w="0" w:type="dxa"/>
              <w:left w:w="108" w:type="dxa"/>
              <w:bottom w:w="0" w:type="dxa"/>
              <w:right w:w="108" w:type="dxa"/>
            </w:tcMar>
            <w:vAlign w:val="center"/>
          </w:tcPr>
          <w:p w14:paraId="03303743"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34010F" w:rsidRPr="00DA3766" w14:paraId="3B3BB9C0" w14:textId="77777777" w:rsidTr="00DA3766">
        <w:trPr>
          <w:trHeight w:val="397"/>
          <w:jc w:val="center"/>
        </w:trPr>
        <w:tc>
          <w:tcPr>
            <w:tcW w:w="1732" w:type="dxa"/>
            <w:vMerge w:val="restart"/>
            <w:tcMar>
              <w:top w:w="0" w:type="dxa"/>
              <w:left w:w="108" w:type="dxa"/>
              <w:bottom w:w="0" w:type="dxa"/>
              <w:right w:w="108" w:type="dxa"/>
            </w:tcMar>
            <w:vAlign w:val="center"/>
          </w:tcPr>
          <w:p w14:paraId="74D91CC3"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综合毛利率</w:t>
            </w:r>
          </w:p>
        </w:tc>
        <w:tc>
          <w:tcPr>
            <w:tcW w:w="1699" w:type="dxa"/>
            <w:tcMar>
              <w:top w:w="0" w:type="dxa"/>
              <w:left w:w="108" w:type="dxa"/>
              <w:bottom w:w="0" w:type="dxa"/>
              <w:right w:w="108" w:type="dxa"/>
            </w:tcMar>
            <w:vAlign w:val="center"/>
          </w:tcPr>
          <w:p w14:paraId="483153F5"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映翰通</w:t>
            </w:r>
          </w:p>
        </w:tc>
        <w:tc>
          <w:tcPr>
            <w:tcW w:w="1699" w:type="dxa"/>
            <w:tcMar>
              <w:top w:w="0" w:type="dxa"/>
              <w:left w:w="108" w:type="dxa"/>
              <w:bottom w:w="0" w:type="dxa"/>
              <w:right w:w="108" w:type="dxa"/>
            </w:tcMar>
            <w:vAlign w:val="center"/>
          </w:tcPr>
          <w:p w14:paraId="276EC63B"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48.83%</w:t>
            </w:r>
          </w:p>
        </w:tc>
        <w:tc>
          <w:tcPr>
            <w:tcW w:w="1699" w:type="dxa"/>
            <w:tcMar>
              <w:top w:w="0" w:type="dxa"/>
              <w:left w:w="108" w:type="dxa"/>
              <w:bottom w:w="0" w:type="dxa"/>
              <w:right w:w="108" w:type="dxa"/>
            </w:tcMar>
            <w:vAlign w:val="center"/>
          </w:tcPr>
          <w:p w14:paraId="5FB7924F"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52.48%</w:t>
            </w:r>
          </w:p>
        </w:tc>
        <w:tc>
          <w:tcPr>
            <w:tcW w:w="1699" w:type="dxa"/>
            <w:tcMar>
              <w:top w:w="0" w:type="dxa"/>
              <w:left w:w="108" w:type="dxa"/>
              <w:bottom w:w="0" w:type="dxa"/>
              <w:right w:w="108" w:type="dxa"/>
            </w:tcMar>
            <w:vAlign w:val="center"/>
          </w:tcPr>
          <w:p w14:paraId="2074C87A"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51.47%</w:t>
            </w:r>
          </w:p>
        </w:tc>
      </w:tr>
      <w:tr w:rsidR="0034010F" w:rsidRPr="00DA3766" w14:paraId="78161491" w14:textId="77777777" w:rsidTr="00DA3766">
        <w:trPr>
          <w:trHeight w:val="397"/>
          <w:jc w:val="center"/>
        </w:trPr>
        <w:tc>
          <w:tcPr>
            <w:tcW w:w="1732" w:type="dxa"/>
            <w:vMerge/>
            <w:tcMar>
              <w:top w:w="0" w:type="dxa"/>
              <w:left w:w="108" w:type="dxa"/>
              <w:bottom w:w="0" w:type="dxa"/>
              <w:right w:w="108" w:type="dxa"/>
            </w:tcMar>
            <w:vAlign w:val="center"/>
          </w:tcPr>
          <w:p w14:paraId="7D51D4E3"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4760F603"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699" w:type="dxa"/>
            <w:tcMar>
              <w:top w:w="0" w:type="dxa"/>
              <w:left w:w="108" w:type="dxa"/>
              <w:bottom w:w="0" w:type="dxa"/>
              <w:right w:w="108" w:type="dxa"/>
            </w:tcMar>
            <w:vAlign w:val="center"/>
          </w:tcPr>
          <w:p w14:paraId="6DCA9A24"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31.59%</w:t>
            </w:r>
          </w:p>
        </w:tc>
        <w:tc>
          <w:tcPr>
            <w:tcW w:w="1699" w:type="dxa"/>
            <w:tcMar>
              <w:top w:w="0" w:type="dxa"/>
              <w:left w:w="108" w:type="dxa"/>
              <w:bottom w:w="0" w:type="dxa"/>
              <w:right w:w="108" w:type="dxa"/>
            </w:tcMar>
            <w:vAlign w:val="center"/>
          </w:tcPr>
          <w:p w14:paraId="10885B1B"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34.80%</w:t>
            </w:r>
          </w:p>
        </w:tc>
        <w:tc>
          <w:tcPr>
            <w:tcW w:w="1699" w:type="dxa"/>
            <w:tcMar>
              <w:top w:w="0" w:type="dxa"/>
              <w:left w:w="108" w:type="dxa"/>
              <w:bottom w:w="0" w:type="dxa"/>
              <w:right w:w="108" w:type="dxa"/>
            </w:tcMar>
            <w:vAlign w:val="center"/>
          </w:tcPr>
          <w:p w14:paraId="5A1BD06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32.59%</w:t>
            </w:r>
          </w:p>
        </w:tc>
      </w:tr>
      <w:tr w:rsidR="0034010F" w:rsidRPr="00DA3766" w14:paraId="23295E0C" w14:textId="77777777" w:rsidTr="00DA3766">
        <w:trPr>
          <w:trHeight w:val="397"/>
          <w:jc w:val="center"/>
        </w:trPr>
        <w:tc>
          <w:tcPr>
            <w:tcW w:w="1732" w:type="dxa"/>
            <w:vMerge/>
            <w:tcMar>
              <w:top w:w="0" w:type="dxa"/>
              <w:left w:w="108" w:type="dxa"/>
              <w:bottom w:w="0" w:type="dxa"/>
              <w:right w:w="108" w:type="dxa"/>
            </w:tcMar>
            <w:vAlign w:val="center"/>
          </w:tcPr>
          <w:p w14:paraId="021FFE22"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206510C8"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699" w:type="dxa"/>
            <w:tcMar>
              <w:top w:w="0" w:type="dxa"/>
              <w:left w:w="108" w:type="dxa"/>
              <w:bottom w:w="0" w:type="dxa"/>
              <w:right w:w="108" w:type="dxa"/>
            </w:tcMar>
            <w:vAlign w:val="center"/>
          </w:tcPr>
          <w:p w14:paraId="6041858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87.79%</w:t>
            </w:r>
          </w:p>
        </w:tc>
        <w:tc>
          <w:tcPr>
            <w:tcW w:w="1699" w:type="dxa"/>
            <w:tcMar>
              <w:top w:w="0" w:type="dxa"/>
              <w:left w:w="108" w:type="dxa"/>
              <w:bottom w:w="0" w:type="dxa"/>
              <w:right w:w="108" w:type="dxa"/>
            </w:tcMar>
            <w:vAlign w:val="center"/>
          </w:tcPr>
          <w:p w14:paraId="4CAB5CD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699" w:type="dxa"/>
            <w:tcMar>
              <w:top w:w="0" w:type="dxa"/>
              <w:left w:w="108" w:type="dxa"/>
              <w:bottom w:w="0" w:type="dxa"/>
              <w:right w:w="108" w:type="dxa"/>
            </w:tcMar>
            <w:vAlign w:val="center"/>
          </w:tcPr>
          <w:p w14:paraId="65164A3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tr w:rsidR="0034010F" w:rsidRPr="00DA3766" w14:paraId="4A7C8CA3" w14:textId="77777777" w:rsidTr="00DA3766">
        <w:trPr>
          <w:trHeight w:val="397"/>
          <w:jc w:val="center"/>
        </w:trPr>
        <w:tc>
          <w:tcPr>
            <w:tcW w:w="1732" w:type="dxa"/>
            <w:vMerge/>
            <w:tcMar>
              <w:top w:w="0" w:type="dxa"/>
              <w:left w:w="108" w:type="dxa"/>
              <w:bottom w:w="0" w:type="dxa"/>
              <w:right w:w="108" w:type="dxa"/>
            </w:tcMar>
            <w:vAlign w:val="center"/>
          </w:tcPr>
          <w:p w14:paraId="0509ABD5"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5F11CA11"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699" w:type="dxa"/>
            <w:tcMar>
              <w:top w:w="0" w:type="dxa"/>
              <w:left w:w="108" w:type="dxa"/>
              <w:bottom w:w="0" w:type="dxa"/>
              <w:right w:w="108" w:type="dxa"/>
            </w:tcMar>
            <w:vAlign w:val="center"/>
          </w:tcPr>
          <w:p w14:paraId="4881D726"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41.40%</w:t>
            </w:r>
          </w:p>
        </w:tc>
        <w:tc>
          <w:tcPr>
            <w:tcW w:w="1699" w:type="dxa"/>
            <w:tcMar>
              <w:top w:w="0" w:type="dxa"/>
              <w:left w:w="108" w:type="dxa"/>
              <w:bottom w:w="0" w:type="dxa"/>
              <w:right w:w="108" w:type="dxa"/>
            </w:tcMar>
            <w:vAlign w:val="center"/>
          </w:tcPr>
          <w:p w14:paraId="3827B90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44.59%</w:t>
            </w:r>
          </w:p>
        </w:tc>
        <w:tc>
          <w:tcPr>
            <w:tcW w:w="1699" w:type="dxa"/>
            <w:tcMar>
              <w:top w:w="0" w:type="dxa"/>
              <w:left w:w="108" w:type="dxa"/>
              <w:bottom w:w="0" w:type="dxa"/>
              <w:right w:w="108" w:type="dxa"/>
            </w:tcMar>
            <w:vAlign w:val="center"/>
          </w:tcPr>
          <w:p w14:paraId="66F119ED"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43.91%</w:t>
            </w:r>
          </w:p>
        </w:tc>
      </w:tr>
      <w:tr w:rsidR="0034010F" w:rsidRPr="00DA3766" w14:paraId="6EE07667" w14:textId="77777777" w:rsidTr="00DA3766">
        <w:trPr>
          <w:trHeight w:val="397"/>
          <w:jc w:val="center"/>
        </w:trPr>
        <w:tc>
          <w:tcPr>
            <w:tcW w:w="1732" w:type="dxa"/>
            <w:vMerge/>
            <w:tcMar>
              <w:top w:w="0" w:type="dxa"/>
              <w:left w:w="108" w:type="dxa"/>
              <w:bottom w:w="0" w:type="dxa"/>
              <w:right w:w="108" w:type="dxa"/>
            </w:tcMar>
            <w:vAlign w:val="center"/>
          </w:tcPr>
          <w:p w14:paraId="272C2681"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63CDDBCF"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699" w:type="dxa"/>
            <w:tcMar>
              <w:top w:w="0" w:type="dxa"/>
              <w:left w:w="108" w:type="dxa"/>
              <w:bottom w:w="0" w:type="dxa"/>
              <w:right w:w="108" w:type="dxa"/>
            </w:tcMar>
            <w:vAlign w:val="center"/>
          </w:tcPr>
          <w:p w14:paraId="6B766FD6"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65.58%</w:t>
            </w:r>
          </w:p>
        </w:tc>
        <w:tc>
          <w:tcPr>
            <w:tcW w:w="1699" w:type="dxa"/>
            <w:tcMar>
              <w:top w:w="0" w:type="dxa"/>
              <w:left w:w="108" w:type="dxa"/>
              <w:bottom w:w="0" w:type="dxa"/>
              <w:right w:w="108" w:type="dxa"/>
            </w:tcMar>
            <w:vAlign w:val="center"/>
          </w:tcPr>
          <w:p w14:paraId="39AD4434"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66.83%</w:t>
            </w:r>
          </w:p>
        </w:tc>
        <w:tc>
          <w:tcPr>
            <w:tcW w:w="1699" w:type="dxa"/>
            <w:tcMar>
              <w:top w:w="0" w:type="dxa"/>
              <w:left w:w="108" w:type="dxa"/>
              <w:bottom w:w="0" w:type="dxa"/>
              <w:right w:w="108" w:type="dxa"/>
            </w:tcMar>
            <w:vAlign w:val="center"/>
          </w:tcPr>
          <w:p w14:paraId="471E424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70.38%</w:t>
            </w:r>
          </w:p>
        </w:tc>
      </w:tr>
      <w:tr w:rsidR="0034010F" w:rsidRPr="00DA3766" w14:paraId="6D915C2E" w14:textId="77777777" w:rsidTr="00DA3766">
        <w:trPr>
          <w:trHeight w:val="397"/>
          <w:jc w:val="center"/>
        </w:trPr>
        <w:tc>
          <w:tcPr>
            <w:tcW w:w="1732" w:type="dxa"/>
            <w:vMerge/>
            <w:tcMar>
              <w:top w:w="0" w:type="dxa"/>
              <w:left w:w="108" w:type="dxa"/>
              <w:bottom w:w="0" w:type="dxa"/>
              <w:right w:w="108" w:type="dxa"/>
            </w:tcMar>
            <w:vAlign w:val="center"/>
          </w:tcPr>
          <w:p w14:paraId="342B2F80"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77CA127F"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1699" w:type="dxa"/>
            <w:tcMar>
              <w:top w:w="0" w:type="dxa"/>
              <w:left w:w="108" w:type="dxa"/>
              <w:bottom w:w="0" w:type="dxa"/>
              <w:right w:w="108" w:type="dxa"/>
            </w:tcMar>
            <w:vAlign w:val="center"/>
          </w:tcPr>
          <w:p w14:paraId="1E34798A"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47.44%</w:t>
            </w:r>
          </w:p>
        </w:tc>
        <w:tc>
          <w:tcPr>
            <w:tcW w:w="1699" w:type="dxa"/>
            <w:tcMar>
              <w:top w:w="0" w:type="dxa"/>
              <w:left w:w="108" w:type="dxa"/>
              <w:bottom w:w="0" w:type="dxa"/>
              <w:right w:w="108" w:type="dxa"/>
            </w:tcMar>
            <w:vAlign w:val="center"/>
          </w:tcPr>
          <w:p w14:paraId="5E277015"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34.87%</w:t>
            </w:r>
          </w:p>
        </w:tc>
        <w:tc>
          <w:tcPr>
            <w:tcW w:w="1699" w:type="dxa"/>
            <w:tcMar>
              <w:top w:w="0" w:type="dxa"/>
              <w:left w:w="108" w:type="dxa"/>
              <w:bottom w:w="0" w:type="dxa"/>
              <w:right w:w="108" w:type="dxa"/>
            </w:tcMar>
            <w:vAlign w:val="center"/>
          </w:tcPr>
          <w:p w14:paraId="2A03C46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37.86%</w:t>
            </w:r>
          </w:p>
        </w:tc>
      </w:tr>
      <w:tr w:rsidR="0034010F" w:rsidRPr="00DA3766" w14:paraId="34C56000" w14:textId="77777777" w:rsidTr="00DA3766">
        <w:trPr>
          <w:trHeight w:val="397"/>
          <w:jc w:val="center"/>
        </w:trPr>
        <w:tc>
          <w:tcPr>
            <w:tcW w:w="1732" w:type="dxa"/>
            <w:vMerge/>
            <w:tcMar>
              <w:top w:w="0" w:type="dxa"/>
              <w:left w:w="108" w:type="dxa"/>
              <w:bottom w:w="0" w:type="dxa"/>
              <w:right w:w="108" w:type="dxa"/>
            </w:tcMar>
            <w:vAlign w:val="center"/>
          </w:tcPr>
          <w:p w14:paraId="7C8A5196"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6168D184"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平均值</w:t>
            </w:r>
          </w:p>
        </w:tc>
        <w:tc>
          <w:tcPr>
            <w:tcW w:w="1699" w:type="dxa"/>
            <w:tcMar>
              <w:top w:w="0" w:type="dxa"/>
              <w:left w:w="108" w:type="dxa"/>
              <w:bottom w:w="0" w:type="dxa"/>
              <w:right w:w="108" w:type="dxa"/>
            </w:tcMar>
            <w:vAlign w:val="center"/>
          </w:tcPr>
          <w:p w14:paraId="0D3A8FB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53.77%</w:t>
            </w:r>
          </w:p>
        </w:tc>
        <w:tc>
          <w:tcPr>
            <w:tcW w:w="1699" w:type="dxa"/>
            <w:tcMar>
              <w:top w:w="0" w:type="dxa"/>
              <w:left w:w="108" w:type="dxa"/>
              <w:bottom w:w="0" w:type="dxa"/>
              <w:right w:w="108" w:type="dxa"/>
            </w:tcMar>
            <w:vAlign w:val="center"/>
          </w:tcPr>
          <w:p w14:paraId="1AA751DE"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52.98%</w:t>
            </w:r>
          </w:p>
        </w:tc>
        <w:tc>
          <w:tcPr>
            <w:tcW w:w="1699" w:type="dxa"/>
            <w:tcMar>
              <w:top w:w="0" w:type="dxa"/>
              <w:left w:w="108" w:type="dxa"/>
              <w:bottom w:w="0" w:type="dxa"/>
              <w:right w:w="108" w:type="dxa"/>
            </w:tcMar>
            <w:vAlign w:val="center"/>
          </w:tcPr>
          <w:p w14:paraId="1FFC7FF3"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53.12%</w:t>
            </w:r>
          </w:p>
        </w:tc>
      </w:tr>
      <w:tr w:rsidR="0034010F" w:rsidRPr="00DA3766" w14:paraId="04C52B95" w14:textId="77777777" w:rsidTr="00DA3766">
        <w:trPr>
          <w:trHeight w:val="397"/>
          <w:jc w:val="center"/>
        </w:trPr>
        <w:tc>
          <w:tcPr>
            <w:tcW w:w="1732" w:type="dxa"/>
            <w:vMerge/>
            <w:tcMar>
              <w:top w:w="0" w:type="dxa"/>
              <w:left w:w="108" w:type="dxa"/>
              <w:bottom w:w="0" w:type="dxa"/>
              <w:right w:w="108" w:type="dxa"/>
            </w:tcMar>
            <w:vAlign w:val="center"/>
          </w:tcPr>
          <w:p w14:paraId="1300A7DC"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1B345DD1"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标的公司</w:t>
            </w:r>
          </w:p>
        </w:tc>
        <w:tc>
          <w:tcPr>
            <w:tcW w:w="1699" w:type="dxa"/>
            <w:tcMar>
              <w:top w:w="0" w:type="dxa"/>
              <w:left w:w="108" w:type="dxa"/>
              <w:bottom w:w="0" w:type="dxa"/>
              <w:right w:w="108" w:type="dxa"/>
            </w:tcMar>
            <w:vAlign w:val="center"/>
          </w:tcPr>
          <w:p w14:paraId="42FFEBE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62.05%</w:t>
            </w:r>
          </w:p>
        </w:tc>
        <w:tc>
          <w:tcPr>
            <w:tcW w:w="1699" w:type="dxa"/>
            <w:tcMar>
              <w:top w:w="0" w:type="dxa"/>
              <w:left w:w="108" w:type="dxa"/>
              <w:bottom w:w="0" w:type="dxa"/>
              <w:right w:w="108" w:type="dxa"/>
            </w:tcMar>
            <w:vAlign w:val="center"/>
          </w:tcPr>
          <w:p w14:paraId="6F0AA42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62.90%</w:t>
            </w:r>
          </w:p>
        </w:tc>
        <w:tc>
          <w:tcPr>
            <w:tcW w:w="1699" w:type="dxa"/>
            <w:tcMar>
              <w:top w:w="0" w:type="dxa"/>
              <w:left w:w="108" w:type="dxa"/>
              <w:bottom w:w="0" w:type="dxa"/>
              <w:right w:w="108" w:type="dxa"/>
            </w:tcMar>
            <w:vAlign w:val="center"/>
          </w:tcPr>
          <w:p w14:paraId="06479FA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60.18%</w:t>
            </w:r>
          </w:p>
        </w:tc>
      </w:tr>
    </w:tbl>
    <w:p w14:paraId="1B25990C" w14:textId="77777777" w:rsidR="0034010F" w:rsidRPr="00DA3766" w:rsidRDefault="0034010F" w:rsidP="0034010F">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71E17E7C" w14:textId="777970F5" w:rsidR="00D127B7" w:rsidRPr="00DA3766" w:rsidRDefault="0056662C" w:rsidP="00D127B7">
      <w:pPr>
        <w:pStyle w:val="005"/>
        <w:spacing w:before="120" w:after="120"/>
        <w:ind w:firstLine="480"/>
      </w:pPr>
      <w:r w:rsidRPr="00DA3766">
        <w:t>报告期各期，标的公司综合毛利率总体高于同行业公司算术平均值，但总体低于或接近广联达、美登科技，主要系标的公司</w:t>
      </w:r>
      <w:r w:rsidRPr="00DA3766">
        <w:t>SaaS</w:t>
      </w:r>
      <w:r w:rsidRPr="00DA3766">
        <w:t>云平台业务的收入占比较高且毛利率较高。报告期各期，标的公司</w:t>
      </w:r>
      <w:r w:rsidRPr="00DA3766">
        <w:t>SaaS</w:t>
      </w:r>
      <w:r w:rsidRPr="00DA3766">
        <w:t>云平台业务收入在主营业务收入中的占比分别为</w:t>
      </w:r>
      <w:r w:rsidRPr="00DA3766">
        <w:t>46.34%</w:t>
      </w:r>
      <w:r w:rsidRPr="00DA3766">
        <w:t>、</w:t>
      </w:r>
      <w:r w:rsidRPr="00DA3766">
        <w:t>42.19%</w:t>
      </w:r>
      <w:r w:rsidRPr="00DA3766">
        <w:t>和</w:t>
      </w:r>
      <w:r w:rsidRPr="00DA3766">
        <w:t>46.34%</w:t>
      </w:r>
      <w:r w:rsidRPr="00DA3766">
        <w:t>，毛利率分别为</w:t>
      </w:r>
      <w:r w:rsidRPr="00DA3766">
        <w:t>89.93%</w:t>
      </w:r>
      <w:r w:rsidRPr="00DA3766">
        <w:t>、</w:t>
      </w:r>
      <w:r w:rsidRPr="00DA3766">
        <w:t>87.41%</w:t>
      </w:r>
      <w:r w:rsidRPr="00DA3766">
        <w:t>和</w:t>
      </w:r>
      <w:r w:rsidRPr="00DA3766">
        <w:t>82.07%</w:t>
      </w:r>
      <w:r w:rsidRPr="00DA3766">
        <w:t>，均保持在较高水平。</w:t>
      </w:r>
    </w:p>
    <w:p w14:paraId="23E7D878" w14:textId="6F9C0F75" w:rsidR="00D127B7" w:rsidRPr="00DA3766" w:rsidRDefault="00D127B7" w:rsidP="00D127B7">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报告期内，标的公司</w:t>
      </w:r>
      <w:r w:rsidR="007A44DA" w:rsidRPr="00DA3766">
        <w:rPr>
          <w:rFonts w:ascii="Times New Roman" w:hAnsi="Times New Roman" w:cs="Times New Roman"/>
          <w:szCs w:val="22"/>
        </w:rPr>
        <w:t>SaaS</w:t>
      </w:r>
      <w:r w:rsidRPr="00DA3766">
        <w:rPr>
          <w:rFonts w:ascii="Times New Roman" w:hAnsi="Times New Roman" w:cs="Times New Roman"/>
          <w:szCs w:val="22"/>
        </w:rPr>
        <w:t>云平台业务</w:t>
      </w:r>
      <w:r w:rsidRPr="00DA3766">
        <w:rPr>
          <w:rFonts w:ascii="Times New Roman" w:hAnsi="Times New Roman" w:cs="Times New Roman"/>
          <w:szCs w:val="22"/>
          <w:lang w:bidi="ar"/>
        </w:rPr>
        <w:t>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D127B7" w:rsidRPr="00DA3766" w14:paraId="7A3E8C88" w14:textId="77777777" w:rsidTr="00DA3766">
        <w:trPr>
          <w:trHeight w:val="397"/>
          <w:jc w:val="center"/>
        </w:trPr>
        <w:tc>
          <w:tcPr>
            <w:tcW w:w="1000" w:type="pct"/>
            <w:tcMar>
              <w:top w:w="0" w:type="dxa"/>
              <w:bottom w:w="0" w:type="dxa"/>
            </w:tcMar>
            <w:vAlign w:val="center"/>
          </w:tcPr>
          <w:p w14:paraId="1068317D"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083F3D3D"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7D1D02CE"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5D019B23"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21A962C3"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D127B7" w:rsidRPr="00DA3766" w14:paraId="2B801A59" w14:textId="77777777" w:rsidTr="00DA3766">
        <w:trPr>
          <w:trHeight w:val="397"/>
          <w:jc w:val="center"/>
        </w:trPr>
        <w:tc>
          <w:tcPr>
            <w:tcW w:w="1000" w:type="pct"/>
            <w:tcMar>
              <w:top w:w="0" w:type="dxa"/>
              <w:bottom w:w="0" w:type="dxa"/>
            </w:tcMar>
            <w:vAlign w:val="center"/>
          </w:tcPr>
          <w:p w14:paraId="4CA2385D"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14:paraId="0659247A" w14:textId="04863D79" w:rsidR="00D127B7" w:rsidRPr="00DA3766" w:rsidRDefault="007A44DA"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SaaS</w:t>
            </w:r>
            <w:r w:rsidR="00D127B7" w:rsidRPr="00DA3766">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14:paraId="24D903E2"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14:paraId="3476CB58"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14:paraId="4C63CB6E"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72.83%</w:t>
            </w:r>
          </w:p>
        </w:tc>
      </w:tr>
      <w:tr w:rsidR="00D127B7" w:rsidRPr="00DA3766" w14:paraId="2C51C5A9" w14:textId="77777777" w:rsidTr="00DA3766">
        <w:trPr>
          <w:trHeight w:val="397"/>
          <w:jc w:val="center"/>
        </w:trPr>
        <w:tc>
          <w:tcPr>
            <w:tcW w:w="1000" w:type="pct"/>
            <w:tcMar>
              <w:top w:w="0" w:type="dxa"/>
              <w:bottom w:w="0" w:type="dxa"/>
            </w:tcMar>
            <w:vAlign w:val="center"/>
          </w:tcPr>
          <w:p w14:paraId="6C7F8492"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14:paraId="730DD6BD"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14:paraId="74F3FAAE"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14:paraId="4EE4E650"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14:paraId="3E6463B4"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tr w:rsidR="00DB569D" w:rsidRPr="00DA3766" w14:paraId="34D4EE96" w14:textId="77777777" w:rsidTr="00DA3766">
        <w:trPr>
          <w:trHeight w:val="397"/>
          <w:jc w:val="center"/>
        </w:trPr>
        <w:tc>
          <w:tcPr>
            <w:tcW w:w="1000" w:type="pct"/>
            <w:tcMar>
              <w:top w:w="0" w:type="dxa"/>
              <w:bottom w:w="0" w:type="dxa"/>
            </w:tcMar>
            <w:vAlign w:val="center"/>
          </w:tcPr>
          <w:p w14:paraId="5818B2FE" w14:textId="77777777" w:rsidR="00DB569D" w:rsidRPr="00DA3766" w:rsidRDefault="00DB569D"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4697A8DE" w14:textId="35B3CA9B" w:rsidR="00DB569D" w:rsidRPr="00DA3766" w:rsidRDefault="00DB569D"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SaaS</w:t>
            </w:r>
            <w:r w:rsidRPr="00DA3766">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14:paraId="43362A62" w14:textId="15E8C671"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82.07%</w:t>
            </w:r>
          </w:p>
        </w:tc>
        <w:tc>
          <w:tcPr>
            <w:tcW w:w="1000" w:type="pct"/>
            <w:tcMar>
              <w:top w:w="0" w:type="dxa"/>
              <w:left w:w="108" w:type="dxa"/>
              <w:bottom w:w="0" w:type="dxa"/>
              <w:right w:w="108" w:type="dxa"/>
            </w:tcMar>
            <w:vAlign w:val="center"/>
          </w:tcPr>
          <w:p w14:paraId="1004D45C" w14:textId="1E119553"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87.41%</w:t>
            </w:r>
          </w:p>
        </w:tc>
        <w:tc>
          <w:tcPr>
            <w:tcW w:w="1000" w:type="pct"/>
            <w:tcMar>
              <w:top w:w="0" w:type="dxa"/>
              <w:left w:w="108" w:type="dxa"/>
              <w:bottom w:w="0" w:type="dxa"/>
              <w:right w:w="108" w:type="dxa"/>
            </w:tcMar>
            <w:vAlign w:val="center"/>
          </w:tcPr>
          <w:p w14:paraId="24539056" w14:textId="239A5471"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89.93%</w:t>
            </w:r>
          </w:p>
        </w:tc>
      </w:tr>
    </w:tbl>
    <w:p w14:paraId="67D1C4EF" w14:textId="77777777" w:rsidR="00D127B7" w:rsidRPr="00DA3766" w:rsidRDefault="00D127B7" w:rsidP="0056662C">
      <w:pPr>
        <w:spacing w:beforeLines="0" w:before="0" w:afterLines="0" w:after="0" w:line="240" w:lineRule="auto"/>
        <w:ind w:firstLineChars="0" w:firstLine="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757CF9DC" w14:textId="688F1FFA" w:rsidR="00D127B7" w:rsidRPr="00DA3766" w:rsidRDefault="00D127B7" w:rsidP="00D127B7">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报告期各期，标的公司</w:t>
      </w:r>
      <w:r w:rsidR="007A44DA" w:rsidRPr="00DA3766">
        <w:rPr>
          <w:rFonts w:ascii="Times New Roman" w:hAnsi="Times New Roman" w:cs="Times New Roman"/>
          <w:szCs w:val="22"/>
        </w:rPr>
        <w:t>SaaS</w:t>
      </w:r>
      <w:r w:rsidRPr="00DA3766">
        <w:rPr>
          <w:rFonts w:ascii="Times New Roman" w:hAnsi="Times New Roman" w:cs="Times New Roman"/>
          <w:szCs w:val="22"/>
        </w:rPr>
        <w:t>云平台业务毛利率总体与美登科技</w:t>
      </w:r>
      <w:r w:rsidR="007A44DA" w:rsidRPr="00DA3766">
        <w:rPr>
          <w:rFonts w:ascii="Times New Roman" w:hAnsi="Times New Roman" w:cs="Times New Roman"/>
          <w:szCs w:val="22"/>
        </w:rPr>
        <w:t>SaaS</w:t>
      </w:r>
      <w:r w:rsidRPr="00DA3766">
        <w:rPr>
          <w:rFonts w:ascii="Times New Roman" w:hAnsi="Times New Roman" w:cs="Times New Roman"/>
          <w:szCs w:val="22"/>
        </w:rPr>
        <w:t>服务业务毛利率</w:t>
      </w:r>
      <w:r w:rsidR="0056662C" w:rsidRPr="00DA3766">
        <w:rPr>
          <w:rFonts w:ascii="Times New Roman" w:hAnsi="Times New Roman" w:cs="Times New Roman"/>
          <w:szCs w:val="22"/>
        </w:rPr>
        <w:t>及</w:t>
      </w:r>
      <w:r w:rsidRPr="00DA3766">
        <w:rPr>
          <w:rFonts w:ascii="Times New Roman" w:hAnsi="Times New Roman" w:cs="Times New Roman"/>
          <w:szCs w:val="22"/>
        </w:rPr>
        <w:t>广联达软件业务毛利率较为接近。</w:t>
      </w:r>
    </w:p>
    <w:p w14:paraId="43F2874E" w14:textId="4A077980" w:rsidR="006951FA" w:rsidRPr="00DA3766" w:rsidRDefault="006951FA" w:rsidP="00D127B7">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报告期内，标的公司对汇付天下有限公司等主要客户的销售毛利率明显高于同期标的公司综合毛利率，主要系标的公司收单外包服务业务面向</w:t>
      </w:r>
      <w:bookmarkStart w:id="69" w:name="OLE_LINK92"/>
      <w:r w:rsidRPr="00DA3766">
        <w:rPr>
          <w:rFonts w:ascii="Times New Roman" w:hAnsi="Times New Roman" w:cs="Times New Roman"/>
          <w:szCs w:val="22"/>
        </w:rPr>
        <w:t>汇付天下有限公司等收单机构</w:t>
      </w:r>
      <w:bookmarkEnd w:id="69"/>
      <w:r w:rsidRPr="00DA3766">
        <w:rPr>
          <w:rFonts w:ascii="Times New Roman" w:hAnsi="Times New Roman" w:cs="Times New Roman"/>
          <w:szCs w:val="22"/>
        </w:rPr>
        <w:t>抽取运营商交易手续费分成，因而毛利率较高。</w:t>
      </w:r>
    </w:p>
    <w:p w14:paraId="2614B771" w14:textId="60C8155F" w:rsidR="00D127B7" w:rsidRPr="00DA3766" w:rsidRDefault="00D127B7" w:rsidP="00D127B7">
      <w:pPr>
        <w:pStyle w:val="005"/>
        <w:spacing w:before="120" w:after="120"/>
        <w:ind w:firstLine="480"/>
      </w:pPr>
      <w:r w:rsidRPr="00DA3766">
        <w:t>综上，报告期内标的公司综合毛利率高于同行业可比公司平均值具</w:t>
      </w:r>
      <w:r w:rsidR="0064220D" w:rsidRPr="00DA3766">
        <w:t>有</w:t>
      </w:r>
      <w:r w:rsidRPr="00DA3766">
        <w:t>合理性。</w:t>
      </w:r>
    </w:p>
    <w:p w14:paraId="4001198A" w14:textId="14F4D814" w:rsidR="00AB3394" w:rsidRPr="00DA3766" w:rsidRDefault="00AB3394" w:rsidP="00A81CC2">
      <w:pPr>
        <w:pStyle w:val="002"/>
        <w:keepNext w:val="0"/>
        <w:spacing w:before="120" w:after="120"/>
        <w:ind w:firstLine="482"/>
      </w:pPr>
      <w:r w:rsidRPr="00DA3766">
        <w:lastRenderedPageBreak/>
        <w:t>十、标的资产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构成股份支付，是否存在通过低价入股替代支付费用的情形</w:t>
      </w:r>
    </w:p>
    <w:p w14:paraId="419FD837" w14:textId="5DE2FAD0" w:rsidR="00AB3394" w:rsidRPr="00DA3766" w:rsidRDefault="00AB3394" w:rsidP="00AB3394">
      <w:pPr>
        <w:pStyle w:val="003"/>
        <w:spacing w:before="120" w:after="120"/>
        <w:ind w:firstLine="482"/>
      </w:pPr>
      <w:r w:rsidRPr="00DA3766">
        <w:t>（一）标的资产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w:t>
      </w:r>
    </w:p>
    <w:p w14:paraId="06641397" w14:textId="24F68C44" w:rsidR="005C5DAF" w:rsidRPr="00DA3766" w:rsidRDefault="005C5DAF" w:rsidP="005C5DAF">
      <w:pPr>
        <w:pStyle w:val="004"/>
        <w:spacing w:before="120" w:after="120"/>
        <w:ind w:firstLine="482"/>
      </w:pPr>
      <w:r w:rsidRPr="00DA3766">
        <w:t>1</w:t>
      </w:r>
      <w:r w:rsidRPr="00DA3766">
        <w:t>、销售费用变动</w:t>
      </w:r>
      <w:r w:rsidR="009B453B" w:rsidRPr="00DA3766">
        <w:t>情况</w:t>
      </w:r>
    </w:p>
    <w:p w14:paraId="7F0E3961" w14:textId="77777777" w:rsidR="0056662C" w:rsidRPr="00DA3766" w:rsidRDefault="0056662C" w:rsidP="000C4294">
      <w:pPr>
        <w:pStyle w:val="005"/>
        <w:spacing w:before="120" w:after="120"/>
        <w:ind w:firstLine="480"/>
      </w:pPr>
      <w:bookmarkStart w:id="70" w:name="OLE_LINK109"/>
      <w:r w:rsidRPr="00DA3766">
        <w:t>报告期各期，标的公司销售费用分别为</w:t>
      </w:r>
      <w:r w:rsidRPr="00DA3766">
        <w:t>7,949.08</w:t>
      </w:r>
      <w:r w:rsidRPr="00DA3766">
        <w:t>万元、</w:t>
      </w:r>
      <w:r w:rsidRPr="00DA3766">
        <w:t>7,083.27</w:t>
      </w:r>
      <w:r w:rsidRPr="00DA3766">
        <w:t>万元和</w:t>
      </w:r>
      <w:r w:rsidRPr="00DA3766">
        <w:t>3,749.82</w:t>
      </w:r>
      <w:r w:rsidRPr="00DA3766">
        <w:t>万元，主要由职工薪酬及福利费、市场推广费、</w:t>
      </w:r>
      <w:bookmarkStart w:id="71" w:name="OLE_LINK128"/>
      <w:r w:rsidRPr="00DA3766">
        <w:t>摊销及折旧</w:t>
      </w:r>
      <w:bookmarkEnd w:id="71"/>
      <w:r w:rsidRPr="00DA3766">
        <w:t>等构成，其中市场推广费分别为</w:t>
      </w:r>
      <w:r w:rsidRPr="00DA3766">
        <w:t>2,441.09</w:t>
      </w:r>
      <w:r w:rsidRPr="00DA3766">
        <w:t>万元、</w:t>
      </w:r>
      <w:r w:rsidRPr="00DA3766">
        <w:t>1,685.88</w:t>
      </w:r>
      <w:r w:rsidRPr="00DA3766">
        <w:t>万元和</w:t>
      </w:r>
      <w:r w:rsidRPr="00DA3766">
        <w:t>768.86</w:t>
      </w:r>
      <w:r w:rsidRPr="00DA3766">
        <w:t>万元。标的公司</w:t>
      </w:r>
      <w:r w:rsidRPr="00DA3766">
        <w:t>2023</w:t>
      </w:r>
      <w:r w:rsidRPr="00DA3766">
        <w:t>年市场推广费相对较高主要系标的公司短期内加大对智慧生活等应用领域的市场推广力度所致，此后标的公司品牌营销等基本回归常态化推广，</w:t>
      </w:r>
      <w:r w:rsidRPr="00DA3766">
        <w:t>2024</w:t>
      </w:r>
      <w:r w:rsidRPr="00DA3766">
        <w:t>年</w:t>
      </w:r>
      <w:bookmarkStart w:id="72" w:name="OLE_LINK108"/>
      <w:r w:rsidRPr="00DA3766">
        <w:t>市场推广费</w:t>
      </w:r>
      <w:bookmarkEnd w:id="72"/>
      <w:r w:rsidRPr="00DA3766">
        <w:t>有所下降，</w:t>
      </w:r>
      <w:r w:rsidRPr="00DA3766">
        <w:t>2025</w:t>
      </w:r>
      <w:r w:rsidRPr="00DA3766">
        <w:t>年</w:t>
      </w:r>
      <w:r w:rsidRPr="00DA3766">
        <w:t>1-6</w:t>
      </w:r>
      <w:r w:rsidRPr="00DA3766">
        <w:t>月市场推广费接近</w:t>
      </w:r>
      <w:r w:rsidRPr="00DA3766">
        <w:t>2024</w:t>
      </w:r>
      <w:r w:rsidRPr="00DA3766">
        <w:t>年全年的</w:t>
      </w:r>
      <w:r w:rsidRPr="00DA3766">
        <w:t>50%</w:t>
      </w:r>
      <w:r w:rsidRPr="00DA3766">
        <w:t>。</w:t>
      </w:r>
    </w:p>
    <w:p w14:paraId="5FBC3453" w14:textId="77777777" w:rsidR="0056662C" w:rsidRPr="00DA3766" w:rsidRDefault="0056662C" w:rsidP="0056662C">
      <w:pPr>
        <w:pStyle w:val="005"/>
        <w:spacing w:before="120" w:after="120"/>
        <w:ind w:firstLine="480"/>
        <w:rPr>
          <w:szCs w:val="24"/>
        </w:rPr>
      </w:pPr>
      <w:r w:rsidRPr="00DA3766">
        <w:rPr>
          <w:szCs w:val="24"/>
        </w:rPr>
        <w:t>自</w:t>
      </w:r>
      <w:r w:rsidRPr="00DA3766">
        <w:rPr>
          <w:szCs w:val="24"/>
        </w:rPr>
        <w:t>2015</w:t>
      </w:r>
      <w:r w:rsidRPr="00DA3766">
        <w:rPr>
          <w:szCs w:val="24"/>
        </w:rPr>
        <w:t>年成立以来，标的公司长期深耕自助设备行业，秉承着行业共赢的理念，通过自主设计</w:t>
      </w:r>
      <w:r w:rsidRPr="00DA3766">
        <w:rPr>
          <w:bCs/>
          <w:kern w:val="0"/>
          <w:szCs w:val="24"/>
        </w:rPr>
        <w:t>模块和主板方案</w:t>
      </w:r>
      <w:r w:rsidRPr="00DA3766">
        <w:rPr>
          <w:szCs w:val="24"/>
        </w:rPr>
        <w:t>，补足自助设备控制主板的智能化、数字化升级短板，提高工业生产合作伙伴的硬件研发能力，从而实现设备在生产测试环节的全流程监测，提高生产质量。依托持续的产品创新、服务优化及敏捷的客户需求响应能力，目前标的公司已与下游各大终端消费场景的自助设备制造商群体建立了深度战略合作关系，形成了稳定的下游客户生态，已经在自助设备领域构建起显著的规模优势和独特的客户资源壁垒。</w:t>
      </w:r>
    </w:p>
    <w:p w14:paraId="5230382E" w14:textId="199C5D8E" w:rsidR="0056662C" w:rsidRPr="00DA3766" w:rsidRDefault="0056662C" w:rsidP="0056662C">
      <w:pPr>
        <w:pStyle w:val="005"/>
        <w:spacing w:before="120" w:after="120"/>
        <w:ind w:firstLine="480"/>
        <w:rPr>
          <w:szCs w:val="24"/>
        </w:rPr>
      </w:pPr>
      <w:r w:rsidRPr="00DA3766">
        <w:rPr>
          <w:szCs w:val="24"/>
        </w:rPr>
        <w:t>标的公司作为国内最早布局自助设备物联网模块及</w:t>
      </w:r>
      <w:r w:rsidRPr="00DA3766">
        <w:rPr>
          <w:szCs w:val="24"/>
        </w:rPr>
        <w:t>SaaS</w:t>
      </w:r>
      <w:r w:rsidRPr="00DA3766">
        <w:rPr>
          <w:szCs w:val="24"/>
        </w:rPr>
        <w:t>云平台服务的企业之一，始终秉持</w:t>
      </w:r>
      <w:r w:rsidRPr="00DA3766">
        <w:rPr>
          <w:rFonts w:ascii="宋体" w:hAnsi="宋体"/>
          <w:szCs w:val="24"/>
        </w:rPr>
        <w:t>“</w:t>
      </w:r>
      <w:r w:rsidRPr="00DA3766">
        <w:rPr>
          <w:szCs w:val="24"/>
        </w:rPr>
        <w:t>质量先行、客户至上</w:t>
      </w:r>
      <w:r w:rsidRPr="00DA3766">
        <w:rPr>
          <w:rFonts w:ascii="宋体" w:hAnsi="宋体"/>
          <w:szCs w:val="24"/>
        </w:rPr>
        <w:t>”</w:t>
      </w:r>
      <w:r w:rsidRPr="00DA3766">
        <w:rPr>
          <w:szCs w:val="24"/>
        </w:rPr>
        <w:t>的核心服务理念，凭借卓越的技术创新能力、快速迭代的产品体系及全流程服务能力，已在行业内铸就了高口碑的品牌形象。标的公司旗下</w:t>
      </w:r>
      <w:r w:rsidRPr="00DA3766">
        <w:rPr>
          <w:rFonts w:ascii="宋体" w:hAnsi="宋体"/>
          <w:szCs w:val="24"/>
        </w:rPr>
        <w:t>“</w:t>
      </w:r>
      <w:r w:rsidRPr="00DA3766">
        <w:rPr>
          <w:szCs w:val="24"/>
        </w:rPr>
        <w:t>乐摇摇</w:t>
      </w:r>
      <w:r w:rsidRPr="00DA3766">
        <w:rPr>
          <w:rFonts w:ascii="宋体" w:hAnsi="宋体"/>
          <w:szCs w:val="24"/>
        </w:rPr>
        <w:t>”</w:t>
      </w:r>
      <w:r w:rsidRPr="00DA3766">
        <w:rPr>
          <w:szCs w:val="24"/>
        </w:rPr>
        <w:t>等品牌已广为市场认同与接受，通过</w:t>
      </w:r>
      <w:r w:rsidRPr="00DA3766">
        <w:rPr>
          <w:szCs w:val="24"/>
        </w:rPr>
        <w:t>7*12</w:t>
      </w:r>
      <w:r w:rsidRPr="00DA3766">
        <w:rPr>
          <w:szCs w:val="24"/>
        </w:rPr>
        <w:t>小时专业客服支持、智能化系统监控及快速响应的技术运维体系，为运营商户提供稳定可靠的技术支持与经营管理赋能，成为广大自助设备运营商日常经营与战略决</w:t>
      </w:r>
      <w:r w:rsidRPr="00DA3766">
        <w:rPr>
          <w:szCs w:val="24"/>
        </w:rPr>
        <w:lastRenderedPageBreak/>
        <w:t>策的重要合作伙伴。历经十年深耕，标的公司通过持续的技术沉淀、客户资源积累与品牌价值释放，已成功打造出深层次的客户粘性与较强的行业影响力</w:t>
      </w:r>
      <w:bookmarkStart w:id="73" w:name="_Hlk214546118"/>
      <w:r w:rsidRPr="00DA3766">
        <w:rPr>
          <w:szCs w:val="24"/>
        </w:rPr>
        <w:t>，已经成长为自助设备物联网细分领域的头部服务商之一。</w:t>
      </w:r>
      <w:r w:rsidRPr="00DA3766">
        <w:rPr>
          <w:szCs w:val="24"/>
        </w:rPr>
        <w:t>2024</w:t>
      </w:r>
      <w:r w:rsidRPr="00DA3766">
        <w:rPr>
          <w:szCs w:val="24"/>
        </w:rPr>
        <w:t>年度，标的公司全平台在线智能自助设备总数超过</w:t>
      </w:r>
      <w:r w:rsidRPr="00DA3766">
        <w:rPr>
          <w:szCs w:val="24"/>
        </w:rPr>
        <w:t>300</w:t>
      </w:r>
      <w:r w:rsidRPr="00DA3766">
        <w:rPr>
          <w:szCs w:val="24"/>
        </w:rPr>
        <w:t>万台，已覆盖全国</w:t>
      </w:r>
      <w:r w:rsidRPr="00DA3766">
        <w:rPr>
          <w:szCs w:val="24"/>
        </w:rPr>
        <w:t>600</w:t>
      </w:r>
      <w:r w:rsidRPr="00DA3766">
        <w:rPr>
          <w:szCs w:val="24"/>
        </w:rPr>
        <w:t>多个城市。</w:t>
      </w:r>
      <w:bookmarkEnd w:id="73"/>
    </w:p>
    <w:p w14:paraId="133FB2E7" w14:textId="1EE8295C" w:rsidR="005C5DAF" w:rsidRPr="00DA3766" w:rsidRDefault="0056662C" w:rsidP="0056662C">
      <w:pPr>
        <w:pStyle w:val="005"/>
        <w:spacing w:before="120" w:after="120"/>
        <w:ind w:firstLine="480"/>
      </w:pPr>
      <w:r w:rsidRPr="00DA3766">
        <w:rPr>
          <w:szCs w:val="24"/>
        </w:rPr>
        <w:t>综上，标的公司销售费用中市场推广费的变动具有合理性，同时标的公司目前已拥有优势突出的客户资源，并且具备较强品牌效应，市场推广力度回归常态化不会对标的公司的业务获取造成重大不利影响。</w:t>
      </w:r>
    </w:p>
    <w:bookmarkEnd w:id="70"/>
    <w:p w14:paraId="64ECABAB" w14:textId="572F5641" w:rsidR="005C5DAF" w:rsidRPr="00DA3766" w:rsidRDefault="005C5DAF" w:rsidP="005C5DAF">
      <w:pPr>
        <w:pStyle w:val="004"/>
        <w:spacing w:before="120" w:after="120"/>
        <w:ind w:firstLine="482"/>
      </w:pPr>
      <w:r w:rsidRPr="00DA3766">
        <w:t>2</w:t>
      </w:r>
      <w:r w:rsidRPr="00DA3766">
        <w:t>、研发费用变动</w:t>
      </w:r>
      <w:r w:rsidR="009B453B" w:rsidRPr="00DA3766">
        <w:t>情况</w:t>
      </w:r>
    </w:p>
    <w:p w14:paraId="6D057C41" w14:textId="77777777" w:rsidR="0056662C" w:rsidRPr="00DA3766" w:rsidRDefault="0056662C" w:rsidP="0056662C">
      <w:pPr>
        <w:pStyle w:val="005"/>
        <w:spacing w:before="120" w:after="120"/>
        <w:ind w:firstLine="480"/>
        <w:rPr>
          <w:kern w:val="0"/>
          <w:szCs w:val="24"/>
        </w:rPr>
      </w:pPr>
      <w:r w:rsidRPr="00DA3766">
        <w:rPr>
          <w:kern w:val="0"/>
          <w:szCs w:val="24"/>
        </w:rPr>
        <w:t>报告期各期，标的公司研发费用分别为</w:t>
      </w:r>
      <w:r w:rsidRPr="00DA3766">
        <w:rPr>
          <w:kern w:val="0"/>
          <w:szCs w:val="24"/>
        </w:rPr>
        <w:t>7,072.82</w:t>
      </w:r>
      <w:r w:rsidRPr="00DA3766">
        <w:rPr>
          <w:kern w:val="0"/>
          <w:szCs w:val="24"/>
        </w:rPr>
        <w:t>万元、</w:t>
      </w:r>
      <w:r w:rsidRPr="00DA3766">
        <w:rPr>
          <w:kern w:val="0"/>
          <w:szCs w:val="24"/>
        </w:rPr>
        <w:t>6,446.17</w:t>
      </w:r>
      <w:r w:rsidRPr="00DA3766">
        <w:rPr>
          <w:kern w:val="0"/>
          <w:szCs w:val="24"/>
        </w:rPr>
        <w:t>万元和</w:t>
      </w:r>
      <w:r w:rsidRPr="00DA3766">
        <w:rPr>
          <w:kern w:val="0"/>
          <w:szCs w:val="24"/>
        </w:rPr>
        <w:t>3,110.71</w:t>
      </w:r>
      <w:r w:rsidRPr="00DA3766">
        <w:rPr>
          <w:kern w:val="0"/>
          <w:szCs w:val="24"/>
        </w:rPr>
        <w:t>万元，主要由直接人工费用等构成。报告期内，标的公司研发团队人员规模相对稳定，各期末研发人员为</w:t>
      </w:r>
      <w:r w:rsidRPr="00DA3766">
        <w:rPr>
          <w:kern w:val="0"/>
          <w:szCs w:val="24"/>
        </w:rPr>
        <w:t>242</w:t>
      </w:r>
      <w:r w:rsidRPr="00DA3766">
        <w:rPr>
          <w:kern w:val="0"/>
          <w:szCs w:val="24"/>
        </w:rPr>
        <w:t>人、</w:t>
      </w:r>
      <w:r w:rsidRPr="00DA3766">
        <w:rPr>
          <w:kern w:val="0"/>
          <w:szCs w:val="24"/>
        </w:rPr>
        <w:t>240</w:t>
      </w:r>
      <w:r w:rsidRPr="00DA3766">
        <w:rPr>
          <w:kern w:val="0"/>
          <w:szCs w:val="24"/>
        </w:rPr>
        <w:t>人和</w:t>
      </w:r>
      <w:r w:rsidRPr="00DA3766">
        <w:rPr>
          <w:kern w:val="0"/>
          <w:szCs w:val="24"/>
        </w:rPr>
        <w:t>267</w:t>
      </w:r>
      <w:r w:rsidRPr="00DA3766">
        <w:rPr>
          <w:kern w:val="0"/>
          <w:szCs w:val="24"/>
        </w:rPr>
        <w:t>人，各期直接人工费用分别为</w:t>
      </w:r>
      <w:r w:rsidRPr="00DA3766">
        <w:rPr>
          <w:kern w:val="0"/>
          <w:szCs w:val="24"/>
        </w:rPr>
        <w:t>6,790.11</w:t>
      </w:r>
      <w:r w:rsidRPr="00DA3766">
        <w:rPr>
          <w:kern w:val="0"/>
          <w:szCs w:val="24"/>
        </w:rPr>
        <w:t>万元、</w:t>
      </w:r>
      <w:r w:rsidRPr="00DA3766">
        <w:rPr>
          <w:kern w:val="0"/>
          <w:szCs w:val="24"/>
        </w:rPr>
        <w:t>6,095.04</w:t>
      </w:r>
      <w:r w:rsidRPr="00DA3766">
        <w:rPr>
          <w:kern w:val="0"/>
          <w:szCs w:val="24"/>
        </w:rPr>
        <w:t>万元和</w:t>
      </w:r>
      <w:r w:rsidRPr="00DA3766">
        <w:rPr>
          <w:kern w:val="0"/>
          <w:szCs w:val="24"/>
        </w:rPr>
        <w:t>2,976.68</w:t>
      </w:r>
      <w:r w:rsidRPr="00DA3766">
        <w:rPr>
          <w:kern w:val="0"/>
          <w:szCs w:val="24"/>
        </w:rPr>
        <w:t>万元，总体相对稳定。</w:t>
      </w:r>
    </w:p>
    <w:p w14:paraId="35A86DE5" w14:textId="067CBFA1" w:rsidR="00EB60A3" w:rsidRPr="00DA3766" w:rsidRDefault="0056662C" w:rsidP="0056662C">
      <w:pPr>
        <w:pStyle w:val="005"/>
        <w:spacing w:before="120" w:after="120"/>
        <w:ind w:firstLine="480"/>
      </w:pPr>
      <w:r w:rsidRPr="00DA3766">
        <w:rPr>
          <w:kern w:val="0"/>
          <w:szCs w:val="24"/>
        </w:rPr>
        <w:t>标的公司始终重视研发创新能力的构建与提升，保持较高的研发投入水平，在长期的经营发展过程中打造出一支研发能力过硬、人员稳定且组成结构合理的精英研发团队。在</w:t>
      </w:r>
      <w:r w:rsidRPr="00DA3766">
        <w:rPr>
          <w:kern w:val="0"/>
          <w:szCs w:val="24"/>
        </w:rPr>
        <w:t>IoT</w:t>
      </w:r>
      <w:r w:rsidRPr="00DA3766">
        <w:rPr>
          <w:kern w:val="0"/>
          <w:szCs w:val="24"/>
        </w:rPr>
        <w:t>智能硬件及</w:t>
      </w:r>
      <w:r w:rsidRPr="00DA3766">
        <w:rPr>
          <w:kern w:val="0"/>
          <w:szCs w:val="24"/>
        </w:rPr>
        <w:t>SaaS</w:t>
      </w:r>
      <w:r w:rsidRPr="00DA3766">
        <w:rPr>
          <w:kern w:val="0"/>
          <w:szCs w:val="24"/>
        </w:rPr>
        <w:t>云平台技术研发方面，标的公司始终坚持自主研发，持续进行创新技术投入，通过布局边缘计算、</w:t>
      </w:r>
      <w:r w:rsidRPr="00DA3766">
        <w:rPr>
          <w:kern w:val="0"/>
          <w:szCs w:val="24"/>
        </w:rPr>
        <w:t>AI</w:t>
      </w:r>
      <w:r w:rsidRPr="00DA3766">
        <w:rPr>
          <w:kern w:val="0"/>
          <w:szCs w:val="24"/>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14:paraId="3EC2F1B5" w14:textId="77777777" w:rsidR="007153B8" w:rsidRPr="00DA3766" w:rsidRDefault="007153B8"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报告期内，标的公司与同行业可比上市公司的研发费用率对比如下：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5"/>
        <w:gridCol w:w="1705"/>
        <w:gridCol w:w="1706"/>
        <w:gridCol w:w="1706"/>
        <w:gridCol w:w="1706"/>
      </w:tblGrid>
      <w:tr w:rsidR="007153B8" w:rsidRPr="00DA3766" w14:paraId="62FB926D" w14:textId="77777777" w:rsidTr="004C2193">
        <w:trPr>
          <w:trHeight w:val="397"/>
          <w:tblHeader/>
          <w:jc w:val="center"/>
        </w:trPr>
        <w:tc>
          <w:tcPr>
            <w:tcW w:w="1705" w:type="dxa"/>
            <w:tcMar>
              <w:top w:w="0" w:type="dxa"/>
              <w:left w:w="108" w:type="dxa"/>
              <w:bottom w:w="0" w:type="dxa"/>
              <w:right w:w="108" w:type="dxa"/>
            </w:tcMar>
            <w:vAlign w:val="center"/>
          </w:tcPr>
          <w:p w14:paraId="57BF8C70"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705" w:type="dxa"/>
            <w:tcMar>
              <w:top w:w="0" w:type="dxa"/>
              <w:left w:w="108" w:type="dxa"/>
              <w:bottom w:w="0" w:type="dxa"/>
              <w:right w:w="108" w:type="dxa"/>
            </w:tcMar>
            <w:vAlign w:val="center"/>
          </w:tcPr>
          <w:p w14:paraId="6A7B7CCD"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706" w:type="dxa"/>
            <w:tcMar>
              <w:top w:w="0" w:type="dxa"/>
              <w:left w:w="108" w:type="dxa"/>
              <w:bottom w:w="0" w:type="dxa"/>
              <w:right w:w="108" w:type="dxa"/>
            </w:tcMar>
            <w:vAlign w:val="center"/>
          </w:tcPr>
          <w:p w14:paraId="1E6FB5B1"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706" w:type="dxa"/>
            <w:tcMar>
              <w:top w:w="0" w:type="dxa"/>
              <w:left w:w="108" w:type="dxa"/>
              <w:bottom w:w="0" w:type="dxa"/>
              <w:right w:w="108" w:type="dxa"/>
            </w:tcMar>
            <w:vAlign w:val="center"/>
          </w:tcPr>
          <w:p w14:paraId="3E9A0C63"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706" w:type="dxa"/>
            <w:tcMar>
              <w:top w:w="0" w:type="dxa"/>
              <w:left w:w="108" w:type="dxa"/>
              <w:bottom w:w="0" w:type="dxa"/>
              <w:right w:w="108" w:type="dxa"/>
            </w:tcMar>
            <w:vAlign w:val="center"/>
          </w:tcPr>
          <w:p w14:paraId="36D9F793"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153B8" w:rsidRPr="00DA3766" w14:paraId="5DEF5611" w14:textId="77777777" w:rsidTr="00DA3766">
        <w:trPr>
          <w:trHeight w:val="397"/>
          <w:jc w:val="center"/>
        </w:trPr>
        <w:tc>
          <w:tcPr>
            <w:tcW w:w="1705" w:type="dxa"/>
            <w:vMerge w:val="restart"/>
            <w:tcMar>
              <w:top w:w="0" w:type="dxa"/>
              <w:left w:w="108" w:type="dxa"/>
              <w:bottom w:w="0" w:type="dxa"/>
              <w:right w:w="108" w:type="dxa"/>
            </w:tcMar>
            <w:vAlign w:val="center"/>
          </w:tcPr>
          <w:p w14:paraId="682D392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bookmarkStart w:id="74" w:name="_Hlk219758920"/>
            <w:r w:rsidRPr="00DA3766">
              <w:rPr>
                <w:rFonts w:ascii="Times New Roman" w:hAnsi="Times New Roman" w:cs="Times New Roman"/>
                <w:sz w:val="21"/>
                <w:szCs w:val="21"/>
              </w:rPr>
              <w:t>研发费用率</w:t>
            </w:r>
          </w:p>
        </w:tc>
        <w:tc>
          <w:tcPr>
            <w:tcW w:w="1705" w:type="dxa"/>
            <w:tcMar>
              <w:top w:w="0" w:type="dxa"/>
              <w:left w:w="108" w:type="dxa"/>
              <w:bottom w:w="0" w:type="dxa"/>
              <w:right w:w="108" w:type="dxa"/>
            </w:tcMar>
            <w:vAlign w:val="center"/>
          </w:tcPr>
          <w:p w14:paraId="29F5CFE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映翰通</w:t>
            </w:r>
          </w:p>
        </w:tc>
        <w:tc>
          <w:tcPr>
            <w:tcW w:w="1706" w:type="dxa"/>
            <w:tcMar>
              <w:top w:w="0" w:type="dxa"/>
              <w:left w:w="108" w:type="dxa"/>
              <w:bottom w:w="0" w:type="dxa"/>
              <w:right w:w="108" w:type="dxa"/>
            </w:tcMar>
            <w:vAlign w:val="center"/>
          </w:tcPr>
          <w:p w14:paraId="5634AE3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8.25%</w:t>
            </w:r>
          </w:p>
        </w:tc>
        <w:tc>
          <w:tcPr>
            <w:tcW w:w="1706" w:type="dxa"/>
            <w:tcMar>
              <w:top w:w="0" w:type="dxa"/>
              <w:left w:w="108" w:type="dxa"/>
              <w:bottom w:w="0" w:type="dxa"/>
              <w:right w:w="108" w:type="dxa"/>
            </w:tcMar>
            <w:vAlign w:val="center"/>
          </w:tcPr>
          <w:p w14:paraId="3E0D99F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10.88%</w:t>
            </w:r>
          </w:p>
        </w:tc>
        <w:tc>
          <w:tcPr>
            <w:tcW w:w="1706" w:type="dxa"/>
            <w:tcMar>
              <w:top w:w="0" w:type="dxa"/>
              <w:left w:w="108" w:type="dxa"/>
              <w:bottom w:w="0" w:type="dxa"/>
              <w:right w:w="108" w:type="dxa"/>
            </w:tcMar>
            <w:vAlign w:val="center"/>
          </w:tcPr>
          <w:p w14:paraId="2AD8E5A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12.56%</w:t>
            </w:r>
          </w:p>
        </w:tc>
      </w:tr>
      <w:tr w:rsidR="007153B8" w:rsidRPr="00DA3766" w14:paraId="321A2B45" w14:textId="77777777" w:rsidTr="00DA3766">
        <w:trPr>
          <w:trHeight w:val="397"/>
          <w:jc w:val="center"/>
        </w:trPr>
        <w:tc>
          <w:tcPr>
            <w:tcW w:w="1705" w:type="dxa"/>
            <w:vMerge/>
            <w:tcMar>
              <w:top w:w="0" w:type="dxa"/>
              <w:left w:w="108" w:type="dxa"/>
              <w:bottom w:w="0" w:type="dxa"/>
              <w:right w:w="108" w:type="dxa"/>
            </w:tcMar>
            <w:vAlign w:val="center"/>
          </w:tcPr>
          <w:p w14:paraId="41C5A39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620BFE6"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706" w:type="dxa"/>
            <w:tcMar>
              <w:top w:w="0" w:type="dxa"/>
              <w:left w:w="108" w:type="dxa"/>
              <w:bottom w:w="0" w:type="dxa"/>
              <w:right w:w="108" w:type="dxa"/>
            </w:tcMar>
            <w:vAlign w:val="center"/>
          </w:tcPr>
          <w:p w14:paraId="416ECCAC"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4.61%</w:t>
            </w:r>
          </w:p>
        </w:tc>
        <w:tc>
          <w:tcPr>
            <w:tcW w:w="1706" w:type="dxa"/>
            <w:tcMar>
              <w:top w:w="0" w:type="dxa"/>
              <w:left w:w="108" w:type="dxa"/>
              <w:bottom w:w="0" w:type="dxa"/>
              <w:right w:w="108" w:type="dxa"/>
            </w:tcMar>
            <w:vAlign w:val="center"/>
          </w:tcPr>
          <w:p w14:paraId="52AEAE7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4.41%</w:t>
            </w:r>
          </w:p>
        </w:tc>
        <w:tc>
          <w:tcPr>
            <w:tcW w:w="1706" w:type="dxa"/>
            <w:tcMar>
              <w:top w:w="0" w:type="dxa"/>
              <w:left w:w="108" w:type="dxa"/>
              <w:bottom w:w="0" w:type="dxa"/>
              <w:right w:w="108" w:type="dxa"/>
            </w:tcMar>
            <w:vAlign w:val="center"/>
          </w:tcPr>
          <w:p w14:paraId="1267C5C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4.46%</w:t>
            </w:r>
          </w:p>
        </w:tc>
      </w:tr>
      <w:bookmarkEnd w:id="74"/>
      <w:tr w:rsidR="007153B8" w:rsidRPr="00DA3766" w14:paraId="478E2C06" w14:textId="77777777" w:rsidTr="00DA3766">
        <w:trPr>
          <w:trHeight w:val="397"/>
          <w:jc w:val="center"/>
        </w:trPr>
        <w:tc>
          <w:tcPr>
            <w:tcW w:w="1705" w:type="dxa"/>
            <w:vMerge/>
            <w:tcMar>
              <w:top w:w="0" w:type="dxa"/>
              <w:left w:w="108" w:type="dxa"/>
              <w:bottom w:w="0" w:type="dxa"/>
              <w:right w:w="108" w:type="dxa"/>
            </w:tcMar>
            <w:vAlign w:val="center"/>
          </w:tcPr>
          <w:p w14:paraId="30FACBB6"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2065D03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广联达</w:t>
            </w:r>
          </w:p>
        </w:tc>
        <w:tc>
          <w:tcPr>
            <w:tcW w:w="1706" w:type="dxa"/>
            <w:tcMar>
              <w:top w:w="0" w:type="dxa"/>
              <w:left w:w="108" w:type="dxa"/>
              <w:bottom w:w="0" w:type="dxa"/>
              <w:right w:w="108" w:type="dxa"/>
            </w:tcMar>
            <w:vAlign w:val="center"/>
          </w:tcPr>
          <w:p w14:paraId="7CF0E82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29.00%</w:t>
            </w:r>
          </w:p>
        </w:tc>
        <w:tc>
          <w:tcPr>
            <w:tcW w:w="1706" w:type="dxa"/>
            <w:tcMar>
              <w:top w:w="0" w:type="dxa"/>
              <w:left w:w="108" w:type="dxa"/>
              <w:bottom w:w="0" w:type="dxa"/>
              <w:right w:w="108" w:type="dxa"/>
            </w:tcMar>
            <w:vAlign w:val="center"/>
          </w:tcPr>
          <w:p w14:paraId="4106FFC7"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28.52%</w:t>
            </w:r>
          </w:p>
        </w:tc>
        <w:tc>
          <w:tcPr>
            <w:tcW w:w="1706" w:type="dxa"/>
            <w:tcMar>
              <w:top w:w="0" w:type="dxa"/>
              <w:left w:w="108" w:type="dxa"/>
              <w:bottom w:w="0" w:type="dxa"/>
              <w:right w:w="108" w:type="dxa"/>
            </w:tcMar>
            <w:vAlign w:val="center"/>
          </w:tcPr>
          <w:p w14:paraId="448F467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29.04%</w:t>
            </w:r>
          </w:p>
        </w:tc>
      </w:tr>
      <w:tr w:rsidR="007153B8" w:rsidRPr="00DA3766" w14:paraId="21493802" w14:textId="77777777" w:rsidTr="00DA3766">
        <w:trPr>
          <w:trHeight w:val="397"/>
          <w:jc w:val="center"/>
        </w:trPr>
        <w:tc>
          <w:tcPr>
            <w:tcW w:w="1705" w:type="dxa"/>
            <w:vMerge/>
            <w:tcMar>
              <w:top w:w="0" w:type="dxa"/>
              <w:left w:w="108" w:type="dxa"/>
              <w:bottom w:w="0" w:type="dxa"/>
              <w:right w:w="108" w:type="dxa"/>
            </w:tcMar>
            <w:vAlign w:val="center"/>
          </w:tcPr>
          <w:p w14:paraId="343BCD4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753DFFBE"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706" w:type="dxa"/>
            <w:tcMar>
              <w:top w:w="0" w:type="dxa"/>
              <w:left w:w="108" w:type="dxa"/>
              <w:bottom w:w="0" w:type="dxa"/>
              <w:right w:w="108" w:type="dxa"/>
            </w:tcMar>
            <w:vAlign w:val="center"/>
          </w:tcPr>
          <w:p w14:paraId="668900A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14.36%</w:t>
            </w:r>
          </w:p>
        </w:tc>
        <w:tc>
          <w:tcPr>
            <w:tcW w:w="1706" w:type="dxa"/>
            <w:tcMar>
              <w:top w:w="0" w:type="dxa"/>
              <w:left w:w="108" w:type="dxa"/>
              <w:bottom w:w="0" w:type="dxa"/>
              <w:right w:w="108" w:type="dxa"/>
            </w:tcMar>
            <w:vAlign w:val="center"/>
          </w:tcPr>
          <w:p w14:paraId="30EADE6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14.53%</w:t>
            </w:r>
          </w:p>
        </w:tc>
        <w:tc>
          <w:tcPr>
            <w:tcW w:w="1706" w:type="dxa"/>
            <w:tcMar>
              <w:top w:w="0" w:type="dxa"/>
              <w:left w:w="108" w:type="dxa"/>
              <w:bottom w:w="0" w:type="dxa"/>
              <w:right w:w="108" w:type="dxa"/>
            </w:tcMar>
            <w:vAlign w:val="center"/>
          </w:tcPr>
          <w:p w14:paraId="3D633085"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11.74%</w:t>
            </w:r>
          </w:p>
        </w:tc>
      </w:tr>
      <w:tr w:rsidR="007153B8" w:rsidRPr="00DA3766" w14:paraId="003883D9" w14:textId="77777777" w:rsidTr="00DA3766">
        <w:trPr>
          <w:trHeight w:val="397"/>
          <w:jc w:val="center"/>
        </w:trPr>
        <w:tc>
          <w:tcPr>
            <w:tcW w:w="1705" w:type="dxa"/>
            <w:vMerge/>
            <w:tcMar>
              <w:top w:w="0" w:type="dxa"/>
              <w:left w:w="108" w:type="dxa"/>
              <w:bottom w:w="0" w:type="dxa"/>
              <w:right w:w="108" w:type="dxa"/>
            </w:tcMar>
            <w:vAlign w:val="center"/>
          </w:tcPr>
          <w:p w14:paraId="10F66877"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812587F"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706" w:type="dxa"/>
            <w:tcMar>
              <w:top w:w="0" w:type="dxa"/>
              <w:left w:w="108" w:type="dxa"/>
              <w:bottom w:w="0" w:type="dxa"/>
              <w:right w:w="108" w:type="dxa"/>
            </w:tcMar>
            <w:vAlign w:val="center"/>
          </w:tcPr>
          <w:p w14:paraId="52D9F3F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18.57%</w:t>
            </w:r>
          </w:p>
        </w:tc>
        <w:tc>
          <w:tcPr>
            <w:tcW w:w="1706" w:type="dxa"/>
            <w:tcMar>
              <w:top w:w="0" w:type="dxa"/>
              <w:left w:w="108" w:type="dxa"/>
              <w:bottom w:w="0" w:type="dxa"/>
              <w:right w:w="108" w:type="dxa"/>
            </w:tcMar>
            <w:vAlign w:val="center"/>
          </w:tcPr>
          <w:p w14:paraId="0E71909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19.15%</w:t>
            </w:r>
          </w:p>
        </w:tc>
        <w:tc>
          <w:tcPr>
            <w:tcW w:w="1706" w:type="dxa"/>
            <w:tcMar>
              <w:top w:w="0" w:type="dxa"/>
              <w:left w:w="108" w:type="dxa"/>
              <w:bottom w:w="0" w:type="dxa"/>
              <w:right w:w="108" w:type="dxa"/>
            </w:tcMar>
            <w:vAlign w:val="center"/>
          </w:tcPr>
          <w:p w14:paraId="35C5CC3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22.01%</w:t>
            </w:r>
          </w:p>
        </w:tc>
      </w:tr>
      <w:tr w:rsidR="007153B8" w:rsidRPr="00DA3766" w14:paraId="0E110A12" w14:textId="77777777" w:rsidTr="00DA3766">
        <w:trPr>
          <w:trHeight w:val="397"/>
          <w:jc w:val="center"/>
        </w:trPr>
        <w:tc>
          <w:tcPr>
            <w:tcW w:w="1705" w:type="dxa"/>
            <w:vMerge/>
            <w:tcMar>
              <w:top w:w="0" w:type="dxa"/>
              <w:left w:w="108" w:type="dxa"/>
              <w:bottom w:w="0" w:type="dxa"/>
              <w:right w:w="108" w:type="dxa"/>
            </w:tcMar>
            <w:vAlign w:val="center"/>
          </w:tcPr>
          <w:p w14:paraId="1326C6D8"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1A709FC"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1706" w:type="dxa"/>
            <w:tcMar>
              <w:top w:w="0" w:type="dxa"/>
              <w:left w:w="108" w:type="dxa"/>
              <w:bottom w:w="0" w:type="dxa"/>
              <w:right w:w="108" w:type="dxa"/>
            </w:tcMar>
            <w:vAlign w:val="center"/>
          </w:tcPr>
          <w:p w14:paraId="1036F5A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13.06%</w:t>
            </w:r>
          </w:p>
        </w:tc>
        <w:tc>
          <w:tcPr>
            <w:tcW w:w="1706" w:type="dxa"/>
            <w:tcMar>
              <w:top w:w="0" w:type="dxa"/>
              <w:left w:w="108" w:type="dxa"/>
              <w:bottom w:w="0" w:type="dxa"/>
              <w:right w:w="108" w:type="dxa"/>
            </w:tcMar>
            <w:vAlign w:val="center"/>
          </w:tcPr>
          <w:p w14:paraId="2779C874"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8.27%</w:t>
            </w:r>
          </w:p>
        </w:tc>
        <w:tc>
          <w:tcPr>
            <w:tcW w:w="1706" w:type="dxa"/>
            <w:tcMar>
              <w:top w:w="0" w:type="dxa"/>
              <w:left w:w="108" w:type="dxa"/>
              <w:bottom w:w="0" w:type="dxa"/>
              <w:right w:w="108" w:type="dxa"/>
            </w:tcMar>
            <w:vAlign w:val="center"/>
          </w:tcPr>
          <w:p w14:paraId="060BCF0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10.85%</w:t>
            </w:r>
          </w:p>
        </w:tc>
      </w:tr>
      <w:tr w:rsidR="007153B8" w:rsidRPr="00DA3766" w14:paraId="1B9F3387" w14:textId="77777777" w:rsidTr="00DA3766">
        <w:trPr>
          <w:trHeight w:val="397"/>
          <w:jc w:val="center"/>
        </w:trPr>
        <w:tc>
          <w:tcPr>
            <w:tcW w:w="1705" w:type="dxa"/>
            <w:vMerge/>
            <w:tcMar>
              <w:top w:w="0" w:type="dxa"/>
              <w:left w:w="108" w:type="dxa"/>
              <w:bottom w:w="0" w:type="dxa"/>
              <w:right w:w="108" w:type="dxa"/>
            </w:tcMar>
            <w:vAlign w:val="center"/>
          </w:tcPr>
          <w:p w14:paraId="3EBC0A90"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4EEE0EBA"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平均值</w:t>
            </w:r>
          </w:p>
        </w:tc>
        <w:tc>
          <w:tcPr>
            <w:tcW w:w="1706" w:type="dxa"/>
            <w:tcMar>
              <w:top w:w="0" w:type="dxa"/>
              <w:left w:w="108" w:type="dxa"/>
              <w:bottom w:w="0" w:type="dxa"/>
              <w:right w:w="108" w:type="dxa"/>
            </w:tcMar>
            <w:vAlign w:val="center"/>
          </w:tcPr>
          <w:p w14:paraId="1DB7DC4D"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14.64%</w:t>
            </w:r>
          </w:p>
        </w:tc>
        <w:tc>
          <w:tcPr>
            <w:tcW w:w="1706" w:type="dxa"/>
            <w:tcMar>
              <w:top w:w="0" w:type="dxa"/>
              <w:left w:w="108" w:type="dxa"/>
              <w:bottom w:w="0" w:type="dxa"/>
              <w:right w:w="108" w:type="dxa"/>
            </w:tcMar>
            <w:vAlign w:val="center"/>
          </w:tcPr>
          <w:p w14:paraId="318B2A93"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14.29%</w:t>
            </w:r>
          </w:p>
        </w:tc>
        <w:tc>
          <w:tcPr>
            <w:tcW w:w="1706" w:type="dxa"/>
            <w:tcMar>
              <w:top w:w="0" w:type="dxa"/>
              <w:left w:w="108" w:type="dxa"/>
              <w:bottom w:w="0" w:type="dxa"/>
              <w:right w:w="108" w:type="dxa"/>
            </w:tcMar>
            <w:vAlign w:val="center"/>
          </w:tcPr>
          <w:p w14:paraId="42ED1082"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15.11%</w:t>
            </w:r>
          </w:p>
        </w:tc>
      </w:tr>
      <w:tr w:rsidR="007153B8" w:rsidRPr="00DA3766" w14:paraId="44F554CA" w14:textId="77777777" w:rsidTr="00DA3766">
        <w:trPr>
          <w:trHeight w:val="397"/>
          <w:jc w:val="center"/>
        </w:trPr>
        <w:tc>
          <w:tcPr>
            <w:tcW w:w="1705" w:type="dxa"/>
            <w:vMerge/>
            <w:tcMar>
              <w:top w:w="0" w:type="dxa"/>
              <w:left w:w="108" w:type="dxa"/>
              <w:bottom w:w="0" w:type="dxa"/>
              <w:right w:w="108" w:type="dxa"/>
            </w:tcMar>
            <w:vAlign w:val="center"/>
          </w:tcPr>
          <w:p w14:paraId="458895E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23EB091F"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标的公司</w:t>
            </w:r>
          </w:p>
        </w:tc>
        <w:tc>
          <w:tcPr>
            <w:tcW w:w="1706" w:type="dxa"/>
            <w:tcMar>
              <w:top w:w="0" w:type="dxa"/>
              <w:left w:w="108" w:type="dxa"/>
              <w:bottom w:w="0" w:type="dxa"/>
              <w:right w:w="108" w:type="dxa"/>
            </w:tcMar>
            <w:vAlign w:val="center"/>
          </w:tcPr>
          <w:p w14:paraId="0AC9B412"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12.54%</w:t>
            </w:r>
          </w:p>
        </w:tc>
        <w:tc>
          <w:tcPr>
            <w:tcW w:w="1706" w:type="dxa"/>
            <w:tcMar>
              <w:top w:w="0" w:type="dxa"/>
              <w:left w:w="108" w:type="dxa"/>
              <w:bottom w:w="0" w:type="dxa"/>
              <w:right w:w="108" w:type="dxa"/>
            </w:tcMar>
            <w:vAlign w:val="center"/>
          </w:tcPr>
          <w:p w14:paraId="770DC6C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14.42%</w:t>
            </w:r>
          </w:p>
        </w:tc>
        <w:tc>
          <w:tcPr>
            <w:tcW w:w="1706" w:type="dxa"/>
            <w:tcMar>
              <w:top w:w="0" w:type="dxa"/>
              <w:left w:w="108" w:type="dxa"/>
              <w:bottom w:w="0" w:type="dxa"/>
              <w:right w:w="108" w:type="dxa"/>
            </w:tcMar>
            <w:vAlign w:val="center"/>
          </w:tcPr>
          <w:p w14:paraId="669032A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18.37%</w:t>
            </w:r>
          </w:p>
        </w:tc>
      </w:tr>
    </w:tbl>
    <w:p w14:paraId="12C2B4D5" w14:textId="77777777" w:rsidR="007153B8" w:rsidRPr="00DA3766" w:rsidRDefault="007153B8" w:rsidP="007153B8">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数据来源：各上市公司定期报告</w:t>
      </w:r>
    </w:p>
    <w:p w14:paraId="733207BF" w14:textId="77777777" w:rsidR="0056662C" w:rsidRPr="00DA3766" w:rsidRDefault="0056662C" w:rsidP="0056662C">
      <w:pPr>
        <w:pStyle w:val="005"/>
        <w:spacing w:before="120" w:after="120"/>
        <w:ind w:firstLine="480"/>
      </w:pPr>
      <w:r w:rsidRPr="00DA3766">
        <w:t>报告期各期，标的公司研发费用率总体与同行业公司算术平均值较为接近，</w:t>
      </w:r>
      <w:r w:rsidRPr="00DA3766">
        <w:t>2023</w:t>
      </w:r>
      <w:r w:rsidRPr="00DA3766">
        <w:t>年和</w:t>
      </w:r>
      <w:r w:rsidRPr="00DA3766">
        <w:t>2024</w:t>
      </w:r>
      <w:r w:rsidRPr="00DA3766">
        <w:t>年略高于平均值，</w:t>
      </w:r>
      <w:r w:rsidRPr="00DA3766">
        <w:t>2025</w:t>
      </w:r>
      <w:r w:rsidRPr="00DA3766">
        <w:t>年</w:t>
      </w:r>
      <w:r w:rsidRPr="00DA3766">
        <w:t>1-6</w:t>
      </w:r>
      <w:r w:rsidRPr="00DA3766">
        <w:t>月略低于平均值。</w:t>
      </w:r>
    </w:p>
    <w:p w14:paraId="61600CEA" w14:textId="4BA2FCB1" w:rsidR="0056662C" w:rsidRPr="00DA3766" w:rsidRDefault="007D5345" w:rsidP="0056662C">
      <w:pPr>
        <w:pStyle w:val="005"/>
        <w:spacing w:before="120" w:after="120"/>
        <w:ind w:firstLine="480"/>
      </w:pPr>
      <w:r w:rsidRPr="00DA3766">
        <w:t>标的公司已通过切实有效的措施提升研发效率及人员效用。首先，标的公司通过研发流程标准化与职责拆分，减少重复开发与低价值投入，人均交付效率显著提升。具体体现为关键模块复用率提高，新需求交付周期缩短，在人员规模基本稳定的情况下支撑更高业务产出。其次，标的公司已建立了统一基础能力体系，</w:t>
      </w:r>
      <w:r>
        <w:rPr>
          <w:rFonts w:hint="eastAsia"/>
        </w:rPr>
        <w:t>搭建</w:t>
      </w:r>
      <w:r w:rsidRPr="00656DFC">
        <w:t>可复用的底层架构，提升系统复用水平，</w:t>
      </w:r>
      <w:r w:rsidRPr="00DA3766">
        <w:t>以降低多业务线重复投入。再次，标的公司通过将人工智能技术融入研发与交付流程，整体提升研发效能与交付效率。最后，标的公司通过云原生与弹性架构改造，实现服务拆分、弹性伸缩与资源池化，以减少资源长期闲置与过度预留，提高整体资源使用效率。</w:t>
      </w:r>
    </w:p>
    <w:p w14:paraId="435C481A" w14:textId="3CDC67D1" w:rsidR="00EB60A3" w:rsidRPr="00DA3766" w:rsidRDefault="0056662C" w:rsidP="0056662C">
      <w:pPr>
        <w:pStyle w:val="005"/>
        <w:spacing w:before="120" w:after="120"/>
        <w:ind w:firstLine="480"/>
      </w:pPr>
      <w:r w:rsidRPr="00DA3766">
        <w:t>综上，标的公司研发费用中直接人工费用的变动相对较小且具有合理性，同时标的公司高度重视研发创新能力，已构建可靠高效的研发体系，直接人工费用的小幅变动不会对标的公司的技术创新造成重大不利影响。</w:t>
      </w:r>
    </w:p>
    <w:p w14:paraId="46014866" w14:textId="55692159" w:rsidR="00AB3394" w:rsidRPr="00DA3766" w:rsidRDefault="00AB3394" w:rsidP="00AB3394">
      <w:pPr>
        <w:pStyle w:val="003"/>
        <w:spacing w:before="120" w:after="120"/>
        <w:ind w:firstLine="482"/>
      </w:pPr>
      <w:r w:rsidRPr="00DA3766">
        <w:t>（二）结合标的资产管理层、相关持股平台等相关股东增资入股或受让标的资产股权价格的公允性说明是否构成股份支付，是否存在通过低价入股替代支付费用的情形</w:t>
      </w:r>
    </w:p>
    <w:p w14:paraId="053D97BB" w14:textId="1EBDD5F9" w:rsidR="00AB3394" w:rsidRPr="00DA3766" w:rsidRDefault="007921C1" w:rsidP="00333C11">
      <w:pPr>
        <w:pStyle w:val="002"/>
        <w:keepNext w:val="0"/>
        <w:keepLines w:val="0"/>
        <w:spacing w:before="120" w:afterLines="0" w:after="0"/>
        <w:ind w:firstLine="480"/>
        <w:outlineLvl w:val="9"/>
        <w:rPr>
          <w:b w:val="0"/>
          <w:bCs w:val="0"/>
        </w:rPr>
      </w:pPr>
      <w:r w:rsidRPr="00DA3766">
        <w:rPr>
          <w:b w:val="0"/>
          <w:bCs w:val="0"/>
        </w:rPr>
        <w:t>标的公司历史期间股份支付合计共授予</w:t>
      </w:r>
      <w:r w:rsidRPr="00DA3766">
        <w:rPr>
          <w:b w:val="0"/>
          <w:bCs w:val="0"/>
        </w:rPr>
        <w:t>4</w:t>
      </w:r>
      <w:r w:rsidRPr="00DA3766">
        <w:rPr>
          <w:b w:val="0"/>
          <w:bCs w:val="0"/>
        </w:rPr>
        <w:t>次，分别为</w:t>
      </w:r>
      <w:r w:rsidRPr="00DA3766">
        <w:rPr>
          <w:b w:val="0"/>
          <w:bCs w:val="0"/>
        </w:rPr>
        <w:t>2020</w:t>
      </w:r>
      <w:r w:rsidRPr="00DA3766">
        <w:rPr>
          <w:b w:val="0"/>
          <w:bCs w:val="0"/>
        </w:rPr>
        <w:t>年、</w:t>
      </w:r>
      <w:r w:rsidRPr="00DA3766">
        <w:rPr>
          <w:b w:val="0"/>
          <w:bCs w:val="0"/>
        </w:rPr>
        <w:t>2021</w:t>
      </w:r>
      <w:r w:rsidRPr="00DA3766">
        <w:rPr>
          <w:b w:val="0"/>
          <w:bCs w:val="0"/>
        </w:rPr>
        <w:t>年以及</w:t>
      </w:r>
      <w:r w:rsidRPr="00DA3766">
        <w:rPr>
          <w:b w:val="0"/>
          <w:bCs w:val="0"/>
        </w:rPr>
        <w:t>2022</w:t>
      </w:r>
      <w:r w:rsidRPr="00DA3766">
        <w:rPr>
          <w:b w:val="0"/>
          <w:bCs w:val="0"/>
        </w:rPr>
        <w:t>年，授予日的公允价值以标的公司的估值报告为依据定价，且相关股份支付方案于</w:t>
      </w:r>
      <w:r w:rsidRPr="00DA3766">
        <w:rPr>
          <w:b w:val="0"/>
          <w:bCs w:val="0"/>
        </w:rPr>
        <w:t>2022</w:t>
      </w:r>
      <w:r w:rsidRPr="00DA3766">
        <w:rPr>
          <w:b w:val="0"/>
          <w:bCs w:val="0"/>
        </w:rPr>
        <w:t>年全部完成，报告期内标的公司费用的变动不构成股份支付，不存在通过低价入股替代股份支付费用的情形，标的公司最近三年增减资及股权转让情况</w:t>
      </w:r>
      <w:r w:rsidR="00176D50" w:rsidRPr="00DA3766">
        <w:rPr>
          <w:b w:val="0"/>
          <w:bCs w:val="0"/>
        </w:rPr>
        <w:t>。股份支付费用计提情况详</w:t>
      </w:r>
      <w:r w:rsidRPr="00DA3766">
        <w:rPr>
          <w:b w:val="0"/>
          <w:bCs w:val="0"/>
        </w:rPr>
        <w:t>见本</w:t>
      </w:r>
      <w:r w:rsidR="00CB5B1C" w:rsidRPr="00DA3766">
        <w:rPr>
          <w:b w:val="0"/>
          <w:bCs w:val="0"/>
        </w:rPr>
        <w:t>回复</w:t>
      </w:r>
      <w:r w:rsidRPr="00DA3766">
        <w:rPr>
          <w:rFonts w:ascii="宋体" w:hAnsi="宋体"/>
          <w:b w:val="0"/>
          <w:bCs w:val="0"/>
        </w:rPr>
        <w:t>“</w:t>
      </w:r>
      <w:r w:rsidRPr="00DA3766">
        <w:rPr>
          <w:b w:val="0"/>
          <w:bCs w:val="0"/>
        </w:rPr>
        <w:t>问题</w:t>
      </w:r>
      <w:r w:rsidR="00782906" w:rsidRPr="00DA3766">
        <w:rPr>
          <w:b w:val="0"/>
          <w:bCs w:val="0"/>
        </w:rPr>
        <w:t>8</w:t>
      </w:r>
      <w:r w:rsidRPr="00DA3766">
        <w:rPr>
          <w:b w:val="0"/>
          <w:bCs w:val="0"/>
        </w:rPr>
        <w:t>、关于</w:t>
      </w:r>
      <w:r w:rsidR="00782906" w:rsidRPr="00DA3766">
        <w:rPr>
          <w:b w:val="0"/>
          <w:bCs w:val="0"/>
        </w:rPr>
        <w:t>标的资产的历史沿革</w:t>
      </w:r>
      <w:r w:rsidRPr="00DA3766">
        <w:rPr>
          <w:rFonts w:ascii="宋体" w:hAnsi="宋体"/>
          <w:b w:val="0"/>
          <w:bCs w:val="0"/>
        </w:rPr>
        <w:t>”</w:t>
      </w:r>
      <w:r w:rsidRPr="00DA3766">
        <w:rPr>
          <w:b w:val="0"/>
          <w:bCs w:val="0"/>
        </w:rPr>
        <w:t>之</w:t>
      </w:r>
      <w:r w:rsidRPr="00DA3766">
        <w:rPr>
          <w:rFonts w:ascii="宋体" w:hAnsi="宋体"/>
          <w:b w:val="0"/>
          <w:bCs w:val="0"/>
        </w:rPr>
        <w:t>“</w:t>
      </w:r>
      <w:r w:rsidR="00782906" w:rsidRPr="00DA3766">
        <w:rPr>
          <w:b w:val="0"/>
          <w:bCs w:val="0"/>
        </w:rPr>
        <w:t>一、详细列示补充标的资产及前身历次增资及股权转让的具体情况，作价是否公允，标的资产管理层及相关持股平台入股是否存在股份支付，股份支付费用计提是否准确，申报文件中相关财务数据是否准确。</w:t>
      </w:r>
      <w:r w:rsidRPr="00DA3766">
        <w:rPr>
          <w:rFonts w:ascii="宋体" w:hAnsi="宋体"/>
          <w:b w:val="0"/>
          <w:bCs w:val="0"/>
        </w:rPr>
        <w:t>”</w:t>
      </w:r>
      <w:r w:rsidR="00782906" w:rsidRPr="00DA3766">
        <w:rPr>
          <w:b w:val="0"/>
          <w:bCs w:val="0"/>
        </w:rPr>
        <w:t>之</w:t>
      </w:r>
      <w:r w:rsidR="00782906" w:rsidRPr="00DA3766">
        <w:rPr>
          <w:rFonts w:ascii="宋体" w:hAnsi="宋体"/>
          <w:b w:val="0"/>
          <w:bCs w:val="0"/>
        </w:rPr>
        <w:t>“</w:t>
      </w:r>
      <w:r w:rsidR="00782906" w:rsidRPr="00DA3766">
        <w:rPr>
          <w:b w:val="0"/>
          <w:bCs w:val="0"/>
        </w:rPr>
        <w:t>（二）标的资产管理层及相关持股平台入股是否存在股份支付，股份支付费用计提是否准确，申报文件中相关财务数据是否准确</w:t>
      </w:r>
      <w:r w:rsidR="00782906" w:rsidRPr="00DA3766">
        <w:rPr>
          <w:rFonts w:ascii="宋体" w:hAnsi="宋体"/>
          <w:b w:val="0"/>
          <w:bCs w:val="0"/>
        </w:rPr>
        <w:t>”</w:t>
      </w:r>
      <w:r w:rsidRPr="00DA3766">
        <w:rPr>
          <w:b w:val="0"/>
          <w:bCs w:val="0"/>
        </w:rPr>
        <w:t>的相关内容。</w:t>
      </w:r>
    </w:p>
    <w:p w14:paraId="2177AAE2" w14:textId="3EB43C0B" w:rsidR="00AB3394" w:rsidRPr="00DA3766" w:rsidRDefault="00AB3394" w:rsidP="00AB3394">
      <w:pPr>
        <w:pStyle w:val="002"/>
        <w:spacing w:before="120" w:after="120"/>
        <w:ind w:firstLine="482"/>
      </w:pPr>
      <w:r w:rsidRPr="00DA3766">
        <w:lastRenderedPageBreak/>
        <w:t>十一、</w:t>
      </w:r>
      <w:r w:rsidR="00E81C05" w:rsidRPr="00DA3766">
        <w:t>结合前述分析以及其他损益类科目变动情况，量化分析标的资产</w:t>
      </w:r>
      <w:r w:rsidR="00E81C05" w:rsidRPr="00DA3766">
        <w:t>2023</w:t>
      </w:r>
      <w:r w:rsidR="00E81C05" w:rsidRPr="00DA3766">
        <w:t>年增收不增利、报告期内存在业绩波动的原因及合理性</w:t>
      </w:r>
    </w:p>
    <w:p w14:paraId="36AA8F52" w14:textId="77777777" w:rsidR="007921C1" w:rsidRPr="00DA3766" w:rsidRDefault="007921C1" w:rsidP="00DA3766">
      <w:pPr>
        <w:spacing w:before="120" w:afterLines="0" w:after="120"/>
        <w:ind w:firstLine="480"/>
        <w:jc w:val="both"/>
        <w:rPr>
          <w:rFonts w:ascii="Times New Roman" w:hAnsi="Times New Roman" w:cs="Times New Roman"/>
        </w:rPr>
      </w:pPr>
      <w:r w:rsidRPr="00DA3766">
        <w:rPr>
          <w:rFonts w:ascii="Times New Roman" w:hAnsi="Times New Roman" w:cs="Times New Roman"/>
        </w:rPr>
        <w:t>报告期内，标的公司利润表各项目情况如下：</w:t>
      </w:r>
    </w:p>
    <w:p w14:paraId="48490F6F" w14:textId="77777777" w:rsidR="007921C1" w:rsidRPr="00DA3766" w:rsidRDefault="007921C1" w:rsidP="007921C1">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5"/>
        <w:gridCol w:w="1815"/>
        <w:gridCol w:w="1813"/>
      </w:tblGrid>
      <w:tr w:rsidR="007921C1" w:rsidRPr="00DA3766" w14:paraId="11B90D0A" w14:textId="77777777" w:rsidTr="00DA3766">
        <w:trPr>
          <w:trHeight w:val="397"/>
          <w:tblHeader/>
          <w:jc w:val="center"/>
        </w:trPr>
        <w:tc>
          <w:tcPr>
            <w:tcW w:w="3085" w:type="dxa"/>
            <w:tcMar>
              <w:top w:w="0" w:type="dxa"/>
              <w:left w:w="108" w:type="dxa"/>
              <w:bottom w:w="0" w:type="dxa"/>
              <w:right w:w="108" w:type="dxa"/>
            </w:tcMar>
            <w:vAlign w:val="center"/>
          </w:tcPr>
          <w:p w14:paraId="35E1FC94"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815" w:type="dxa"/>
            <w:tcMar>
              <w:top w:w="0" w:type="dxa"/>
              <w:left w:w="108" w:type="dxa"/>
              <w:bottom w:w="0" w:type="dxa"/>
              <w:right w:w="108" w:type="dxa"/>
            </w:tcMar>
            <w:vAlign w:val="center"/>
          </w:tcPr>
          <w:p w14:paraId="39A378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815" w:type="dxa"/>
            <w:tcMar>
              <w:top w:w="0" w:type="dxa"/>
              <w:left w:w="108" w:type="dxa"/>
              <w:bottom w:w="0" w:type="dxa"/>
              <w:right w:w="108" w:type="dxa"/>
            </w:tcMar>
            <w:vAlign w:val="center"/>
          </w:tcPr>
          <w:p w14:paraId="4F5D6147"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813" w:type="dxa"/>
            <w:tcMar>
              <w:top w:w="0" w:type="dxa"/>
              <w:left w:w="108" w:type="dxa"/>
              <w:bottom w:w="0" w:type="dxa"/>
              <w:right w:w="108" w:type="dxa"/>
            </w:tcMar>
            <w:vAlign w:val="center"/>
          </w:tcPr>
          <w:p w14:paraId="4C69CBB7"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7921C1" w:rsidRPr="00DA3766" w14:paraId="39E17D94" w14:textId="77777777" w:rsidTr="00DA3766">
        <w:trPr>
          <w:trHeight w:val="397"/>
          <w:jc w:val="center"/>
        </w:trPr>
        <w:tc>
          <w:tcPr>
            <w:tcW w:w="3085" w:type="dxa"/>
            <w:tcMar>
              <w:top w:w="0" w:type="dxa"/>
              <w:left w:w="108" w:type="dxa"/>
              <w:bottom w:w="0" w:type="dxa"/>
              <w:right w:w="108" w:type="dxa"/>
            </w:tcMar>
            <w:vAlign w:val="center"/>
          </w:tcPr>
          <w:p w14:paraId="0335FF2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一、营业收入</w:t>
            </w:r>
          </w:p>
        </w:tc>
        <w:tc>
          <w:tcPr>
            <w:tcW w:w="1815" w:type="dxa"/>
            <w:tcMar>
              <w:top w:w="0" w:type="dxa"/>
              <w:left w:w="108" w:type="dxa"/>
              <w:bottom w:w="0" w:type="dxa"/>
              <w:right w:w="108" w:type="dxa"/>
            </w:tcMar>
            <w:vAlign w:val="center"/>
          </w:tcPr>
          <w:p w14:paraId="4989DEFF"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24,799.86</w:t>
            </w:r>
          </w:p>
        </w:tc>
        <w:tc>
          <w:tcPr>
            <w:tcW w:w="1815" w:type="dxa"/>
            <w:tcMar>
              <w:top w:w="0" w:type="dxa"/>
              <w:left w:w="108" w:type="dxa"/>
              <w:bottom w:w="0" w:type="dxa"/>
              <w:right w:w="108" w:type="dxa"/>
            </w:tcMar>
            <w:vAlign w:val="center"/>
          </w:tcPr>
          <w:p w14:paraId="493CAB1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44,716.44</w:t>
            </w:r>
          </w:p>
        </w:tc>
        <w:tc>
          <w:tcPr>
            <w:tcW w:w="1813" w:type="dxa"/>
            <w:tcMar>
              <w:top w:w="0" w:type="dxa"/>
              <w:left w:w="108" w:type="dxa"/>
              <w:bottom w:w="0" w:type="dxa"/>
              <w:right w:w="108" w:type="dxa"/>
            </w:tcMar>
            <w:vAlign w:val="center"/>
          </w:tcPr>
          <w:p w14:paraId="377C62A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38,501.66</w:t>
            </w:r>
          </w:p>
        </w:tc>
      </w:tr>
      <w:tr w:rsidR="007921C1" w:rsidRPr="00DA3766" w14:paraId="67CE8E85" w14:textId="77777777" w:rsidTr="00DA3766">
        <w:trPr>
          <w:trHeight w:val="397"/>
          <w:jc w:val="center"/>
        </w:trPr>
        <w:tc>
          <w:tcPr>
            <w:tcW w:w="3085" w:type="dxa"/>
            <w:tcMar>
              <w:top w:w="0" w:type="dxa"/>
              <w:left w:w="108" w:type="dxa"/>
              <w:bottom w:w="0" w:type="dxa"/>
              <w:right w:w="108" w:type="dxa"/>
            </w:tcMar>
            <w:vAlign w:val="center"/>
          </w:tcPr>
          <w:p w14:paraId="1A9B799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减：营业成本</w:t>
            </w:r>
          </w:p>
        </w:tc>
        <w:tc>
          <w:tcPr>
            <w:tcW w:w="1815" w:type="dxa"/>
            <w:tcMar>
              <w:top w:w="0" w:type="dxa"/>
              <w:left w:w="108" w:type="dxa"/>
              <w:bottom w:w="0" w:type="dxa"/>
              <w:right w:w="108" w:type="dxa"/>
            </w:tcMar>
            <w:vAlign w:val="center"/>
          </w:tcPr>
          <w:p w14:paraId="5994AC7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9,412.56</w:t>
            </w:r>
          </w:p>
        </w:tc>
        <w:tc>
          <w:tcPr>
            <w:tcW w:w="1815" w:type="dxa"/>
            <w:tcMar>
              <w:top w:w="0" w:type="dxa"/>
              <w:left w:w="108" w:type="dxa"/>
              <w:bottom w:w="0" w:type="dxa"/>
              <w:right w:w="108" w:type="dxa"/>
            </w:tcMar>
            <w:vAlign w:val="center"/>
          </w:tcPr>
          <w:p w14:paraId="37A9087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16,589.26</w:t>
            </w:r>
          </w:p>
        </w:tc>
        <w:tc>
          <w:tcPr>
            <w:tcW w:w="1813" w:type="dxa"/>
            <w:tcMar>
              <w:top w:w="0" w:type="dxa"/>
              <w:left w:w="108" w:type="dxa"/>
              <w:bottom w:w="0" w:type="dxa"/>
              <w:right w:w="108" w:type="dxa"/>
            </w:tcMar>
            <w:vAlign w:val="center"/>
          </w:tcPr>
          <w:p w14:paraId="6AB61EF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15,330.66</w:t>
            </w:r>
          </w:p>
        </w:tc>
      </w:tr>
      <w:tr w:rsidR="007921C1" w:rsidRPr="00DA3766" w14:paraId="02179B4E" w14:textId="77777777" w:rsidTr="00DA3766">
        <w:trPr>
          <w:trHeight w:val="397"/>
          <w:jc w:val="center"/>
        </w:trPr>
        <w:tc>
          <w:tcPr>
            <w:tcW w:w="3085" w:type="dxa"/>
            <w:tcMar>
              <w:top w:w="0" w:type="dxa"/>
              <w:left w:w="108" w:type="dxa"/>
              <w:bottom w:w="0" w:type="dxa"/>
              <w:right w:w="108" w:type="dxa"/>
            </w:tcMar>
            <w:vAlign w:val="center"/>
          </w:tcPr>
          <w:p w14:paraId="7A3E654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税金及附加</w:t>
            </w:r>
          </w:p>
        </w:tc>
        <w:tc>
          <w:tcPr>
            <w:tcW w:w="1815" w:type="dxa"/>
            <w:tcMar>
              <w:top w:w="0" w:type="dxa"/>
              <w:left w:w="108" w:type="dxa"/>
              <w:bottom w:w="0" w:type="dxa"/>
              <w:right w:w="108" w:type="dxa"/>
            </w:tcMar>
            <w:vAlign w:val="center"/>
          </w:tcPr>
          <w:p w14:paraId="46C009E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126.32</w:t>
            </w:r>
          </w:p>
        </w:tc>
        <w:tc>
          <w:tcPr>
            <w:tcW w:w="1815" w:type="dxa"/>
            <w:tcMar>
              <w:top w:w="0" w:type="dxa"/>
              <w:left w:w="108" w:type="dxa"/>
              <w:bottom w:w="0" w:type="dxa"/>
              <w:right w:w="108" w:type="dxa"/>
            </w:tcMar>
            <w:vAlign w:val="center"/>
          </w:tcPr>
          <w:p w14:paraId="50494DF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204.34</w:t>
            </w:r>
          </w:p>
        </w:tc>
        <w:tc>
          <w:tcPr>
            <w:tcW w:w="1813" w:type="dxa"/>
            <w:tcMar>
              <w:top w:w="0" w:type="dxa"/>
              <w:left w:w="108" w:type="dxa"/>
              <w:bottom w:w="0" w:type="dxa"/>
              <w:right w:w="108" w:type="dxa"/>
            </w:tcMar>
            <w:vAlign w:val="center"/>
          </w:tcPr>
          <w:p w14:paraId="2740F58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178.77</w:t>
            </w:r>
          </w:p>
        </w:tc>
      </w:tr>
      <w:tr w:rsidR="007921C1" w:rsidRPr="00DA3766" w14:paraId="504398BA" w14:textId="77777777" w:rsidTr="00DA3766">
        <w:trPr>
          <w:trHeight w:val="397"/>
          <w:jc w:val="center"/>
        </w:trPr>
        <w:tc>
          <w:tcPr>
            <w:tcW w:w="3085" w:type="dxa"/>
            <w:tcMar>
              <w:top w:w="0" w:type="dxa"/>
              <w:left w:w="108" w:type="dxa"/>
              <w:bottom w:w="0" w:type="dxa"/>
              <w:right w:w="108" w:type="dxa"/>
            </w:tcMar>
            <w:vAlign w:val="center"/>
          </w:tcPr>
          <w:p w14:paraId="5EADA45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销售费用</w:t>
            </w:r>
          </w:p>
        </w:tc>
        <w:tc>
          <w:tcPr>
            <w:tcW w:w="1815" w:type="dxa"/>
            <w:tcMar>
              <w:top w:w="0" w:type="dxa"/>
              <w:left w:w="108" w:type="dxa"/>
              <w:bottom w:w="0" w:type="dxa"/>
              <w:right w:w="108" w:type="dxa"/>
            </w:tcMar>
            <w:vAlign w:val="center"/>
          </w:tcPr>
          <w:p w14:paraId="4686E03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3,749.82</w:t>
            </w:r>
          </w:p>
        </w:tc>
        <w:tc>
          <w:tcPr>
            <w:tcW w:w="1815" w:type="dxa"/>
            <w:tcMar>
              <w:top w:w="0" w:type="dxa"/>
              <w:left w:w="108" w:type="dxa"/>
              <w:bottom w:w="0" w:type="dxa"/>
              <w:right w:w="108" w:type="dxa"/>
            </w:tcMar>
            <w:vAlign w:val="center"/>
          </w:tcPr>
          <w:p w14:paraId="3F53C44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7,083.27</w:t>
            </w:r>
          </w:p>
        </w:tc>
        <w:tc>
          <w:tcPr>
            <w:tcW w:w="1813" w:type="dxa"/>
            <w:tcMar>
              <w:top w:w="0" w:type="dxa"/>
              <w:left w:w="108" w:type="dxa"/>
              <w:bottom w:w="0" w:type="dxa"/>
              <w:right w:w="108" w:type="dxa"/>
            </w:tcMar>
            <w:vAlign w:val="center"/>
          </w:tcPr>
          <w:p w14:paraId="0B9E3AD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7,949.08</w:t>
            </w:r>
          </w:p>
        </w:tc>
      </w:tr>
      <w:tr w:rsidR="007921C1" w:rsidRPr="00DA3766" w14:paraId="21215BE1" w14:textId="77777777" w:rsidTr="00DA3766">
        <w:trPr>
          <w:trHeight w:val="397"/>
          <w:jc w:val="center"/>
        </w:trPr>
        <w:tc>
          <w:tcPr>
            <w:tcW w:w="3085" w:type="dxa"/>
            <w:tcMar>
              <w:top w:w="0" w:type="dxa"/>
              <w:left w:w="108" w:type="dxa"/>
              <w:bottom w:w="0" w:type="dxa"/>
              <w:right w:w="108" w:type="dxa"/>
            </w:tcMar>
            <w:vAlign w:val="center"/>
          </w:tcPr>
          <w:p w14:paraId="4C46FCDF"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管理费用</w:t>
            </w:r>
          </w:p>
        </w:tc>
        <w:tc>
          <w:tcPr>
            <w:tcW w:w="1815" w:type="dxa"/>
            <w:tcMar>
              <w:top w:w="0" w:type="dxa"/>
              <w:left w:w="108" w:type="dxa"/>
              <w:bottom w:w="0" w:type="dxa"/>
              <w:right w:w="108" w:type="dxa"/>
            </w:tcMar>
            <w:vAlign w:val="center"/>
          </w:tcPr>
          <w:p w14:paraId="5A5FE70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2,698.73</w:t>
            </w:r>
          </w:p>
        </w:tc>
        <w:tc>
          <w:tcPr>
            <w:tcW w:w="1815" w:type="dxa"/>
            <w:tcMar>
              <w:top w:w="0" w:type="dxa"/>
              <w:left w:w="108" w:type="dxa"/>
              <w:bottom w:w="0" w:type="dxa"/>
              <w:right w:w="108" w:type="dxa"/>
            </w:tcMar>
            <w:vAlign w:val="center"/>
          </w:tcPr>
          <w:p w14:paraId="2C2EE69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5,380.82</w:t>
            </w:r>
          </w:p>
        </w:tc>
        <w:tc>
          <w:tcPr>
            <w:tcW w:w="1813" w:type="dxa"/>
            <w:tcMar>
              <w:top w:w="0" w:type="dxa"/>
              <w:left w:w="108" w:type="dxa"/>
              <w:bottom w:w="0" w:type="dxa"/>
              <w:right w:w="108" w:type="dxa"/>
            </w:tcMar>
            <w:vAlign w:val="center"/>
          </w:tcPr>
          <w:p w14:paraId="1E50E9AD"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5,480.91</w:t>
            </w:r>
          </w:p>
        </w:tc>
      </w:tr>
      <w:tr w:rsidR="007921C1" w:rsidRPr="00DA3766" w14:paraId="49B8C1AF" w14:textId="77777777" w:rsidTr="00DA3766">
        <w:trPr>
          <w:trHeight w:val="397"/>
          <w:jc w:val="center"/>
        </w:trPr>
        <w:tc>
          <w:tcPr>
            <w:tcW w:w="3085" w:type="dxa"/>
            <w:tcMar>
              <w:top w:w="0" w:type="dxa"/>
              <w:left w:w="108" w:type="dxa"/>
              <w:bottom w:w="0" w:type="dxa"/>
              <w:right w:w="108" w:type="dxa"/>
            </w:tcMar>
            <w:vAlign w:val="center"/>
          </w:tcPr>
          <w:p w14:paraId="17CE8BE6"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研发费用</w:t>
            </w:r>
          </w:p>
        </w:tc>
        <w:tc>
          <w:tcPr>
            <w:tcW w:w="1815" w:type="dxa"/>
            <w:tcMar>
              <w:top w:w="0" w:type="dxa"/>
              <w:left w:w="108" w:type="dxa"/>
              <w:bottom w:w="0" w:type="dxa"/>
              <w:right w:w="108" w:type="dxa"/>
            </w:tcMar>
            <w:vAlign w:val="center"/>
          </w:tcPr>
          <w:p w14:paraId="69D9C32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3,110.71</w:t>
            </w:r>
          </w:p>
        </w:tc>
        <w:tc>
          <w:tcPr>
            <w:tcW w:w="1815" w:type="dxa"/>
            <w:tcMar>
              <w:top w:w="0" w:type="dxa"/>
              <w:left w:w="108" w:type="dxa"/>
              <w:bottom w:w="0" w:type="dxa"/>
              <w:right w:w="108" w:type="dxa"/>
            </w:tcMar>
            <w:vAlign w:val="center"/>
          </w:tcPr>
          <w:p w14:paraId="621FBB4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6,446.17</w:t>
            </w:r>
          </w:p>
        </w:tc>
        <w:tc>
          <w:tcPr>
            <w:tcW w:w="1813" w:type="dxa"/>
            <w:tcMar>
              <w:top w:w="0" w:type="dxa"/>
              <w:left w:w="108" w:type="dxa"/>
              <w:bottom w:w="0" w:type="dxa"/>
              <w:right w:w="108" w:type="dxa"/>
            </w:tcMar>
            <w:vAlign w:val="center"/>
          </w:tcPr>
          <w:p w14:paraId="765F868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7,072.82</w:t>
            </w:r>
          </w:p>
        </w:tc>
      </w:tr>
      <w:tr w:rsidR="007921C1" w:rsidRPr="00DA3766" w14:paraId="245F0119" w14:textId="77777777" w:rsidTr="00DA3766">
        <w:trPr>
          <w:trHeight w:val="397"/>
          <w:jc w:val="center"/>
        </w:trPr>
        <w:tc>
          <w:tcPr>
            <w:tcW w:w="3085" w:type="dxa"/>
            <w:tcMar>
              <w:top w:w="0" w:type="dxa"/>
              <w:left w:w="108" w:type="dxa"/>
              <w:bottom w:w="0" w:type="dxa"/>
              <w:right w:w="108" w:type="dxa"/>
            </w:tcMar>
            <w:vAlign w:val="center"/>
          </w:tcPr>
          <w:p w14:paraId="4FEB2BE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财务费用</w:t>
            </w:r>
          </w:p>
        </w:tc>
        <w:tc>
          <w:tcPr>
            <w:tcW w:w="1815" w:type="dxa"/>
            <w:tcMar>
              <w:top w:w="0" w:type="dxa"/>
              <w:left w:w="108" w:type="dxa"/>
              <w:bottom w:w="0" w:type="dxa"/>
              <w:right w:w="108" w:type="dxa"/>
            </w:tcMar>
            <w:vAlign w:val="center"/>
          </w:tcPr>
          <w:p w14:paraId="0C00ABF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5.58</w:t>
            </w:r>
          </w:p>
        </w:tc>
        <w:tc>
          <w:tcPr>
            <w:tcW w:w="1815" w:type="dxa"/>
            <w:tcMar>
              <w:top w:w="0" w:type="dxa"/>
              <w:left w:w="108" w:type="dxa"/>
              <w:bottom w:w="0" w:type="dxa"/>
              <w:right w:w="108" w:type="dxa"/>
            </w:tcMar>
            <w:vAlign w:val="center"/>
          </w:tcPr>
          <w:p w14:paraId="10D100A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-10.62</w:t>
            </w:r>
          </w:p>
        </w:tc>
        <w:tc>
          <w:tcPr>
            <w:tcW w:w="1813" w:type="dxa"/>
            <w:tcMar>
              <w:top w:w="0" w:type="dxa"/>
              <w:left w:w="108" w:type="dxa"/>
              <w:bottom w:w="0" w:type="dxa"/>
              <w:right w:w="108" w:type="dxa"/>
            </w:tcMar>
            <w:vAlign w:val="center"/>
          </w:tcPr>
          <w:p w14:paraId="3D13318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6.60</w:t>
            </w:r>
          </w:p>
        </w:tc>
      </w:tr>
      <w:tr w:rsidR="007921C1" w:rsidRPr="00DA3766" w14:paraId="5D8465CC" w14:textId="77777777" w:rsidTr="00DA3766">
        <w:trPr>
          <w:trHeight w:val="397"/>
          <w:jc w:val="center"/>
        </w:trPr>
        <w:tc>
          <w:tcPr>
            <w:tcW w:w="3085" w:type="dxa"/>
            <w:tcMar>
              <w:top w:w="0" w:type="dxa"/>
              <w:left w:w="108" w:type="dxa"/>
              <w:bottom w:w="0" w:type="dxa"/>
              <w:right w:w="108" w:type="dxa"/>
            </w:tcMar>
            <w:vAlign w:val="center"/>
          </w:tcPr>
          <w:p w14:paraId="6BB9F0C0"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加：其他收益</w:t>
            </w:r>
          </w:p>
        </w:tc>
        <w:tc>
          <w:tcPr>
            <w:tcW w:w="1815" w:type="dxa"/>
            <w:tcMar>
              <w:top w:w="0" w:type="dxa"/>
              <w:left w:w="108" w:type="dxa"/>
              <w:bottom w:w="0" w:type="dxa"/>
              <w:right w:w="108" w:type="dxa"/>
            </w:tcMar>
            <w:vAlign w:val="center"/>
          </w:tcPr>
          <w:p w14:paraId="5755D95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575.42</w:t>
            </w:r>
          </w:p>
        </w:tc>
        <w:tc>
          <w:tcPr>
            <w:tcW w:w="1815" w:type="dxa"/>
            <w:tcMar>
              <w:top w:w="0" w:type="dxa"/>
              <w:left w:w="108" w:type="dxa"/>
              <w:bottom w:w="0" w:type="dxa"/>
              <w:right w:w="108" w:type="dxa"/>
            </w:tcMar>
            <w:vAlign w:val="center"/>
          </w:tcPr>
          <w:p w14:paraId="137F54C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816.83</w:t>
            </w:r>
          </w:p>
        </w:tc>
        <w:tc>
          <w:tcPr>
            <w:tcW w:w="1813" w:type="dxa"/>
            <w:tcMar>
              <w:top w:w="0" w:type="dxa"/>
              <w:left w:w="108" w:type="dxa"/>
              <w:bottom w:w="0" w:type="dxa"/>
              <w:right w:w="108" w:type="dxa"/>
            </w:tcMar>
            <w:vAlign w:val="center"/>
          </w:tcPr>
          <w:p w14:paraId="16E4AB1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376.00</w:t>
            </w:r>
          </w:p>
        </w:tc>
      </w:tr>
      <w:tr w:rsidR="007921C1" w:rsidRPr="00DA3766" w14:paraId="60E51907" w14:textId="77777777" w:rsidTr="00DA3766">
        <w:trPr>
          <w:trHeight w:val="397"/>
          <w:jc w:val="center"/>
        </w:trPr>
        <w:tc>
          <w:tcPr>
            <w:tcW w:w="3085" w:type="dxa"/>
            <w:tcMar>
              <w:top w:w="0" w:type="dxa"/>
              <w:left w:w="108" w:type="dxa"/>
              <w:bottom w:w="0" w:type="dxa"/>
              <w:right w:w="108" w:type="dxa"/>
            </w:tcMar>
            <w:vAlign w:val="center"/>
          </w:tcPr>
          <w:p w14:paraId="3B423826"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投资收益</w:t>
            </w:r>
          </w:p>
        </w:tc>
        <w:tc>
          <w:tcPr>
            <w:tcW w:w="1815" w:type="dxa"/>
            <w:tcMar>
              <w:top w:w="0" w:type="dxa"/>
              <w:left w:w="108" w:type="dxa"/>
              <w:bottom w:w="0" w:type="dxa"/>
              <w:right w:w="108" w:type="dxa"/>
            </w:tcMar>
            <w:vAlign w:val="center"/>
          </w:tcPr>
          <w:p w14:paraId="7670D90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488.86</w:t>
            </w:r>
          </w:p>
        </w:tc>
        <w:tc>
          <w:tcPr>
            <w:tcW w:w="1815" w:type="dxa"/>
            <w:tcMar>
              <w:top w:w="0" w:type="dxa"/>
              <w:left w:w="108" w:type="dxa"/>
              <w:bottom w:w="0" w:type="dxa"/>
              <w:right w:w="108" w:type="dxa"/>
            </w:tcMar>
            <w:vAlign w:val="center"/>
          </w:tcPr>
          <w:p w14:paraId="6241D4F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851.74</w:t>
            </w:r>
          </w:p>
        </w:tc>
        <w:tc>
          <w:tcPr>
            <w:tcW w:w="1813" w:type="dxa"/>
            <w:tcMar>
              <w:top w:w="0" w:type="dxa"/>
              <w:left w:w="108" w:type="dxa"/>
              <w:bottom w:w="0" w:type="dxa"/>
              <w:right w:w="108" w:type="dxa"/>
            </w:tcMar>
            <w:vAlign w:val="center"/>
          </w:tcPr>
          <w:p w14:paraId="12945DF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821.95</w:t>
            </w:r>
          </w:p>
        </w:tc>
      </w:tr>
      <w:tr w:rsidR="007921C1" w:rsidRPr="00DA3766" w14:paraId="46F2B00D" w14:textId="77777777" w:rsidTr="00DA3766">
        <w:trPr>
          <w:trHeight w:val="397"/>
          <w:jc w:val="center"/>
        </w:trPr>
        <w:tc>
          <w:tcPr>
            <w:tcW w:w="3085" w:type="dxa"/>
            <w:tcMar>
              <w:top w:w="0" w:type="dxa"/>
              <w:left w:w="108" w:type="dxa"/>
              <w:bottom w:w="0" w:type="dxa"/>
              <w:right w:w="108" w:type="dxa"/>
            </w:tcMar>
            <w:vAlign w:val="center"/>
          </w:tcPr>
          <w:p w14:paraId="4FFE1502"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公允价值变动收益</w:t>
            </w:r>
          </w:p>
        </w:tc>
        <w:tc>
          <w:tcPr>
            <w:tcW w:w="1815" w:type="dxa"/>
            <w:tcMar>
              <w:top w:w="0" w:type="dxa"/>
              <w:left w:w="108" w:type="dxa"/>
              <w:bottom w:w="0" w:type="dxa"/>
              <w:right w:w="108" w:type="dxa"/>
            </w:tcMar>
            <w:vAlign w:val="center"/>
          </w:tcPr>
          <w:p w14:paraId="6178C40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6.97</w:t>
            </w:r>
          </w:p>
        </w:tc>
        <w:tc>
          <w:tcPr>
            <w:tcW w:w="1815" w:type="dxa"/>
            <w:tcMar>
              <w:top w:w="0" w:type="dxa"/>
              <w:left w:w="108" w:type="dxa"/>
              <w:bottom w:w="0" w:type="dxa"/>
              <w:right w:w="108" w:type="dxa"/>
            </w:tcMar>
            <w:vAlign w:val="center"/>
          </w:tcPr>
          <w:p w14:paraId="7105BD6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-89.44</w:t>
            </w:r>
          </w:p>
        </w:tc>
        <w:tc>
          <w:tcPr>
            <w:tcW w:w="1813" w:type="dxa"/>
            <w:tcMar>
              <w:top w:w="0" w:type="dxa"/>
              <w:left w:w="108" w:type="dxa"/>
              <w:bottom w:w="0" w:type="dxa"/>
              <w:right w:w="108" w:type="dxa"/>
            </w:tcMar>
            <w:vAlign w:val="center"/>
          </w:tcPr>
          <w:p w14:paraId="0440D9DD"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45.10</w:t>
            </w:r>
          </w:p>
        </w:tc>
      </w:tr>
      <w:tr w:rsidR="007921C1" w:rsidRPr="00DA3766" w14:paraId="2B89F402" w14:textId="77777777" w:rsidTr="00DA3766">
        <w:trPr>
          <w:trHeight w:val="397"/>
          <w:jc w:val="center"/>
        </w:trPr>
        <w:tc>
          <w:tcPr>
            <w:tcW w:w="3085" w:type="dxa"/>
            <w:tcMar>
              <w:top w:w="0" w:type="dxa"/>
              <w:left w:w="108" w:type="dxa"/>
              <w:bottom w:w="0" w:type="dxa"/>
              <w:right w:w="108" w:type="dxa"/>
            </w:tcMar>
            <w:vAlign w:val="center"/>
          </w:tcPr>
          <w:p w14:paraId="6758C87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信用减值损失</w:t>
            </w:r>
          </w:p>
        </w:tc>
        <w:tc>
          <w:tcPr>
            <w:tcW w:w="1815" w:type="dxa"/>
            <w:tcMar>
              <w:top w:w="0" w:type="dxa"/>
              <w:left w:w="108" w:type="dxa"/>
              <w:bottom w:w="0" w:type="dxa"/>
              <w:right w:w="108" w:type="dxa"/>
            </w:tcMar>
            <w:vAlign w:val="center"/>
          </w:tcPr>
          <w:p w14:paraId="540FBD6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-228.56</w:t>
            </w:r>
          </w:p>
        </w:tc>
        <w:tc>
          <w:tcPr>
            <w:tcW w:w="1815" w:type="dxa"/>
            <w:tcMar>
              <w:top w:w="0" w:type="dxa"/>
              <w:left w:w="108" w:type="dxa"/>
              <w:bottom w:w="0" w:type="dxa"/>
              <w:right w:w="108" w:type="dxa"/>
            </w:tcMar>
            <w:vAlign w:val="center"/>
          </w:tcPr>
          <w:p w14:paraId="7AE2AE8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-212.03</w:t>
            </w:r>
          </w:p>
        </w:tc>
        <w:tc>
          <w:tcPr>
            <w:tcW w:w="1813" w:type="dxa"/>
            <w:tcMar>
              <w:top w:w="0" w:type="dxa"/>
              <w:left w:w="108" w:type="dxa"/>
              <w:bottom w:w="0" w:type="dxa"/>
              <w:right w:w="108" w:type="dxa"/>
            </w:tcMar>
            <w:vAlign w:val="center"/>
          </w:tcPr>
          <w:p w14:paraId="654F3AA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-117.35</w:t>
            </w:r>
          </w:p>
        </w:tc>
      </w:tr>
      <w:tr w:rsidR="007921C1" w:rsidRPr="00DA3766" w14:paraId="7882297B" w14:textId="77777777" w:rsidTr="00DA3766">
        <w:trPr>
          <w:trHeight w:val="397"/>
          <w:jc w:val="center"/>
        </w:trPr>
        <w:tc>
          <w:tcPr>
            <w:tcW w:w="3085" w:type="dxa"/>
            <w:tcMar>
              <w:top w:w="0" w:type="dxa"/>
              <w:left w:w="108" w:type="dxa"/>
              <w:bottom w:w="0" w:type="dxa"/>
              <w:right w:w="108" w:type="dxa"/>
            </w:tcMar>
            <w:vAlign w:val="center"/>
          </w:tcPr>
          <w:p w14:paraId="6662B44F"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资产减值损失</w:t>
            </w:r>
          </w:p>
        </w:tc>
        <w:tc>
          <w:tcPr>
            <w:tcW w:w="1815" w:type="dxa"/>
            <w:tcMar>
              <w:top w:w="0" w:type="dxa"/>
              <w:left w:w="108" w:type="dxa"/>
              <w:bottom w:w="0" w:type="dxa"/>
              <w:right w:w="108" w:type="dxa"/>
            </w:tcMar>
            <w:vAlign w:val="center"/>
          </w:tcPr>
          <w:p w14:paraId="73AC34C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12.79</w:t>
            </w:r>
          </w:p>
        </w:tc>
        <w:tc>
          <w:tcPr>
            <w:tcW w:w="1815" w:type="dxa"/>
            <w:tcMar>
              <w:top w:w="0" w:type="dxa"/>
              <w:left w:w="108" w:type="dxa"/>
              <w:bottom w:w="0" w:type="dxa"/>
              <w:right w:w="108" w:type="dxa"/>
            </w:tcMar>
            <w:vAlign w:val="center"/>
          </w:tcPr>
          <w:p w14:paraId="3070CC3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-312.53</w:t>
            </w:r>
          </w:p>
        </w:tc>
        <w:tc>
          <w:tcPr>
            <w:tcW w:w="1813" w:type="dxa"/>
            <w:tcMar>
              <w:top w:w="0" w:type="dxa"/>
              <w:left w:w="108" w:type="dxa"/>
              <w:bottom w:w="0" w:type="dxa"/>
              <w:right w:w="108" w:type="dxa"/>
            </w:tcMar>
            <w:vAlign w:val="center"/>
          </w:tcPr>
          <w:p w14:paraId="72566C3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-733.40</w:t>
            </w:r>
          </w:p>
        </w:tc>
      </w:tr>
      <w:tr w:rsidR="007921C1" w:rsidRPr="00DA3766" w14:paraId="352FDAF6" w14:textId="77777777" w:rsidTr="00DA3766">
        <w:trPr>
          <w:trHeight w:val="397"/>
          <w:jc w:val="center"/>
        </w:trPr>
        <w:tc>
          <w:tcPr>
            <w:tcW w:w="3085" w:type="dxa"/>
            <w:tcMar>
              <w:top w:w="0" w:type="dxa"/>
              <w:left w:w="108" w:type="dxa"/>
              <w:bottom w:w="0" w:type="dxa"/>
              <w:right w:w="108" w:type="dxa"/>
            </w:tcMar>
            <w:vAlign w:val="center"/>
          </w:tcPr>
          <w:p w14:paraId="347E5A2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资产处置收益</w:t>
            </w:r>
          </w:p>
        </w:tc>
        <w:tc>
          <w:tcPr>
            <w:tcW w:w="1815" w:type="dxa"/>
            <w:tcMar>
              <w:top w:w="0" w:type="dxa"/>
              <w:left w:w="108" w:type="dxa"/>
              <w:bottom w:w="0" w:type="dxa"/>
              <w:right w:w="108" w:type="dxa"/>
            </w:tcMar>
            <w:vAlign w:val="center"/>
          </w:tcPr>
          <w:p w14:paraId="6E567259"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w:t>
            </w:r>
          </w:p>
        </w:tc>
        <w:tc>
          <w:tcPr>
            <w:tcW w:w="1815" w:type="dxa"/>
            <w:tcMar>
              <w:top w:w="0" w:type="dxa"/>
              <w:left w:w="108" w:type="dxa"/>
              <w:bottom w:w="0" w:type="dxa"/>
              <w:right w:w="108" w:type="dxa"/>
            </w:tcMar>
            <w:vAlign w:val="center"/>
          </w:tcPr>
          <w:p w14:paraId="056D9FC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-3.46</w:t>
            </w:r>
          </w:p>
        </w:tc>
        <w:tc>
          <w:tcPr>
            <w:tcW w:w="1813" w:type="dxa"/>
            <w:tcMar>
              <w:top w:w="0" w:type="dxa"/>
              <w:left w:w="108" w:type="dxa"/>
              <w:bottom w:w="0" w:type="dxa"/>
              <w:right w:w="108" w:type="dxa"/>
            </w:tcMar>
            <w:vAlign w:val="center"/>
          </w:tcPr>
          <w:p w14:paraId="5997F21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7.36</w:t>
            </w:r>
          </w:p>
        </w:tc>
      </w:tr>
      <w:tr w:rsidR="007921C1" w:rsidRPr="00DA3766" w14:paraId="3442908F" w14:textId="77777777" w:rsidTr="00DA3766">
        <w:trPr>
          <w:trHeight w:val="397"/>
          <w:jc w:val="center"/>
        </w:trPr>
        <w:tc>
          <w:tcPr>
            <w:tcW w:w="3085" w:type="dxa"/>
            <w:tcMar>
              <w:top w:w="0" w:type="dxa"/>
              <w:left w:w="108" w:type="dxa"/>
              <w:bottom w:w="0" w:type="dxa"/>
              <w:right w:w="108" w:type="dxa"/>
            </w:tcMar>
            <w:vAlign w:val="center"/>
          </w:tcPr>
          <w:p w14:paraId="07EFF174"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二、营业利润</w:t>
            </w:r>
          </w:p>
        </w:tc>
        <w:tc>
          <w:tcPr>
            <w:tcW w:w="1815" w:type="dxa"/>
            <w:tcMar>
              <w:top w:w="0" w:type="dxa"/>
              <w:left w:w="108" w:type="dxa"/>
              <w:bottom w:w="0" w:type="dxa"/>
              <w:right w:w="108" w:type="dxa"/>
            </w:tcMar>
            <w:vAlign w:val="center"/>
          </w:tcPr>
          <w:p w14:paraId="1B0E99B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6,551.62</w:t>
            </w:r>
          </w:p>
        </w:tc>
        <w:tc>
          <w:tcPr>
            <w:tcW w:w="1815" w:type="dxa"/>
            <w:tcMar>
              <w:top w:w="0" w:type="dxa"/>
              <w:left w:w="108" w:type="dxa"/>
              <w:bottom w:w="0" w:type="dxa"/>
              <w:right w:w="108" w:type="dxa"/>
            </w:tcMar>
            <w:vAlign w:val="center"/>
          </w:tcPr>
          <w:p w14:paraId="1A2B487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10,074.31</w:t>
            </w:r>
          </w:p>
        </w:tc>
        <w:tc>
          <w:tcPr>
            <w:tcW w:w="1813" w:type="dxa"/>
            <w:tcMar>
              <w:top w:w="0" w:type="dxa"/>
              <w:left w:w="108" w:type="dxa"/>
              <w:bottom w:w="0" w:type="dxa"/>
              <w:right w:w="108" w:type="dxa"/>
            </w:tcMar>
            <w:vAlign w:val="center"/>
          </w:tcPr>
          <w:p w14:paraId="0987A7F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2,882.47</w:t>
            </w:r>
          </w:p>
        </w:tc>
      </w:tr>
      <w:tr w:rsidR="007921C1" w:rsidRPr="00DA3766" w14:paraId="1179F1BE" w14:textId="77777777" w:rsidTr="00DA3766">
        <w:trPr>
          <w:trHeight w:val="397"/>
          <w:jc w:val="center"/>
        </w:trPr>
        <w:tc>
          <w:tcPr>
            <w:tcW w:w="3085" w:type="dxa"/>
            <w:tcMar>
              <w:top w:w="0" w:type="dxa"/>
              <w:left w:w="108" w:type="dxa"/>
              <w:bottom w:w="0" w:type="dxa"/>
              <w:right w:w="108" w:type="dxa"/>
            </w:tcMar>
            <w:vAlign w:val="center"/>
          </w:tcPr>
          <w:p w14:paraId="78B086C7"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加：营业外收入</w:t>
            </w:r>
          </w:p>
        </w:tc>
        <w:tc>
          <w:tcPr>
            <w:tcW w:w="1815" w:type="dxa"/>
            <w:tcMar>
              <w:top w:w="0" w:type="dxa"/>
              <w:left w:w="108" w:type="dxa"/>
              <w:bottom w:w="0" w:type="dxa"/>
              <w:right w:w="108" w:type="dxa"/>
            </w:tcMar>
            <w:vAlign w:val="center"/>
          </w:tcPr>
          <w:p w14:paraId="272F6F6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2.17</w:t>
            </w:r>
          </w:p>
        </w:tc>
        <w:tc>
          <w:tcPr>
            <w:tcW w:w="1815" w:type="dxa"/>
            <w:tcMar>
              <w:top w:w="0" w:type="dxa"/>
              <w:left w:w="108" w:type="dxa"/>
              <w:bottom w:w="0" w:type="dxa"/>
              <w:right w:w="108" w:type="dxa"/>
            </w:tcMar>
            <w:vAlign w:val="center"/>
          </w:tcPr>
          <w:p w14:paraId="61D1F75E"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134.04</w:t>
            </w:r>
          </w:p>
        </w:tc>
        <w:tc>
          <w:tcPr>
            <w:tcW w:w="1813" w:type="dxa"/>
            <w:tcMar>
              <w:top w:w="0" w:type="dxa"/>
              <w:left w:w="108" w:type="dxa"/>
              <w:bottom w:w="0" w:type="dxa"/>
              <w:right w:w="108" w:type="dxa"/>
            </w:tcMar>
            <w:vAlign w:val="center"/>
          </w:tcPr>
          <w:p w14:paraId="4F0BC46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32.15</w:t>
            </w:r>
          </w:p>
        </w:tc>
      </w:tr>
      <w:tr w:rsidR="007921C1" w:rsidRPr="00DA3766" w14:paraId="4CCFBF50" w14:textId="77777777" w:rsidTr="00DA3766">
        <w:trPr>
          <w:trHeight w:val="397"/>
          <w:jc w:val="center"/>
        </w:trPr>
        <w:tc>
          <w:tcPr>
            <w:tcW w:w="3085" w:type="dxa"/>
            <w:tcMar>
              <w:top w:w="0" w:type="dxa"/>
              <w:left w:w="108" w:type="dxa"/>
              <w:bottom w:w="0" w:type="dxa"/>
              <w:right w:w="108" w:type="dxa"/>
            </w:tcMar>
            <w:vAlign w:val="center"/>
          </w:tcPr>
          <w:p w14:paraId="0E3BCF7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减：营业外支出</w:t>
            </w:r>
          </w:p>
        </w:tc>
        <w:tc>
          <w:tcPr>
            <w:tcW w:w="1815" w:type="dxa"/>
            <w:tcMar>
              <w:top w:w="0" w:type="dxa"/>
              <w:left w:w="108" w:type="dxa"/>
              <w:bottom w:w="0" w:type="dxa"/>
              <w:right w:w="108" w:type="dxa"/>
            </w:tcMar>
            <w:vAlign w:val="center"/>
          </w:tcPr>
          <w:p w14:paraId="27926F4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27.07</w:t>
            </w:r>
          </w:p>
        </w:tc>
        <w:tc>
          <w:tcPr>
            <w:tcW w:w="1815" w:type="dxa"/>
            <w:tcMar>
              <w:top w:w="0" w:type="dxa"/>
              <w:left w:w="108" w:type="dxa"/>
              <w:bottom w:w="0" w:type="dxa"/>
              <w:right w:w="108" w:type="dxa"/>
            </w:tcMar>
            <w:vAlign w:val="center"/>
          </w:tcPr>
          <w:p w14:paraId="37C3E45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21.63</w:t>
            </w:r>
          </w:p>
        </w:tc>
        <w:tc>
          <w:tcPr>
            <w:tcW w:w="1813" w:type="dxa"/>
            <w:tcMar>
              <w:top w:w="0" w:type="dxa"/>
              <w:left w:w="108" w:type="dxa"/>
              <w:bottom w:w="0" w:type="dxa"/>
              <w:right w:w="108" w:type="dxa"/>
            </w:tcMar>
            <w:vAlign w:val="center"/>
          </w:tcPr>
          <w:p w14:paraId="711BA68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26.01</w:t>
            </w:r>
          </w:p>
        </w:tc>
      </w:tr>
      <w:tr w:rsidR="007921C1" w:rsidRPr="00DA3766" w14:paraId="3A7CEF79" w14:textId="77777777" w:rsidTr="00DA3766">
        <w:trPr>
          <w:trHeight w:val="397"/>
          <w:jc w:val="center"/>
        </w:trPr>
        <w:tc>
          <w:tcPr>
            <w:tcW w:w="3085" w:type="dxa"/>
            <w:tcMar>
              <w:top w:w="0" w:type="dxa"/>
              <w:left w:w="108" w:type="dxa"/>
              <w:bottom w:w="0" w:type="dxa"/>
              <w:right w:w="108" w:type="dxa"/>
            </w:tcMar>
            <w:vAlign w:val="center"/>
          </w:tcPr>
          <w:p w14:paraId="58EB4417"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三、利润总额</w:t>
            </w:r>
          </w:p>
        </w:tc>
        <w:tc>
          <w:tcPr>
            <w:tcW w:w="1815" w:type="dxa"/>
            <w:tcMar>
              <w:top w:w="0" w:type="dxa"/>
              <w:left w:w="108" w:type="dxa"/>
              <w:bottom w:w="0" w:type="dxa"/>
              <w:right w:w="108" w:type="dxa"/>
            </w:tcMar>
            <w:vAlign w:val="center"/>
          </w:tcPr>
          <w:p w14:paraId="54A0130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6,526.72</w:t>
            </w:r>
          </w:p>
        </w:tc>
        <w:tc>
          <w:tcPr>
            <w:tcW w:w="1815" w:type="dxa"/>
            <w:tcMar>
              <w:top w:w="0" w:type="dxa"/>
              <w:left w:w="108" w:type="dxa"/>
              <w:bottom w:w="0" w:type="dxa"/>
              <w:right w:w="108" w:type="dxa"/>
            </w:tcMar>
            <w:vAlign w:val="center"/>
          </w:tcPr>
          <w:p w14:paraId="1C05CF6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10,186.71</w:t>
            </w:r>
          </w:p>
        </w:tc>
        <w:tc>
          <w:tcPr>
            <w:tcW w:w="1813" w:type="dxa"/>
            <w:tcMar>
              <w:top w:w="0" w:type="dxa"/>
              <w:left w:w="108" w:type="dxa"/>
              <w:bottom w:w="0" w:type="dxa"/>
              <w:right w:w="108" w:type="dxa"/>
            </w:tcMar>
            <w:vAlign w:val="center"/>
          </w:tcPr>
          <w:p w14:paraId="25F170B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2,888.60</w:t>
            </w:r>
          </w:p>
        </w:tc>
      </w:tr>
      <w:tr w:rsidR="007921C1" w:rsidRPr="00DA3766" w14:paraId="294C6320" w14:textId="77777777" w:rsidTr="00DA3766">
        <w:trPr>
          <w:trHeight w:val="397"/>
          <w:jc w:val="center"/>
        </w:trPr>
        <w:tc>
          <w:tcPr>
            <w:tcW w:w="3085" w:type="dxa"/>
            <w:tcMar>
              <w:top w:w="0" w:type="dxa"/>
              <w:left w:w="108" w:type="dxa"/>
              <w:bottom w:w="0" w:type="dxa"/>
              <w:right w:w="108" w:type="dxa"/>
            </w:tcMar>
            <w:vAlign w:val="center"/>
          </w:tcPr>
          <w:p w14:paraId="65FBBF22"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减：所得税费用</w:t>
            </w:r>
          </w:p>
        </w:tc>
        <w:tc>
          <w:tcPr>
            <w:tcW w:w="1815" w:type="dxa"/>
            <w:tcMar>
              <w:top w:w="0" w:type="dxa"/>
              <w:left w:w="108" w:type="dxa"/>
              <w:bottom w:w="0" w:type="dxa"/>
              <w:right w:w="108" w:type="dxa"/>
            </w:tcMar>
            <w:vAlign w:val="center"/>
          </w:tcPr>
          <w:p w14:paraId="05E074D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485.28</w:t>
            </w:r>
          </w:p>
        </w:tc>
        <w:tc>
          <w:tcPr>
            <w:tcW w:w="1815" w:type="dxa"/>
            <w:tcMar>
              <w:top w:w="0" w:type="dxa"/>
              <w:left w:w="108" w:type="dxa"/>
              <w:bottom w:w="0" w:type="dxa"/>
              <w:right w:w="108" w:type="dxa"/>
            </w:tcMar>
            <w:vAlign w:val="center"/>
          </w:tcPr>
          <w:p w14:paraId="0EEE13E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719.76</w:t>
            </w:r>
          </w:p>
        </w:tc>
        <w:tc>
          <w:tcPr>
            <w:tcW w:w="1813" w:type="dxa"/>
            <w:tcMar>
              <w:top w:w="0" w:type="dxa"/>
              <w:left w:w="108" w:type="dxa"/>
              <w:bottom w:w="0" w:type="dxa"/>
              <w:right w:w="108" w:type="dxa"/>
            </w:tcMar>
            <w:vAlign w:val="center"/>
          </w:tcPr>
          <w:p w14:paraId="5E7E2B3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-480.67</w:t>
            </w:r>
          </w:p>
        </w:tc>
      </w:tr>
      <w:tr w:rsidR="007921C1" w:rsidRPr="00DA3766" w14:paraId="1E2D7EED" w14:textId="77777777" w:rsidTr="00DA3766">
        <w:trPr>
          <w:trHeight w:val="397"/>
          <w:jc w:val="center"/>
        </w:trPr>
        <w:tc>
          <w:tcPr>
            <w:tcW w:w="3085" w:type="dxa"/>
            <w:tcMar>
              <w:top w:w="0" w:type="dxa"/>
              <w:left w:w="108" w:type="dxa"/>
              <w:bottom w:w="0" w:type="dxa"/>
              <w:right w:w="108" w:type="dxa"/>
            </w:tcMar>
            <w:vAlign w:val="center"/>
          </w:tcPr>
          <w:p w14:paraId="7283986A"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四、净利润</w:t>
            </w:r>
          </w:p>
        </w:tc>
        <w:tc>
          <w:tcPr>
            <w:tcW w:w="1815" w:type="dxa"/>
            <w:tcMar>
              <w:top w:w="0" w:type="dxa"/>
              <w:left w:w="108" w:type="dxa"/>
              <w:bottom w:w="0" w:type="dxa"/>
              <w:right w:w="108" w:type="dxa"/>
            </w:tcMar>
            <w:vAlign w:val="center"/>
          </w:tcPr>
          <w:p w14:paraId="3D7B19E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6,041.44</w:t>
            </w:r>
          </w:p>
        </w:tc>
        <w:tc>
          <w:tcPr>
            <w:tcW w:w="1815" w:type="dxa"/>
            <w:tcMar>
              <w:top w:w="0" w:type="dxa"/>
              <w:left w:w="108" w:type="dxa"/>
              <w:bottom w:w="0" w:type="dxa"/>
              <w:right w:w="108" w:type="dxa"/>
            </w:tcMar>
            <w:vAlign w:val="center"/>
          </w:tcPr>
          <w:p w14:paraId="369CEB3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9,466.96</w:t>
            </w:r>
          </w:p>
        </w:tc>
        <w:tc>
          <w:tcPr>
            <w:tcW w:w="1813" w:type="dxa"/>
            <w:tcMar>
              <w:top w:w="0" w:type="dxa"/>
              <w:left w:w="108" w:type="dxa"/>
              <w:bottom w:w="0" w:type="dxa"/>
              <w:right w:w="108" w:type="dxa"/>
            </w:tcMar>
            <w:vAlign w:val="center"/>
          </w:tcPr>
          <w:p w14:paraId="3CF856F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3,369.27</w:t>
            </w:r>
          </w:p>
        </w:tc>
      </w:tr>
      <w:tr w:rsidR="007921C1" w:rsidRPr="00DA3766" w14:paraId="3E4E00DA" w14:textId="77777777" w:rsidTr="00DA3766">
        <w:trPr>
          <w:trHeight w:val="397"/>
          <w:jc w:val="center"/>
        </w:trPr>
        <w:tc>
          <w:tcPr>
            <w:tcW w:w="3085" w:type="dxa"/>
            <w:tcMar>
              <w:top w:w="0" w:type="dxa"/>
              <w:left w:w="108" w:type="dxa"/>
              <w:bottom w:w="0" w:type="dxa"/>
              <w:right w:w="108" w:type="dxa"/>
            </w:tcMar>
            <w:vAlign w:val="center"/>
          </w:tcPr>
          <w:p w14:paraId="526B163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归属于母公司所有者的净利润</w:t>
            </w:r>
          </w:p>
        </w:tc>
        <w:tc>
          <w:tcPr>
            <w:tcW w:w="1815" w:type="dxa"/>
            <w:tcMar>
              <w:top w:w="0" w:type="dxa"/>
              <w:left w:w="108" w:type="dxa"/>
              <w:bottom w:w="0" w:type="dxa"/>
              <w:right w:w="108" w:type="dxa"/>
            </w:tcMar>
            <w:vAlign w:val="center"/>
          </w:tcPr>
          <w:p w14:paraId="7140778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5,456.63</w:t>
            </w:r>
          </w:p>
        </w:tc>
        <w:tc>
          <w:tcPr>
            <w:tcW w:w="1815" w:type="dxa"/>
            <w:tcMar>
              <w:top w:w="0" w:type="dxa"/>
              <w:left w:w="108" w:type="dxa"/>
              <w:bottom w:w="0" w:type="dxa"/>
              <w:right w:w="108" w:type="dxa"/>
            </w:tcMar>
            <w:vAlign w:val="center"/>
          </w:tcPr>
          <w:p w14:paraId="5136425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8,666.13</w:t>
            </w:r>
          </w:p>
        </w:tc>
        <w:tc>
          <w:tcPr>
            <w:tcW w:w="1813" w:type="dxa"/>
            <w:tcMar>
              <w:top w:w="0" w:type="dxa"/>
              <w:left w:w="108" w:type="dxa"/>
              <w:bottom w:w="0" w:type="dxa"/>
              <w:right w:w="108" w:type="dxa"/>
            </w:tcMar>
            <w:vAlign w:val="center"/>
          </w:tcPr>
          <w:p w14:paraId="299B1A5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3,869.38</w:t>
            </w:r>
          </w:p>
        </w:tc>
      </w:tr>
      <w:tr w:rsidR="007921C1" w:rsidRPr="00DA3766" w14:paraId="4D1FB652" w14:textId="77777777" w:rsidTr="00DA3766">
        <w:trPr>
          <w:trHeight w:val="397"/>
          <w:jc w:val="center"/>
        </w:trPr>
        <w:tc>
          <w:tcPr>
            <w:tcW w:w="3085" w:type="dxa"/>
            <w:tcMar>
              <w:top w:w="0" w:type="dxa"/>
              <w:left w:w="108" w:type="dxa"/>
              <w:bottom w:w="0" w:type="dxa"/>
              <w:right w:w="108" w:type="dxa"/>
            </w:tcMar>
            <w:vAlign w:val="center"/>
          </w:tcPr>
          <w:p w14:paraId="51837A18"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少数股东损益</w:t>
            </w:r>
          </w:p>
        </w:tc>
        <w:tc>
          <w:tcPr>
            <w:tcW w:w="1815" w:type="dxa"/>
            <w:tcMar>
              <w:top w:w="0" w:type="dxa"/>
              <w:left w:w="108" w:type="dxa"/>
              <w:bottom w:w="0" w:type="dxa"/>
              <w:right w:w="108" w:type="dxa"/>
            </w:tcMar>
            <w:vAlign w:val="center"/>
          </w:tcPr>
          <w:p w14:paraId="3BEFCED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584.81</w:t>
            </w:r>
          </w:p>
        </w:tc>
        <w:tc>
          <w:tcPr>
            <w:tcW w:w="1815" w:type="dxa"/>
            <w:tcMar>
              <w:top w:w="0" w:type="dxa"/>
              <w:left w:w="108" w:type="dxa"/>
              <w:bottom w:w="0" w:type="dxa"/>
              <w:right w:w="108" w:type="dxa"/>
            </w:tcMar>
            <w:vAlign w:val="center"/>
          </w:tcPr>
          <w:p w14:paraId="79DE41E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800.82</w:t>
            </w:r>
          </w:p>
        </w:tc>
        <w:tc>
          <w:tcPr>
            <w:tcW w:w="1813" w:type="dxa"/>
            <w:tcMar>
              <w:top w:w="0" w:type="dxa"/>
              <w:left w:w="108" w:type="dxa"/>
              <w:bottom w:w="0" w:type="dxa"/>
              <w:right w:w="108" w:type="dxa"/>
            </w:tcMar>
            <w:vAlign w:val="center"/>
          </w:tcPr>
          <w:p w14:paraId="5E931F2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-500.11</w:t>
            </w:r>
          </w:p>
        </w:tc>
      </w:tr>
    </w:tbl>
    <w:p w14:paraId="173D6157" w14:textId="4D4CE0F3" w:rsidR="00782906" w:rsidRPr="00DA3766" w:rsidRDefault="00782906" w:rsidP="00782906">
      <w:pPr>
        <w:pStyle w:val="005"/>
        <w:spacing w:before="120" w:after="120"/>
        <w:ind w:firstLine="480"/>
      </w:pPr>
      <w:r w:rsidRPr="00DA3766">
        <w:t>2022</w:t>
      </w:r>
      <w:r w:rsidRPr="00DA3766">
        <w:t>年</w:t>
      </w:r>
      <w:r w:rsidR="00AF1CC7" w:rsidRPr="00DA3766">
        <w:t>，</w:t>
      </w:r>
      <w:r w:rsidRPr="00DA3766">
        <w:t>标的公司处于亏损状态</w:t>
      </w:r>
      <w:r w:rsidR="00AF1CC7" w:rsidRPr="00DA3766">
        <w:t>；</w:t>
      </w:r>
      <w:r w:rsidRPr="00DA3766">
        <w:t>2023</w:t>
      </w:r>
      <w:r w:rsidRPr="00DA3766">
        <w:t>年，标的公司营业收入、营业成本、期间费用、净利润分别为</w:t>
      </w:r>
      <w:r w:rsidRPr="00DA3766">
        <w:t>38,501.66</w:t>
      </w:r>
      <w:r w:rsidRPr="00DA3766">
        <w:t>万元、</w:t>
      </w:r>
      <w:r w:rsidRPr="00DA3766">
        <w:t>15,330.66</w:t>
      </w:r>
      <w:r w:rsidRPr="00DA3766">
        <w:t>万元、</w:t>
      </w:r>
      <w:r w:rsidRPr="00DA3766">
        <w:t>20,509.42</w:t>
      </w:r>
      <w:r w:rsidRPr="00DA3766">
        <w:t>万元</w:t>
      </w:r>
      <w:r w:rsidR="00AF1CC7" w:rsidRPr="00DA3766">
        <w:t>、</w:t>
      </w:r>
      <w:r w:rsidRPr="00DA3766">
        <w:t>3,369.27</w:t>
      </w:r>
      <w:r w:rsidRPr="00DA3766">
        <w:t>万元，故</w:t>
      </w:r>
      <w:r w:rsidRPr="00DA3766">
        <w:t>2023</w:t>
      </w:r>
      <w:r w:rsidRPr="00DA3766">
        <w:t>年标的公司营业收入及净利润均实现增长。</w:t>
      </w:r>
    </w:p>
    <w:p w14:paraId="06E35647" w14:textId="6EFB13D7" w:rsidR="00AB3394" w:rsidRPr="00DA3766" w:rsidRDefault="00782906" w:rsidP="00782906">
      <w:pPr>
        <w:pStyle w:val="005"/>
        <w:spacing w:before="120" w:after="120"/>
        <w:ind w:firstLine="480"/>
      </w:pPr>
      <w:r w:rsidRPr="00DA3766">
        <w:t>2024</w:t>
      </w:r>
      <w:r w:rsidRPr="00DA3766">
        <w:t>年，标的公司营业收入、营业成本、期间费用、净利润分别为</w:t>
      </w:r>
      <w:r w:rsidRPr="00DA3766">
        <w:t>44,716.44</w:t>
      </w:r>
      <w:r w:rsidRPr="00DA3766">
        <w:t>万元、</w:t>
      </w:r>
      <w:r w:rsidRPr="00DA3766">
        <w:t>16,589.26</w:t>
      </w:r>
      <w:r w:rsidRPr="00DA3766">
        <w:t>万元、</w:t>
      </w:r>
      <w:r w:rsidRPr="00DA3766">
        <w:t>18,899.64</w:t>
      </w:r>
      <w:r w:rsidRPr="00DA3766">
        <w:t>万元</w:t>
      </w:r>
      <w:r w:rsidR="00AF1CC7" w:rsidRPr="00DA3766">
        <w:t>、</w:t>
      </w:r>
      <w:r w:rsidRPr="00DA3766">
        <w:t>9,466.96</w:t>
      </w:r>
      <w:r w:rsidRPr="00DA3766">
        <w:t>万元，其中营业收入较</w:t>
      </w:r>
      <w:r w:rsidRPr="00DA3766">
        <w:t>2023</w:t>
      </w:r>
      <w:r w:rsidRPr="00DA3766">
        <w:t>年增长率</w:t>
      </w:r>
      <w:r w:rsidR="00F951FF">
        <w:t>16.14</w:t>
      </w:r>
      <w:r w:rsidRPr="00DA3766">
        <w:t>%</w:t>
      </w:r>
      <w:r w:rsidRPr="00DA3766">
        <w:t>，主要系由于标的公司</w:t>
      </w:r>
      <w:r w:rsidRPr="00DA3766">
        <w:t>2024</w:t>
      </w:r>
      <w:r w:rsidRPr="00DA3766">
        <w:t>年</w:t>
      </w:r>
      <w:r w:rsidRPr="00DA3766">
        <w:t>SaaS</w:t>
      </w:r>
      <w:r w:rsidRPr="00DA3766">
        <w:t>云平台业务和数字增值服务</w:t>
      </w:r>
      <w:r w:rsidRPr="00DA3766">
        <w:lastRenderedPageBreak/>
        <w:t>新增相关产品类型，实现收入及净利润的增长，</w:t>
      </w:r>
      <w:r w:rsidRPr="00DA3766">
        <w:t>2025</w:t>
      </w:r>
      <w:r w:rsidRPr="00DA3766">
        <w:t>年</w:t>
      </w:r>
      <w:r w:rsidRPr="00DA3766">
        <w:t>1-6</w:t>
      </w:r>
      <w:r w:rsidRPr="00DA3766">
        <w:t>月标的公司收入收入达到</w:t>
      </w:r>
      <w:r w:rsidRPr="00DA3766">
        <w:t>2024</w:t>
      </w:r>
      <w:r w:rsidRPr="00DA3766">
        <w:t>年的</w:t>
      </w:r>
      <w:r w:rsidRPr="00DA3766">
        <w:t>55.46%</w:t>
      </w:r>
      <w:r w:rsidRPr="00DA3766">
        <w:t>，较</w:t>
      </w:r>
      <w:r w:rsidRPr="00DA3766">
        <w:t>2024</w:t>
      </w:r>
      <w:r w:rsidRPr="00DA3766">
        <w:t>年小幅增长。</w:t>
      </w:r>
    </w:p>
    <w:p w14:paraId="0A19ECE1" w14:textId="6C41FAEA" w:rsidR="00E81C05" w:rsidRPr="004C2193" w:rsidRDefault="00E81C05" w:rsidP="004C2193">
      <w:pPr>
        <w:pStyle w:val="002"/>
        <w:spacing w:before="120" w:after="120"/>
        <w:ind w:firstLine="466"/>
        <w:rPr>
          <w:spacing w:val="-4"/>
        </w:rPr>
      </w:pPr>
      <w:r w:rsidRPr="004C2193">
        <w:rPr>
          <w:spacing w:val="-4"/>
        </w:rPr>
        <w:t>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p>
    <w:p w14:paraId="74C6C26A" w14:textId="5BEDC94E" w:rsidR="00E81C05" w:rsidRPr="00DA3766" w:rsidRDefault="00E81C05" w:rsidP="000C4294">
      <w:pPr>
        <w:pStyle w:val="003"/>
        <w:spacing w:before="120" w:after="120"/>
        <w:ind w:firstLine="482"/>
      </w:pPr>
      <w:r w:rsidRPr="00DA3766">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w:t>
      </w:r>
      <w:bookmarkStart w:id="75" w:name="OLE_LINK134"/>
      <w:r w:rsidRPr="00DA3766">
        <w:t>持续经营能力是否存在不确定性</w:t>
      </w:r>
      <w:bookmarkEnd w:id="75"/>
    </w:p>
    <w:p w14:paraId="2B592CA1" w14:textId="77777777" w:rsidR="00782906" w:rsidRPr="00DA3766" w:rsidRDefault="00782906" w:rsidP="00782906">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一体化解决方案，致力于实现自助设备产业的数字化升级。根据《国民经济行业分类》（</w:t>
      </w:r>
      <w:r w:rsidRPr="00DA3766">
        <w:t>GB/T4754-2017</w:t>
      </w:r>
      <w:r w:rsidRPr="00DA3766">
        <w:t>），标的公司所属行业为</w:t>
      </w:r>
      <w:r w:rsidRPr="00DA3766">
        <w:rPr>
          <w:rFonts w:ascii="宋体" w:hAnsi="宋体"/>
        </w:rPr>
        <w:t>“</w:t>
      </w:r>
      <w:r w:rsidRPr="00DA3766">
        <w:t>信息传输、软件和信息技术服务业</w:t>
      </w:r>
      <w:r w:rsidRPr="00DA3766">
        <w:rPr>
          <w:rFonts w:ascii="宋体" w:hAnsi="宋体"/>
        </w:rPr>
        <w:t>”</w:t>
      </w:r>
      <w:r w:rsidRPr="00DA3766">
        <w:t>下的</w:t>
      </w:r>
      <w:r w:rsidRPr="00DA3766">
        <w:rPr>
          <w:rFonts w:ascii="宋体" w:hAnsi="宋体"/>
        </w:rPr>
        <w:t>“</w:t>
      </w:r>
      <w:r w:rsidRPr="00DA3766">
        <w:t>信息系统集成和物联网技术服务</w:t>
      </w:r>
      <w:r w:rsidRPr="00DA3766">
        <w:rPr>
          <w:rFonts w:ascii="宋体" w:hAnsi="宋体"/>
        </w:rPr>
        <w:t>”</w:t>
      </w:r>
      <w:r w:rsidRPr="00DA3766">
        <w:t>（</w:t>
      </w:r>
      <w:r w:rsidRPr="00DA3766">
        <w:t>I653</w:t>
      </w:r>
      <w:r w:rsidRPr="00DA3766">
        <w:t>）。</w:t>
      </w:r>
    </w:p>
    <w:p w14:paraId="1711DBCE" w14:textId="77777777" w:rsidR="00782906" w:rsidRPr="00DA3766" w:rsidRDefault="00782906" w:rsidP="00782906">
      <w:pPr>
        <w:pStyle w:val="005"/>
        <w:spacing w:before="120" w:after="120"/>
        <w:ind w:firstLine="480"/>
      </w:pPr>
      <w:r w:rsidRPr="00DA3766">
        <w:t>2024</w:t>
      </w:r>
      <w:r w:rsidRPr="00DA3766">
        <w:t>年</w:t>
      </w:r>
      <w:r w:rsidRPr="00DA3766">
        <w:t>5</w:t>
      </w:r>
      <w:r w:rsidRPr="00DA3766">
        <w:t>月，国家发展改革委、国家数据局、财政部、自然资源部联合发布《关于深化智慧城市发展推进城市全域数字化转型的指导意见》，提出</w:t>
      </w:r>
      <w:r w:rsidRPr="00DA3766">
        <w:rPr>
          <w:rFonts w:ascii="宋体" w:hAnsi="宋体"/>
        </w:rPr>
        <w:t>“</w:t>
      </w:r>
      <w:r w:rsidRPr="00DA3766">
        <w:t>整体性重塑智慧城市技术架构、系统性变革城市管理流程、一体化推动产城深度融合，全面提升城市全域数字化转型的整体性、系统性、协同性</w:t>
      </w:r>
      <w:r w:rsidRPr="00DA3766">
        <w:rPr>
          <w:rFonts w:ascii="宋体" w:hAnsi="宋体"/>
        </w:rPr>
        <w:t>”</w:t>
      </w:r>
      <w:r w:rsidRPr="00DA3766">
        <w:t>的总体发展要求。</w:t>
      </w:r>
      <w:r w:rsidRPr="00DA3766">
        <w:t>2024</w:t>
      </w:r>
      <w:r w:rsidRPr="00DA3766">
        <w:t>年</w:t>
      </w:r>
      <w:r w:rsidRPr="00DA3766">
        <w:t>8</w:t>
      </w:r>
      <w:r w:rsidRPr="00DA3766">
        <w:t>月，工信部发布《关于推进移动物联网</w:t>
      </w:r>
      <w:r w:rsidRPr="00DA3766">
        <w:rPr>
          <w:rFonts w:ascii="宋体" w:hAnsi="宋体"/>
        </w:rPr>
        <w:t>“</w:t>
      </w:r>
      <w:r w:rsidRPr="00DA3766">
        <w:t>万物智联</w:t>
      </w:r>
      <w:r w:rsidRPr="00DA3766">
        <w:rPr>
          <w:rFonts w:ascii="宋体" w:hAnsi="宋体"/>
        </w:rPr>
        <w:t>”</w:t>
      </w:r>
      <w:r w:rsidRPr="00DA3766">
        <w:t>发展的通知》，提出进一步深化移动物联网与人工智能、大数据等技术融合，提升移动物联网行业供给水平。</w:t>
      </w:r>
      <w:r w:rsidRPr="00DA3766">
        <w:t>2025</w:t>
      </w:r>
      <w:r w:rsidRPr="00DA3766">
        <w:t>年</w:t>
      </w:r>
      <w:r w:rsidRPr="00DA3766">
        <w:t>10</w:t>
      </w:r>
      <w:r w:rsidRPr="00DA3766">
        <w:t>月，商务部等五部门办公厅关于印发《城市商业提质行动方案》的通知，方案提出强化新兴技术赋能，加强人工智能、物联网、云计算、区块链、扩展现实等技术在城市商业体系中集成应用。其中在消费端，方案提出完善智能导引、精准营销、云上购物、沉浸体验等智慧商业新模式，推广一批</w:t>
      </w:r>
      <w:r w:rsidRPr="00DA3766">
        <w:rPr>
          <w:rFonts w:ascii="宋体" w:hAnsi="宋体"/>
        </w:rPr>
        <w:t>“</w:t>
      </w:r>
      <w:r w:rsidRPr="00DA3766">
        <w:t>人工智能</w:t>
      </w:r>
      <w:r w:rsidRPr="00DA3766">
        <w:t>+</w:t>
      </w:r>
      <w:r w:rsidRPr="00DA3766">
        <w:t>消费</w:t>
      </w:r>
      <w:r w:rsidRPr="00DA3766">
        <w:rPr>
          <w:rFonts w:ascii="宋体" w:hAnsi="宋体"/>
        </w:rPr>
        <w:t>”</w:t>
      </w:r>
      <w:r w:rsidRPr="00DA3766">
        <w:t>场景。在相关法律法规及行业政策的支持下，信息系统集成和物联网技</w:t>
      </w:r>
      <w:r w:rsidRPr="00DA3766">
        <w:lastRenderedPageBreak/>
        <w:t>术服务行业整体发展前景良好，</w:t>
      </w:r>
      <w:r w:rsidRPr="00DA3766">
        <w:t>SaaS</w:t>
      </w:r>
      <w:r w:rsidRPr="00DA3766">
        <w:t>云平台、</w:t>
      </w:r>
      <w:r w:rsidRPr="00DA3766">
        <w:t>IoT</w:t>
      </w:r>
      <w:r w:rsidRPr="00DA3766">
        <w:t>智能硬件、数字增值服务三大业务的市场空间广阔。根据同行业可比上市公司公开披露信息，</w:t>
      </w:r>
      <w:r w:rsidRPr="00DA3766">
        <w:t>2024</w:t>
      </w:r>
      <w:r w:rsidRPr="00DA3766">
        <w:t>年我国自动售货机市场需求量达</w:t>
      </w:r>
      <w:r w:rsidRPr="00DA3766">
        <w:t>42.95</w:t>
      </w:r>
      <w:r w:rsidRPr="00DA3766">
        <w:t>万台，同比增长</w:t>
      </w:r>
      <w:r w:rsidRPr="00DA3766">
        <w:t>23%</w:t>
      </w:r>
      <w:r w:rsidRPr="00DA3766">
        <w:t>，到</w:t>
      </w:r>
      <w:r w:rsidRPr="00DA3766">
        <w:t>2030</w:t>
      </w:r>
      <w:r w:rsidRPr="00DA3766">
        <w:t>年我国自动售货机市场总收入规模有望达到</w:t>
      </w:r>
      <w:r w:rsidRPr="00DA3766">
        <w:t>400</w:t>
      </w:r>
      <w:r w:rsidRPr="00DA3766">
        <w:t>亿元以上，复合增长率超过</w:t>
      </w:r>
      <w:r w:rsidRPr="00DA3766">
        <w:t>12%</w:t>
      </w:r>
      <w:r w:rsidRPr="00DA3766">
        <w:t>。</w:t>
      </w:r>
    </w:p>
    <w:p w14:paraId="232A33F9" w14:textId="77777777" w:rsidR="00782906" w:rsidRPr="00DA3766" w:rsidRDefault="00782906" w:rsidP="00782906">
      <w:pPr>
        <w:pStyle w:val="005"/>
        <w:spacing w:before="120" w:after="120"/>
        <w:ind w:firstLine="480"/>
      </w:pPr>
      <w:bookmarkStart w:id="76" w:name="OLE_LINK129"/>
      <w:r w:rsidRPr="00DA3766">
        <w:t>截至</w:t>
      </w:r>
      <w:bookmarkEnd w:id="76"/>
      <w:r w:rsidRPr="00DA3766">
        <w:t>目前，标的公司及其子公司已取得的主要业务资质证书</w:t>
      </w:r>
      <w:r w:rsidRPr="00DA3766">
        <w:t>/</w:t>
      </w:r>
      <w:r w:rsidRPr="00DA3766">
        <w:t>许可证书包括收单外包服务机构备案回执证书、管理体系认证证书、增值电信业务经营许可证、信息系统安全等级保护备案证明（三级）等。标的公司业务具备各类细分业务的经营资质，相关审批、备案等手续完备。</w:t>
      </w:r>
    </w:p>
    <w:p w14:paraId="25188B89" w14:textId="77777777" w:rsidR="00782906" w:rsidRPr="00DA3766" w:rsidRDefault="00782906" w:rsidP="00782906">
      <w:pPr>
        <w:pStyle w:val="005"/>
        <w:spacing w:before="120" w:after="120"/>
        <w:ind w:firstLine="480"/>
      </w:pPr>
      <w:r w:rsidRPr="00DA3766">
        <w:t>标的公司自设立以来坚持以技术为基石，形成了较为完善的核心技术体系</w:t>
      </w:r>
      <w:bookmarkStart w:id="77" w:name="_Hlk218883958"/>
      <w:r w:rsidRPr="00DA3766">
        <w:t>，自主研发的主要核心技术</w:t>
      </w:r>
      <w:bookmarkEnd w:id="77"/>
      <w:r w:rsidRPr="00DA3766">
        <w:t>包括智能通讯硬件设计技术、物联网平台技术、高可用支付服务技术、低代码平台技术、云原生架构技术、大数据架构技术等，获评国家级专精特新重点</w:t>
      </w:r>
      <w:r w:rsidRPr="00DA3766">
        <w:rPr>
          <w:rFonts w:ascii="宋体" w:hAnsi="宋体"/>
        </w:rPr>
        <w:t>“</w:t>
      </w:r>
      <w:r w:rsidRPr="00DA3766">
        <w:t>小巨人</w:t>
      </w:r>
      <w:r w:rsidRPr="00DA3766">
        <w:rPr>
          <w:rFonts w:ascii="宋体" w:hAnsi="宋体"/>
        </w:rPr>
        <w:t>”</w:t>
      </w:r>
      <w:r w:rsidRPr="00DA3766">
        <w:t>企业。基于核心技术，标的公司现已拥有健全领先的产品矩阵、可靠高效的研发体系、优势突出的客户资源以及较强的品牌效应。</w:t>
      </w:r>
    </w:p>
    <w:p w14:paraId="39ADC376" w14:textId="77777777" w:rsidR="00782906" w:rsidRPr="00DA3766" w:rsidRDefault="00782906" w:rsidP="00782906">
      <w:pPr>
        <w:pStyle w:val="005"/>
        <w:spacing w:before="120" w:after="120"/>
        <w:ind w:firstLine="480"/>
      </w:pPr>
      <w:r w:rsidRPr="00DA3766">
        <w:t>经过长期深耕，标的公司已经成长为自助设备物联网细分领域的头部服务商之一。</w:t>
      </w:r>
      <w:r w:rsidRPr="00DA3766">
        <w:t>2024</w:t>
      </w:r>
      <w:r w:rsidRPr="00DA3766">
        <w:t>年度，标的公司全平台在线智能自助设备总数超过</w:t>
      </w:r>
      <w:r w:rsidRPr="00DA3766">
        <w:t>300</w:t>
      </w:r>
      <w:r w:rsidRPr="00DA3766">
        <w:t>万台，已覆盖全国</w:t>
      </w:r>
      <w:r w:rsidRPr="00DA3766">
        <w:t>600</w:t>
      </w:r>
      <w:r w:rsidRPr="00DA3766">
        <w:t>多个城市。报告期内，标的公司已经累计服务自助设备运营商超</w:t>
      </w:r>
      <w:r w:rsidRPr="00DA3766">
        <w:t>45</w:t>
      </w:r>
      <w:r w:rsidRPr="00DA3766">
        <w:t>万家，与蚂蚁集团、腾讯、京东、汇付等主要客户保持了良好稳定的合作关系。标的公司业务覆盖智慧生活、智慧出行、智慧零售等多种物联网终端应用场景，且同时包括硬件类产品和非硬件类服务，目前国内尚无与标的公司在业务范围高度相似、直接可比的竞争对手。标的公司同行业可比上市公司中映翰通主营业务为工业物联网技术的研发和应用，为客户提供工业物联网通信（</w:t>
      </w:r>
      <w:r w:rsidRPr="00DA3766">
        <w:t>M2M</w:t>
      </w:r>
      <w:r w:rsidRPr="00DA3766">
        <w:t>）产品以及物联网（</w:t>
      </w:r>
      <w:r w:rsidRPr="00DA3766">
        <w:t>IoT</w:t>
      </w:r>
      <w:r w:rsidRPr="00DA3766">
        <w:t>）领域</w:t>
      </w:r>
      <w:r w:rsidRPr="00DA3766">
        <w:rPr>
          <w:rFonts w:ascii="宋体" w:hAnsi="宋体"/>
        </w:rPr>
        <w:t>“</w:t>
      </w:r>
      <w:r w:rsidRPr="00DA3766">
        <w:t>云</w:t>
      </w:r>
      <w:r w:rsidRPr="00DA3766">
        <w:t>+</w:t>
      </w:r>
      <w:r w:rsidRPr="00DA3766">
        <w:t>端</w:t>
      </w:r>
      <w:r w:rsidRPr="00DA3766">
        <w:rPr>
          <w:rFonts w:ascii="宋体" w:hAnsi="宋体"/>
        </w:rPr>
        <w:t>”</w:t>
      </w:r>
      <w:r w:rsidRPr="00DA3766">
        <w:t>整体解决方案，</w:t>
      </w:r>
      <w:r w:rsidRPr="00DA3766">
        <w:t>2024</w:t>
      </w:r>
      <w:r w:rsidRPr="00DA3766">
        <w:t>年度营业收入</w:t>
      </w:r>
      <w:r w:rsidRPr="00DA3766">
        <w:t>6.12</w:t>
      </w:r>
      <w:r w:rsidRPr="00DA3766">
        <w:t>亿元。</w:t>
      </w:r>
    </w:p>
    <w:p w14:paraId="07990657" w14:textId="51F35546" w:rsidR="002F4610" w:rsidRPr="00DA3766" w:rsidRDefault="00782906" w:rsidP="00782906">
      <w:pPr>
        <w:pStyle w:val="005"/>
        <w:spacing w:before="120" w:after="120"/>
        <w:ind w:firstLine="480"/>
      </w:pPr>
      <w:r w:rsidRPr="00DA3766">
        <w:t>综上，标的公司具备较强的核心竞争力，</w:t>
      </w:r>
      <w:r w:rsidR="00AF1CC7" w:rsidRPr="00DA3766">
        <w:t>与主要客户的</w:t>
      </w:r>
      <w:bookmarkStart w:id="78" w:name="OLE_LINK94"/>
      <w:r w:rsidR="00AF1CC7" w:rsidRPr="00DA3766">
        <w:t>合作关系</w:t>
      </w:r>
      <w:bookmarkEnd w:id="78"/>
      <w:r w:rsidR="00AF1CC7" w:rsidRPr="00DA3766">
        <w:t>良好</w:t>
      </w:r>
      <w:r w:rsidR="00B27335" w:rsidRPr="00DA3766">
        <w:t>稳定</w:t>
      </w:r>
      <w:r w:rsidR="00AF1CC7" w:rsidRPr="00DA3766">
        <w:t>，</w:t>
      </w:r>
      <w:r w:rsidRPr="00DA3766">
        <w:t>持续经营能力不存在重大不确定性。</w:t>
      </w:r>
    </w:p>
    <w:p w14:paraId="693586F7" w14:textId="3971998F" w:rsidR="00E81C05" w:rsidRPr="00DA3766" w:rsidRDefault="00E81C05" w:rsidP="00E81C05">
      <w:pPr>
        <w:pStyle w:val="003"/>
        <w:spacing w:before="120" w:after="120"/>
        <w:ind w:firstLine="482"/>
      </w:pPr>
      <w:r w:rsidRPr="00DA3766">
        <w:t>（二）进一步结合商誉减值对上市公司财务状况和经营成果的影响等，说明本次交易是否有利于增强上市公司的持续经营能力，是否符合《重组办法》第四十四条的有关规定</w:t>
      </w:r>
    </w:p>
    <w:p w14:paraId="53808835" w14:textId="77777777" w:rsidR="00782906" w:rsidRPr="00DA3766" w:rsidRDefault="00782906" w:rsidP="00782906">
      <w:pPr>
        <w:pStyle w:val="005"/>
        <w:spacing w:before="120" w:after="120"/>
        <w:ind w:firstLine="480"/>
      </w:pPr>
      <w:r w:rsidRPr="00DA3766">
        <w:t>本次交易完成后，上市公司的合并资产负债表中将新增商誉</w:t>
      </w:r>
      <w:r w:rsidRPr="00DA3766">
        <w:t>104,888.38</w:t>
      </w:r>
      <w:r w:rsidRPr="00DA3766">
        <w:t>万元，</w:t>
      </w:r>
      <w:r w:rsidRPr="00DA3766">
        <w:lastRenderedPageBreak/>
        <w:t>占</w:t>
      </w:r>
      <w:r w:rsidRPr="00DA3766">
        <w:t>2025</w:t>
      </w:r>
      <w:r w:rsidRPr="00DA3766">
        <w:t>年</w:t>
      </w:r>
      <w:r w:rsidRPr="00DA3766">
        <w:t>6</w:t>
      </w:r>
      <w:r w:rsidRPr="00DA3766">
        <w:t>月末上市公司备考合并报表总资产和归属于母公司净资产的比例分别为</w:t>
      </w:r>
      <w:r w:rsidRPr="00DA3766">
        <w:t>37.19%</w:t>
      </w:r>
      <w:r w:rsidRPr="00DA3766">
        <w:t>、</w:t>
      </w:r>
      <w:r w:rsidRPr="00DA3766">
        <w:t>77.56%</w:t>
      </w:r>
      <w:r w:rsidRPr="00DA3766">
        <w:t>。根据《企业会计准则》规定，本次交易形成的商誉不作摊销处理，但需在未来每年年度终了进行减值测试。</w:t>
      </w:r>
    </w:p>
    <w:p w14:paraId="04F63964" w14:textId="77777777" w:rsidR="00782906" w:rsidRPr="00DA3766" w:rsidRDefault="00782906" w:rsidP="00782906">
      <w:pPr>
        <w:pStyle w:val="005"/>
        <w:spacing w:before="120" w:after="120"/>
        <w:ind w:firstLine="480"/>
      </w:pPr>
      <w:r w:rsidRPr="00DA3766">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p>
    <w:p w14:paraId="3C7071CE" w14:textId="75046686" w:rsidR="00A41C66" w:rsidRPr="00DA3766" w:rsidRDefault="00782906" w:rsidP="00782906">
      <w:pPr>
        <w:pStyle w:val="005"/>
        <w:spacing w:before="120" w:after="120"/>
        <w:ind w:firstLine="480"/>
      </w:pPr>
      <w:r w:rsidRPr="00DA3766">
        <w:t>综上，本次交易上市公司发行股份所购买的资产为权属清晰的经营性资产，并能在约定期限内办理完毕权属转移手续，且本次交易有利于提高上市公司资产质量和增强持续经营能力，不会导致财务状况发生重大不利变化，不会导致新增重大不利影响的同业竞争及严重影响独立性或者显失公平的关联交易，符合《重组办法》第四十四条的有关规定。</w:t>
      </w:r>
    </w:p>
    <w:p w14:paraId="261D746C" w14:textId="5F5B526B" w:rsidR="00E81C05" w:rsidRPr="00DA3766" w:rsidRDefault="00E81C05" w:rsidP="00A81CC2">
      <w:pPr>
        <w:pStyle w:val="002"/>
        <w:keepNext w:val="0"/>
        <w:spacing w:before="120" w:after="120"/>
        <w:ind w:firstLine="482"/>
      </w:pPr>
      <w:r w:rsidRPr="00DA3766">
        <w:t>十三、标的资产向自然人客户销售的具体情况、原因及必要性，向主要自然人客户的销售内容、收入金额、占比情况及回款情况，其与标的资产是否存在关联关系、潜在关联关系或其他利益安排</w:t>
      </w:r>
    </w:p>
    <w:p w14:paraId="77115D8D" w14:textId="77777777" w:rsidR="00782906" w:rsidRPr="00DA3766" w:rsidRDefault="00782906" w:rsidP="00782906">
      <w:pPr>
        <w:pStyle w:val="005"/>
        <w:spacing w:before="120" w:after="120"/>
        <w:ind w:firstLine="480"/>
      </w:pPr>
      <w:r w:rsidRPr="00DA3766">
        <w:t>报告期内，标的公司向自然人客户销售收入主要来源于标的公司</w:t>
      </w:r>
      <w:r w:rsidRPr="00DA3766">
        <w:t>SaaS</w:t>
      </w:r>
      <w:r w:rsidRPr="00DA3766">
        <w:t>云平台业务中会员服务细分业务等业务。</w:t>
      </w:r>
    </w:p>
    <w:p w14:paraId="0AEEA836" w14:textId="6014761C" w:rsidR="007921C1" w:rsidRPr="00DA3766" w:rsidRDefault="00782906" w:rsidP="00782906">
      <w:pPr>
        <w:pStyle w:val="005"/>
        <w:spacing w:before="120" w:after="120"/>
        <w:ind w:firstLine="480"/>
      </w:pPr>
      <w:r w:rsidRPr="00DA3766">
        <w:t>标的公司</w:t>
      </w:r>
      <w:r w:rsidRPr="00DA3766">
        <w:t>SaaS</w:t>
      </w:r>
      <w:r w:rsidRPr="00DA3766">
        <w:t>云平台业务中会员服务细分业务的主要下游客户群体为个人消费者。标的公司主要基于具体终端自助设备，提供覆盖智慧生活、智慧出行和智慧零售等多领域的配套会员权益，为个人消费者提供丰富和优质的智能化生活服务体验，并根据个人消费者客户自主选择的权益类型和数量收取服务费用。报告期内，标的公司会员服务主要包括权益卡等，个人消费者购买该等权益卡后，即可在相应范围内分享标的公司凭借规模优势等议价能力从智慧生活、智慧出行和智慧零售等多领域的实际服务商家处取得的服务优惠。此外，标的公司</w:t>
      </w:r>
      <w:r w:rsidRPr="00DA3766">
        <w:t>IoT</w:t>
      </w:r>
      <w:r w:rsidRPr="00DA3766">
        <w:t>智能硬件业务中亦包含主要下游客户群体为个人消费者的</w:t>
      </w:r>
      <w:r w:rsidRPr="00DA3766">
        <w:rPr>
          <w:color w:val="000000"/>
        </w:rPr>
        <w:t>四轮充电桩等产品的销售。</w:t>
      </w:r>
      <w:r w:rsidRPr="00DA3766">
        <w:t>因此，标的公司向自然人客户销售的具有合理性及必要性。</w:t>
      </w:r>
    </w:p>
    <w:p w14:paraId="00B7C7EF" w14:textId="77777777" w:rsidR="007921C1" w:rsidRPr="00DA3766" w:rsidRDefault="007921C1" w:rsidP="00DA3766">
      <w:pPr>
        <w:pStyle w:val="aff8"/>
        <w:spacing w:before="120" w:after="120"/>
        <w:ind w:left="0" w:firstLine="480"/>
        <w:jc w:val="both"/>
        <w:rPr>
          <w:rFonts w:ascii="Times New Roman" w:hAnsi="Times New Roman" w:cs="Times New Roman"/>
        </w:rPr>
      </w:pPr>
      <w:r w:rsidRPr="00DA3766">
        <w:rPr>
          <w:rFonts w:ascii="Times New Roman" w:hAnsi="Times New Roman" w:cs="Times New Roman"/>
        </w:rPr>
        <w:t>报告期各期，标的公司向前五名自然人客户的销售情况如下：</w:t>
      </w:r>
    </w:p>
    <w:p w14:paraId="257DC4A9" w14:textId="77777777" w:rsidR="007921C1" w:rsidRPr="00DA3766" w:rsidRDefault="007921C1" w:rsidP="007921C1">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4"/>
        <w:gridCol w:w="1276"/>
        <w:gridCol w:w="1700"/>
        <w:gridCol w:w="1419"/>
        <w:gridCol w:w="1417"/>
        <w:gridCol w:w="1612"/>
      </w:tblGrid>
      <w:tr w:rsidR="007921C1" w:rsidRPr="00DA3766" w14:paraId="1AAD7BF1" w14:textId="77777777" w:rsidTr="00DA3766">
        <w:trPr>
          <w:trHeight w:val="397"/>
          <w:tblHeader/>
          <w:jc w:val="center"/>
        </w:trPr>
        <w:tc>
          <w:tcPr>
            <w:tcW w:w="647" w:type="pct"/>
            <w:tcMar>
              <w:top w:w="0" w:type="dxa"/>
              <w:bottom w:w="0" w:type="dxa"/>
            </w:tcMar>
            <w:vAlign w:val="center"/>
          </w:tcPr>
          <w:p w14:paraId="64EE610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年度</w:t>
            </w:r>
          </w:p>
        </w:tc>
        <w:tc>
          <w:tcPr>
            <w:tcW w:w="748" w:type="pct"/>
            <w:tcMar>
              <w:top w:w="0" w:type="dxa"/>
              <w:bottom w:w="0" w:type="dxa"/>
            </w:tcMar>
            <w:vAlign w:val="center"/>
          </w:tcPr>
          <w:p w14:paraId="280C785C"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客户名称</w:t>
            </w:r>
          </w:p>
        </w:tc>
        <w:tc>
          <w:tcPr>
            <w:tcW w:w="997" w:type="pct"/>
            <w:tcMar>
              <w:top w:w="0" w:type="dxa"/>
              <w:bottom w:w="0" w:type="dxa"/>
            </w:tcMar>
            <w:vAlign w:val="center"/>
          </w:tcPr>
          <w:p w14:paraId="01722F80"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销售内容</w:t>
            </w:r>
          </w:p>
        </w:tc>
        <w:tc>
          <w:tcPr>
            <w:tcW w:w="832" w:type="pct"/>
            <w:tcMar>
              <w:top w:w="0" w:type="dxa"/>
              <w:bottom w:w="0" w:type="dxa"/>
            </w:tcMar>
            <w:vAlign w:val="center"/>
          </w:tcPr>
          <w:p w14:paraId="1494FF5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销售收入</w:t>
            </w:r>
          </w:p>
        </w:tc>
        <w:tc>
          <w:tcPr>
            <w:tcW w:w="831" w:type="pct"/>
            <w:tcMar>
              <w:top w:w="0" w:type="dxa"/>
              <w:bottom w:w="0" w:type="dxa"/>
            </w:tcMar>
            <w:vAlign w:val="center"/>
          </w:tcPr>
          <w:p w14:paraId="33139AA6"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销售收入</w:t>
            </w:r>
          </w:p>
          <w:p w14:paraId="12209794"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营业收入</w:t>
            </w:r>
          </w:p>
        </w:tc>
        <w:tc>
          <w:tcPr>
            <w:tcW w:w="945" w:type="pct"/>
            <w:tcMar>
              <w:top w:w="0" w:type="dxa"/>
              <w:bottom w:w="0" w:type="dxa"/>
            </w:tcMar>
            <w:vAlign w:val="center"/>
          </w:tcPr>
          <w:p w14:paraId="0763CC9E"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截至当期期末未回款金额</w:t>
            </w:r>
          </w:p>
        </w:tc>
      </w:tr>
      <w:tr w:rsidR="007921C1" w:rsidRPr="00DA3766" w14:paraId="3093CF30" w14:textId="77777777" w:rsidTr="00DA3766">
        <w:trPr>
          <w:trHeight w:val="397"/>
          <w:jc w:val="center"/>
        </w:trPr>
        <w:tc>
          <w:tcPr>
            <w:tcW w:w="647" w:type="pct"/>
            <w:vMerge w:val="restart"/>
            <w:tcMar>
              <w:top w:w="0" w:type="dxa"/>
              <w:bottom w:w="0" w:type="dxa"/>
            </w:tcMar>
            <w:vAlign w:val="center"/>
          </w:tcPr>
          <w:p w14:paraId="0C7880A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年度</w:t>
            </w:r>
          </w:p>
        </w:tc>
        <w:tc>
          <w:tcPr>
            <w:tcW w:w="748" w:type="pct"/>
            <w:tcMar>
              <w:top w:w="0" w:type="dxa"/>
              <w:bottom w:w="0" w:type="dxa"/>
            </w:tcMar>
            <w:vAlign w:val="center"/>
          </w:tcPr>
          <w:p w14:paraId="05ECCD1F" w14:textId="232A3E2D"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吴</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龙</w:t>
            </w:r>
          </w:p>
        </w:tc>
        <w:tc>
          <w:tcPr>
            <w:tcW w:w="997" w:type="pct"/>
            <w:tcMar>
              <w:top w:w="0" w:type="dxa"/>
              <w:bottom w:w="0" w:type="dxa"/>
            </w:tcMar>
            <w:vAlign w:val="center"/>
          </w:tcPr>
          <w:p w14:paraId="6885C170"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6E5ADD7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61.06</w:t>
            </w:r>
          </w:p>
        </w:tc>
        <w:tc>
          <w:tcPr>
            <w:tcW w:w="831" w:type="pct"/>
            <w:tcMar>
              <w:top w:w="0" w:type="dxa"/>
              <w:bottom w:w="0" w:type="dxa"/>
            </w:tcMar>
            <w:vAlign w:val="center"/>
          </w:tcPr>
          <w:p w14:paraId="2EEECC1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945" w:type="pct"/>
            <w:tcMar>
              <w:top w:w="0" w:type="dxa"/>
              <w:bottom w:w="0" w:type="dxa"/>
            </w:tcMar>
            <w:vAlign w:val="center"/>
          </w:tcPr>
          <w:p w14:paraId="1A18482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7EFFE0D" w14:textId="77777777" w:rsidTr="00DA3766">
        <w:trPr>
          <w:trHeight w:val="397"/>
          <w:jc w:val="center"/>
        </w:trPr>
        <w:tc>
          <w:tcPr>
            <w:tcW w:w="647" w:type="pct"/>
            <w:vMerge/>
            <w:tcMar>
              <w:top w:w="0" w:type="dxa"/>
              <w:bottom w:w="0" w:type="dxa"/>
            </w:tcMar>
            <w:vAlign w:val="center"/>
          </w:tcPr>
          <w:p w14:paraId="31803CE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1FAE3DCC" w14:textId="269FFA1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丁</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杰</w:t>
            </w:r>
          </w:p>
        </w:tc>
        <w:tc>
          <w:tcPr>
            <w:tcW w:w="997" w:type="pct"/>
            <w:tcMar>
              <w:top w:w="0" w:type="dxa"/>
              <w:bottom w:w="0" w:type="dxa"/>
            </w:tcMar>
            <w:vAlign w:val="center"/>
          </w:tcPr>
          <w:p w14:paraId="7A856B9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6B7D4756"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47.00</w:t>
            </w:r>
          </w:p>
        </w:tc>
        <w:tc>
          <w:tcPr>
            <w:tcW w:w="831" w:type="pct"/>
            <w:tcMar>
              <w:top w:w="0" w:type="dxa"/>
              <w:bottom w:w="0" w:type="dxa"/>
            </w:tcMar>
            <w:vAlign w:val="center"/>
          </w:tcPr>
          <w:p w14:paraId="4026932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w:t>
            </w:r>
          </w:p>
        </w:tc>
        <w:tc>
          <w:tcPr>
            <w:tcW w:w="945" w:type="pct"/>
            <w:tcMar>
              <w:top w:w="0" w:type="dxa"/>
              <w:bottom w:w="0" w:type="dxa"/>
            </w:tcMar>
            <w:vAlign w:val="center"/>
          </w:tcPr>
          <w:p w14:paraId="22E8CC3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4AD15B17" w14:textId="77777777" w:rsidTr="00DA3766">
        <w:trPr>
          <w:trHeight w:val="397"/>
          <w:jc w:val="center"/>
        </w:trPr>
        <w:tc>
          <w:tcPr>
            <w:tcW w:w="647" w:type="pct"/>
            <w:vMerge/>
            <w:tcMar>
              <w:top w:w="0" w:type="dxa"/>
              <w:bottom w:w="0" w:type="dxa"/>
            </w:tcMar>
            <w:vAlign w:val="center"/>
          </w:tcPr>
          <w:p w14:paraId="2CF213E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5DF2ADA8" w14:textId="62496771"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孙</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英</w:t>
            </w:r>
          </w:p>
        </w:tc>
        <w:tc>
          <w:tcPr>
            <w:tcW w:w="997" w:type="pct"/>
            <w:tcMar>
              <w:top w:w="0" w:type="dxa"/>
              <w:bottom w:w="0" w:type="dxa"/>
            </w:tcMar>
            <w:vAlign w:val="center"/>
          </w:tcPr>
          <w:p w14:paraId="41FCE1F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1D75BC1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22.68</w:t>
            </w:r>
          </w:p>
        </w:tc>
        <w:tc>
          <w:tcPr>
            <w:tcW w:w="831" w:type="pct"/>
            <w:tcMar>
              <w:top w:w="0" w:type="dxa"/>
              <w:bottom w:w="0" w:type="dxa"/>
            </w:tcMar>
            <w:vAlign w:val="center"/>
          </w:tcPr>
          <w:p w14:paraId="48BC8AE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042998A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2AF0B077" w14:textId="77777777" w:rsidTr="00DA3766">
        <w:trPr>
          <w:trHeight w:val="397"/>
          <w:jc w:val="center"/>
        </w:trPr>
        <w:tc>
          <w:tcPr>
            <w:tcW w:w="647" w:type="pct"/>
            <w:vMerge/>
            <w:tcMar>
              <w:top w:w="0" w:type="dxa"/>
              <w:bottom w:w="0" w:type="dxa"/>
            </w:tcMar>
            <w:vAlign w:val="center"/>
          </w:tcPr>
          <w:p w14:paraId="5CA04BD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0C8A195A" w14:textId="3512514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郭</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芳</w:t>
            </w:r>
          </w:p>
        </w:tc>
        <w:tc>
          <w:tcPr>
            <w:tcW w:w="997" w:type="pct"/>
            <w:tcMar>
              <w:top w:w="0" w:type="dxa"/>
              <w:bottom w:w="0" w:type="dxa"/>
            </w:tcMar>
            <w:vAlign w:val="center"/>
          </w:tcPr>
          <w:p w14:paraId="28FB458C"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4AA7DA0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22.23</w:t>
            </w:r>
          </w:p>
        </w:tc>
        <w:tc>
          <w:tcPr>
            <w:tcW w:w="831" w:type="pct"/>
            <w:tcMar>
              <w:top w:w="0" w:type="dxa"/>
              <w:bottom w:w="0" w:type="dxa"/>
            </w:tcMar>
            <w:vAlign w:val="center"/>
          </w:tcPr>
          <w:p w14:paraId="246369E0"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14E1867A"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3.61</w:t>
            </w:r>
          </w:p>
        </w:tc>
      </w:tr>
      <w:tr w:rsidR="007921C1" w:rsidRPr="00DA3766" w14:paraId="5BC8DC08" w14:textId="77777777" w:rsidTr="00DA3766">
        <w:trPr>
          <w:trHeight w:val="397"/>
          <w:jc w:val="center"/>
        </w:trPr>
        <w:tc>
          <w:tcPr>
            <w:tcW w:w="647" w:type="pct"/>
            <w:vMerge/>
            <w:tcMar>
              <w:top w:w="0" w:type="dxa"/>
              <w:bottom w:w="0" w:type="dxa"/>
            </w:tcMar>
            <w:vAlign w:val="center"/>
          </w:tcPr>
          <w:p w14:paraId="6EAE9D4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BD44A51" w14:textId="1AC450CF"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明</w:t>
            </w:r>
          </w:p>
        </w:tc>
        <w:tc>
          <w:tcPr>
            <w:tcW w:w="997" w:type="pct"/>
            <w:tcMar>
              <w:top w:w="0" w:type="dxa"/>
              <w:bottom w:w="0" w:type="dxa"/>
            </w:tcMar>
            <w:vAlign w:val="center"/>
          </w:tcPr>
          <w:p w14:paraId="5A33CE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1090A1D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19.65</w:t>
            </w:r>
          </w:p>
        </w:tc>
        <w:tc>
          <w:tcPr>
            <w:tcW w:w="831" w:type="pct"/>
            <w:tcMar>
              <w:top w:w="0" w:type="dxa"/>
              <w:bottom w:w="0" w:type="dxa"/>
            </w:tcMar>
            <w:vAlign w:val="center"/>
          </w:tcPr>
          <w:p w14:paraId="179D0D5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F14CB5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D7D2F48" w14:textId="77777777" w:rsidTr="00DA3766">
        <w:trPr>
          <w:trHeight w:val="397"/>
          <w:jc w:val="center"/>
        </w:trPr>
        <w:tc>
          <w:tcPr>
            <w:tcW w:w="647" w:type="pct"/>
            <w:vMerge/>
            <w:tcMar>
              <w:top w:w="0" w:type="dxa"/>
              <w:bottom w:w="0" w:type="dxa"/>
            </w:tcMar>
            <w:vAlign w:val="center"/>
          </w:tcPr>
          <w:p w14:paraId="43AE179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08CCD3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34E548C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172.62</w:t>
            </w:r>
          </w:p>
        </w:tc>
        <w:tc>
          <w:tcPr>
            <w:tcW w:w="831" w:type="pct"/>
            <w:tcMar>
              <w:top w:w="0" w:type="dxa"/>
              <w:bottom w:w="0" w:type="dxa"/>
            </w:tcMar>
            <w:vAlign w:val="center"/>
          </w:tcPr>
          <w:p w14:paraId="5B2662D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0.45%</w:t>
            </w:r>
          </w:p>
        </w:tc>
        <w:tc>
          <w:tcPr>
            <w:tcW w:w="945" w:type="pct"/>
            <w:tcMar>
              <w:top w:w="0" w:type="dxa"/>
              <w:bottom w:w="0" w:type="dxa"/>
            </w:tcMar>
            <w:vAlign w:val="center"/>
          </w:tcPr>
          <w:p w14:paraId="6AABD7A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3.61</w:t>
            </w:r>
          </w:p>
        </w:tc>
      </w:tr>
      <w:tr w:rsidR="007921C1" w:rsidRPr="00DA3766" w14:paraId="451DC5F0" w14:textId="77777777" w:rsidTr="00DA3766">
        <w:trPr>
          <w:trHeight w:val="397"/>
          <w:jc w:val="center"/>
        </w:trPr>
        <w:tc>
          <w:tcPr>
            <w:tcW w:w="647" w:type="pct"/>
            <w:vMerge w:val="restart"/>
            <w:tcMar>
              <w:top w:w="0" w:type="dxa"/>
              <w:bottom w:w="0" w:type="dxa"/>
            </w:tcMar>
            <w:vAlign w:val="center"/>
          </w:tcPr>
          <w:p w14:paraId="268BC28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年度</w:t>
            </w:r>
          </w:p>
        </w:tc>
        <w:tc>
          <w:tcPr>
            <w:tcW w:w="748" w:type="pct"/>
            <w:tcMar>
              <w:top w:w="0" w:type="dxa"/>
              <w:bottom w:w="0" w:type="dxa"/>
            </w:tcMar>
            <w:vAlign w:val="center"/>
          </w:tcPr>
          <w:p w14:paraId="5AB2D264" w14:textId="74D3C4A2" w:rsidR="007921C1" w:rsidRPr="00DA3766" w:rsidRDefault="00335249"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14:paraId="193E3141"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01F445D0"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85.50</w:t>
            </w:r>
          </w:p>
        </w:tc>
        <w:tc>
          <w:tcPr>
            <w:tcW w:w="831" w:type="pct"/>
            <w:tcMar>
              <w:top w:w="0" w:type="dxa"/>
              <w:bottom w:w="0" w:type="dxa"/>
            </w:tcMar>
            <w:vAlign w:val="center"/>
          </w:tcPr>
          <w:p w14:paraId="1326DCB6"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0.19%</w:t>
            </w:r>
          </w:p>
        </w:tc>
        <w:tc>
          <w:tcPr>
            <w:tcW w:w="945" w:type="pct"/>
            <w:tcMar>
              <w:top w:w="0" w:type="dxa"/>
              <w:bottom w:w="0" w:type="dxa"/>
            </w:tcMar>
            <w:vAlign w:val="center"/>
          </w:tcPr>
          <w:p w14:paraId="54EDE2A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24.23</w:t>
            </w:r>
          </w:p>
        </w:tc>
      </w:tr>
      <w:tr w:rsidR="007921C1" w:rsidRPr="00DA3766" w14:paraId="1C2A1680" w14:textId="77777777" w:rsidTr="00DA3766">
        <w:trPr>
          <w:trHeight w:val="397"/>
          <w:jc w:val="center"/>
        </w:trPr>
        <w:tc>
          <w:tcPr>
            <w:tcW w:w="647" w:type="pct"/>
            <w:vMerge/>
            <w:tcMar>
              <w:top w:w="0" w:type="dxa"/>
              <w:bottom w:w="0" w:type="dxa"/>
            </w:tcMar>
            <w:vAlign w:val="center"/>
          </w:tcPr>
          <w:p w14:paraId="223F5FC8"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744A3C17" w14:textId="19D92E8A"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郝</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正</w:t>
            </w:r>
          </w:p>
        </w:tc>
        <w:tc>
          <w:tcPr>
            <w:tcW w:w="997" w:type="pct"/>
            <w:tcMar>
              <w:top w:w="0" w:type="dxa"/>
              <w:bottom w:w="0" w:type="dxa"/>
            </w:tcMar>
            <w:vAlign w:val="center"/>
          </w:tcPr>
          <w:p w14:paraId="5EF046A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42D337B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26.20</w:t>
            </w:r>
          </w:p>
        </w:tc>
        <w:tc>
          <w:tcPr>
            <w:tcW w:w="831" w:type="pct"/>
            <w:tcMar>
              <w:top w:w="0" w:type="dxa"/>
              <w:bottom w:w="0" w:type="dxa"/>
            </w:tcMar>
            <w:vAlign w:val="center"/>
          </w:tcPr>
          <w:p w14:paraId="3C0DCA3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78136C2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70D1229" w14:textId="77777777" w:rsidTr="00DA3766">
        <w:trPr>
          <w:trHeight w:val="397"/>
          <w:jc w:val="center"/>
        </w:trPr>
        <w:tc>
          <w:tcPr>
            <w:tcW w:w="647" w:type="pct"/>
            <w:vMerge/>
            <w:tcMar>
              <w:top w:w="0" w:type="dxa"/>
              <w:bottom w:w="0" w:type="dxa"/>
            </w:tcMar>
            <w:vAlign w:val="center"/>
          </w:tcPr>
          <w:p w14:paraId="15ADF4A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D8FA7CC" w14:textId="3BDB307C"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郭</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芳</w:t>
            </w:r>
          </w:p>
        </w:tc>
        <w:tc>
          <w:tcPr>
            <w:tcW w:w="997" w:type="pct"/>
            <w:tcMar>
              <w:top w:w="0" w:type="dxa"/>
              <w:bottom w:w="0" w:type="dxa"/>
            </w:tcMar>
            <w:vAlign w:val="center"/>
          </w:tcPr>
          <w:p w14:paraId="1B2523FD"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7AE2637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24.20</w:t>
            </w:r>
          </w:p>
        </w:tc>
        <w:tc>
          <w:tcPr>
            <w:tcW w:w="831" w:type="pct"/>
            <w:tcMar>
              <w:top w:w="0" w:type="dxa"/>
              <w:bottom w:w="0" w:type="dxa"/>
            </w:tcMar>
            <w:vAlign w:val="center"/>
          </w:tcPr>
          <w:p w14:paraId="5A0DF1A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63FC09B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0.48</w:t>
            </w:r>
          </w:p>
        </w:tc>
      </w:tr>
      <w:tr w:rsidR="007921C1" w:rsidRPr="00DA3766" w14:paraId="35947C42" w14:textId="77777777" w:rsidTr="00DA3766">
        <w:trPr>
          <w:trHeight w:val="397"/>
          <w:jc w:val="center"/>
        </w:trPr>
        <w:tc>
          <w:tcPr>
            <w:tcW w:w="647" w:type="pct"/>
            <w:vMerge/>
            <w:tcMar>
              <w:top w:w="0" w:type="dxa"/>
              <w:bottom w:w="0" w:type="dxa"/>
            </w:tcMar>
            <w:vAlign w:val="center"/>
          </w:tcPr>
          <w:p w14:paraId="2B7E8B9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0BDA10E" w14:textId="62DFE268"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笑</w:t>
            </w:r>
          </w:p>
        </w:tc>
        <w:tc>
          <w:tcPr>
            <w:tcW w:w="997" w:type="pct"/>
            <w:tcMar>
              <w:top w:w="0" w:type="dxa"/>
              <w:bottom w:w="0" w:type="dxa"/>
            </w:tcMar>
            <w:vAlign w:val="center"/>
          </w:tcPr>
          <w:p w14:paraId="75D86C53"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0AC0AEF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22.38</w:t>
            </w:r>
          </w:p>
        </w:tc>
        <w:tc>
          <w:tcPr>
            <w:tcW w:w="831" w:type="pct"/>
            <w:tcMar>
              <w:top w:w="0" w:type="dxa"/>
              <w:bottom w:w="0" w:type="dxa"/>
            </w:tcMar>
            <w:vAlign w:val="center"/>
          </w:tcPr>
          <w:p w14:paraId="1D058C5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8E6493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2B1DE17C" w14:textId="77777777" w:rsidTr="00DA3766">
        <w:trPr>
          <w:trHeight w:val="397"/>
          <w:jc w:val="center"/>
        </w:trPr>
        <w:tc>
          <w:tcPr>
            <w:tcW w:w="647" w:type="pct"/>
            <w:vMerge/>
            <w:tcMar>
              <w:top w:w="0" w:type="dxa"/>
              <w:bottom w:w="0" w:type="dxa"/>
            </w:tcMar>
            <w:vAlign w:val="center"/>
          </w:tcPr>
          <w:p w14:paraId="1C6FB46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04680D97" w14:textId="41FD960F"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和</w:t>
            </w:r>
          </w:p>
        </w:tc>
        <w:tc>
          <w:tcPr>
            <w:tcW w:w="997" w:type="pct"/>
            <w:tcMar>
              <w:top w:w="0" w:type="dxa"/>
              <w:bottom w:w="0" w:type="dxa"/>
            </w:tcMar>
            <w:vAlign w:val="center"/>
          </w:tcPr>
          <w:p w14:paraId="26DE023E" w14:textId="43FC1AAA"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r w:rsidR="007A44DA"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832" w:type="pct"/>
            <w:tcMar>
              <w:top w:w="0" w:type="dxa"/>
              <w:bottom w:w="0" w:type="dxa"/>
            </w:tcMar>
            <w:vAlign w:val="center"/>
          </w:tcPr>
          <w:p w14:paraId="2E08DAB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18.87</w:t>
            </w:r>
          </w:p>
        </w:tc>
        <w:tc>
          <w:tcPr>
            <w:tcW w:w="831" w:type="pct"/>
            <w:tcMar>
              <w:top w:w="0" w:type="dxa"/>
              <w:bottom w:w="0" w:type="dxa"/>
            </w:tcMar>
            <w:vAlign w:val="center"/>
          </w:tcPr>
          <w:p w14:paraId="24BA8DC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w:t>
            </w:r>
          </w:p>
        </w:tc>
        <w:tc>
          <w:tcPr>
            <w:tcW w:w="945" w:type="pct"/>
            <w:tcMar>
              <w:top w:w="0" w:type="dxa"/>
              <w:bottom w:w="0" w:type="dxa"/>
            </w:tcMar>
            <w:vAlign w:val="center"/>
          </w:tcPr>
          <w:p w14:paraId="23DE884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1829DCAA" w14:textId="77777777" w:rsidTr="00DA3766">
        <w:trPr>
          <w:trHeight w:val="397"/>
          <w:jc w:val="center"/>
        </w:trPr>
        <w:tc>
          <w:tcPr>
            <w:tcW w:w="647" w:type="pct"/>
            <w:vMerge/>
            <w:tcMar>
              <w:top w:w="0" w:type="dxa"/>
              <w:bottom w:w="0" w:type="dxa"/>
            </w:tcMar>
            <w:vAlign w:val="center"/>
          </w:tcPr>
          <w:p w14:paraId="34600A8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63814EAF"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72B487C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177.15</w:t>
            </w:r>
          </w:p>
        </w:tc>
        <w:tc>
          <w:tcPr>
            <w:tcW w:w="831" w:type="pct"/>
            <w:tcMar>
              <w:top w:w="0" w:type="dxa"/>
              <w:bottom w:w="0" w:type="dxa"/>
            </w:tcMar>
            <w:vAlign w:val="center"/>
          </w:tcPr>
          <w:p w14:paraId="12C904C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0.40%</w:t>
            </w:r>
          </w:p>
        </w:tc>
        <w:tc>
          <w:tcPr>
            <w:tcW w:w="945" w:type="pct"/>
            <w:tcMar>
              <w:top w:w="0" w:type="dxa"/>
              <w:bottom w:w="0" w:type="dxa"/>
            </w:tcMar>
            <w:vAlign w:val="center"/>
          </w:tcPr>
          <w:p w14:paraId="44CA18E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24.71</w:t>
            </w:r>
          </w:p>
        </w:tc>
      </w:tr>
      <w:tr w:rsidR="007921C1" w:rsidRPr="00DA3766" w14:paraId="7EC7AE60" w14:textId="77777777" w:rsidTr="00DA3766">
        <w:trPr>
          <w:trHeight w:val="397"/>
          <w:jc w:val="center"/>
        </w:trPr>
        <w:tc>
          <w:tcPr>
            <w:tcW w:w="647" w:type="pct"/>
            <w:vMerge w:val="restart"/>
            <w:tcMar>
              <w:top w:w="0" w:type="dxa"/>
              <w:bottom w:w="0" w:type="dxa"/>
            </w:tcMar>
            <w:vAlign w:val="center"/>
          </w:tcPr>
          <w:p w14:paraId="1903269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月</w:t>
            </w:r>
          </w:p>
        </w:tc>
        <w:tc>
          <w:tcPr>
            <w:tcW w:w="748" w:type="pct"/>
            <w:tcMar>
              <w:top w:w="0" w:type="dxa"/>
              <w:bottom w:w="0" w:type="dxa"/>
            </w:tcMar>
            <w:vAlign w:val="center"/>
          </w:tcPr>
          <w:p w14:paraId="28EB8D73" w14:textId="4A25E78F" w:rsidR="007921C1" w:rsidRPr="00DA3766" w:rsidRDefault="00335249"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14:paraId="6F9E4985"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26775DD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201.99</w:t>
            </w:r>
          </w:p>
        </w:tc>
        <w:tc>
          <w:tcPr>
            <w:tcW w:w="831" w:type="pct"/>
            <w:tcMar>
              <w:top w:w="0" w:type="dxa"/>
              <w:bottom w:w="0" w:type="dxa"/>
            </w:tcMar>
            <w:vAlign w:val="center"/>
          </w:tcPr>
          <w:p w14:paraId="4C58CC8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0.81%</w:t>
            </w:r>
          </w:p>
        </w:tc>
        <w:tc>
          <w:tcPr>
            <w:tcW w:w="945" w:type="pct"/>
            <w:tcMar>
              <w:top w:w="0" w:type="dxa"/>
              <w:bottom w:w="0" w:type="dxa"/>
            </w:tcMar>
            <w:vAlign w:val="center"/>
          </w:tcPr>
          <w:p w14:paraId="05AAA6A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37.86</w:t>
            </w:r>
          </w:p>
        </w:tc>
      </w:tr>
      <w:tr w:rsidR="007921C1" w:rsidRPr="00DA3766" w14:paraId="37010990" w14:textId="77777777" w:rsidTr="00DA3766">
        <w:trPr>
          <w:trHeight w:val="397"/>
          <w:jc w:val="center"/>
        </w:trPr>
        <w:tc>
          <w:tcPr>
            <w:tcW w:w="647" w:type="pct"/>
            <w:vMerge/>
            <w:tcMar>
              <w:top w:w="0" w:type="dxa"/>
              <w:bottom w:w="0" w:type="dxa"/>
            </w:tcMar>
            <w:vAlign w:val="center"/>
          </w:tcPr>
          <w:p w14:paraId="4D79A00C"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DFDB9E9" w14:textId="1EC9A791"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夏</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峰</w:t>
            </w:r>
          </w:p>
        </w:tc>
        <w:tc>
          <w:tcPr>
            <w:tcW w:w="997" w:type="pct"/>
            <w:tcMar>
              <w:top w:w="0" w:type="dxa"/>
              <w:bottom w:w="0" w:type="dxa"/>
            </w:tcMar>
            <w:vAlign w:val="center"/>
          </w:tcPr>
          <w:p w14:paraId="19D1F969"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2759FBDA"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19.34</w:t>
            </w:r>
          </w:p>
        </w:tc>
        <w:tc>
          <w:tcPr>
            <w:tcW w:w="831" w:type="pct"/>
            <w:tcMar>
              <w:top w:w="0" w:type="dxa"/>
              <w:bottom w:w="0" w:type="dxa"/>
            </w:tcMar>
            <w:vAlign w:val="center"/>
          </w:tcPr>
          <w:p w14:paraId="421F915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0.08%</w:t>
            </w:r>
          </w:p>
        </w:tc>
        <w:tc>
          <w:tcPr>
            <w:tcW w:w="945" w:type="pct"/>
            <w:tcMar>
              <w:top w:w="0" w:type="dxa"/>
              <w:bottom w:w="0" w:type="dxa"/>
            </w:tcMar>
            <w:vAlign w:val="center"/>
          </w:tcPr>
          <w:p w14:paraId="5017AAD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341DA4D4" w14:textId="77777777" w:rsidTr="00DA3766">
        <w:trPr>
          <w:trHeight w:val="397"/>
          <w:jc w:val="center"/>
        </w:trPr>
        <w:tc>
          <w:tcPr>
            <w:tcW w:w="647" w:type="pct"/>
            <w:vMerge/>
            <w:tcMar>
              <w:top w:w="0" w:type="dxa"/>
              <w:bottom w:w="0" w:type="dxa"/>
            </w:tcMar>
            <w:vAlign w:val="center"/>
          </w:tcPr>
          <w:p w14:paraId="3DD8B9E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E606533" w14:textId="392E255E"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笑</w:t>
            </w:r>
          </w:p>
        </w:tc>
        <w:tc>
          <w:tcPr>
            <w:tcW w:w="997" w:type="pct"/>
            <w:tcMar>
              <w:top w:w="0" w:type="dxa"/>
              <w:bottom w:w="0" w:type="dxa"/>
            </w:tcMar>
            <w:vAlign w:val="center"/>
          </w:tcPr>
          <w:p w14:paraId="13173BA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7D58659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16.75</w:t>
            </w:r>
          </w:p>
        </w:tc>
        <w:tc>
          <w:tcPr>
            <w:tcW w:w="831" w:type="pct"/>
            <w:tcMar>
              <w:top w:w="0" w:type="dxa"/>
              <w:bottom w:w="0" w:type="dxa"/>
            </w:tcMar>
            <w:vAlign w:val="center"/>
          </w:tcPr>
          <w:p w14:paraId="433EF9B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w:t>
            </w:r>
          </w:p>
        </w:tc>
        <w:tc>
          <w:tcPr>
            <w:tcW w:w="945" w:type="pct"/>
            <w:tcMar>
              <w:top w:w="0" w:type="dxa"/>
              <w:bottom w:w="0" w:type="dxa"/>
            </w:tcMar>
            <w:vAlign w:val="center"/>
          </w:tcPr>
          <w:p w14:paraId="61FFF9C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6ADB4649" w14:textId="77777777" w:rsidTr="00DA3766">
        <w:trPr>
          <w:trHeight w:val="397"/>
          <w:jc w:val="center"/>
        </w:trPr>
        <w:tc>
          <w:tcPr>
            <w:tcW w:w="647" w:type="pct"/>
            <w:vMerge/>
            <w:tcMar>
              <w:top w:w="0" w:type="dxa"/>
              <w:bottom w:w="0" w:type="dxa"/>
            </w:tcMar>
            <w:vAlign w:val="center"/>
          </w:tcPr>
          <w:p w14:paraId="70491D9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00071F6" w14:textId="3A5C49C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国</w:t>
            </w:r>
          </w:p>
        </w:tc>
        <w:tc>
          <w:tcPr>
            <w:tcW w:w="997" w:type="pct"/>
            <w:tcMar>
              <w:top w:w="0" w:type="dxa"/>
              <w:bottom w:w="0" w:type="dxa"/>
            </w:tcMar>
            <w:vAlign w:val="center"/>
          </w:tcPr>
          <w:p w14:paraId="6C20B10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3D341809"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12.28</w:t>
            </w:r>
          </w:p>
        </w:tc>
        <w:tc>
          <w:tcPr>
            <w:tcW w:w="831" w:type="pct"/>
            <w:tcMar>
              <w:top w:w="0" w:type="dxa"/>
              <w:bottom w:w="0" w:type="dxa"/>
            </w:tcMar>
            <w:vAlign w:val="center"/>
          </w:tcPr>
          <w:p w14:paraId="128AD7A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37F047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44EC4060" w14:textId="77777777" w:rsidTr="00DA3766">
        <w:trPr>
          <w:trHeight w:val="397"/>
          <w:jc w:val="center"/>
        </w:trPr>
        <w:tc>
          <w:tcPr>
            <w:tcW w:w="647" w:type="pct"/>
            <w:vMerge/>
            <w:tcMar>
              <w:top w:w="0" w:type="dxa"/>
              <w:bottom w:w="0" w:type="dxa"/>
            </w:tcMar>
            <w:vAlign w:val="center"/>
          </w:tcPr>
          <w:p w14:paraId="79243E80"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7E7EA88F" w14:textId="018683AD"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梁</w:t>
            </w:r>
          </w:p>
        </w:tc>
        <w:tc>
          <w:tcPr>
            <w:tcW w:w="997" w:type="pct"/>
            <w:tcMar>
              <w:top w:w="0" w:type="dxa"/>
              <w:bottom w:w="0" w:type="dxa"/>
            </w:tcMar>
            <w:vAlign w:val="center"/>
          </w:tcPr>
          <w:p w14:paraId="5C15841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40792FD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11.51</w:t>
            </w:r>
          </w:p>
        </w:tc>
        <w:tc>
          <w:tcPr>
            <w:tcW w:w="831" w:type="pct"/>
            <w:tcMar>
              <w:top w:w="0" w:type="dxa"/>
              <w:bottom w:w="0" w:type="dxa"/>
            </w:tcMar>
            <w:vAlign w:val="center"/>
          </w:tcPr>
          <w:p w14:paraId="042DEC0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0C4B1F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38B6C344" w14:textId="77777777" w:rsidTr="00DA3766">
        <w:trPr>
          <w:trHeight w:val="397"/>
          <w:jc w:val="center"/>
        </w:trPr>
        <w:tc>
          <w:tcPr>
            <w:tcW w:w="647" w:type="pct"/>
            <w:vMerge/>
            <w:tcMar>
              <w:top w:w="0" w:type="dxa"/>
              <w:bottom w:w="0" w:type="dxa"/>
            </w:tcMar>
            <w:vAlign w:val="center"/>
          </w:tcPr>
          <w:p w14:paraId="366E6F3A"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45ADE16E"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3AAE1F3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261.88</w:t>
            </w:r>
          </w:p>
        </w:tc>
        <w:tc>
          <w:tcPr>
            <w:tcW w:w="831" w:type="pct"/>
            <w:tcMar>
              <w:top w:w="0" w:type="dxa"/>
              <w:bottom w:w="0" w:type="dxa"/>
            </w:tcMar>
            <w:vAlign w:val="center"/>
          </w:tcPr>
          <w:p w14:paraId="44F13EA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1.06%</w:t>
            </w:r>
          </w:p>
        </w:tc>
        <w:tc>
          <w:tcPr>
            <w:tcW w:w="945" w:type="pct"/>
            <w:tcMar>
              <w:top w:w="0" w:type="dxa"/>
              <w:bottom w:w="0" w:type="dxa"/>
            </w:tcMar>
            <w:vAlign w:val="center"/>
          </w:tcPr>
          <w:p w14:paraId="75FE52A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37.86</w:t>
            </w:r>
          </w:p>
        </w:tc>
      </w:tr>
    </w:tbl>
    <w:p w14:paraId="10A35BE6" w14:textId="229FD8B0" w:rsidR="007921C1" w:rsidRPr="00DA3766" w:rsidRDefault="007921C1" w:rsidP="00DA3766">
      <w:pPr>
        <w:pStyle w:val="aff8"/>
        <w:spacing w:before="120" w:after="120"/>
        <w:ind w:left="0" w:firstLine="480"/>
        <w:jc w:val="both"/>
        <w:rPr>
          <w:rFonts w:ascii="Times New Roman" w:hAnsi="Times New Roman" w:cs="Times New Roman"/>
        </w:rPr>
      </w:pPr>
      <w:r w:rsidRPr="00DA3766">
        <w:rPr>
          <w:rFonts w:ascii="Times New Roman" w:hAnsi="Times New Roman" w:cs="Times New Roman"/>
          <w:szCs w:val="22"/>
        </w:rPr>
        <w:t>上述主要自然人客户与标的公司不存在关联关系、潜在关联关系或其他利益安排。</w:t>
      </w:r>
    </w:p>
    <w:p w14:paraId="0060D07E" w14:textId="6DA9724E" w:rsidR="00E81C05" w:rsidRPr="00DA3766" w:rsidRDefault="00E81C05" w:rsidP="00E81C05">
      <w:pPr>
        <w:pStyle w:val="002"/>
        <w:spacing w:before="120" w:after="120"/>
        <w:ind w:firstLine="482"/>
      </w:pPr>
      <w:r w:rsidRPr="00DA3766">
        <w:t>十四、</w:t>
      </w:r>
      <w:bookmarkStart w:id="79" w:name="_Hlk218261142"/>
      <w:r w:rsidRPr="00DA3766">
        <w:t>报告期内标的资产客户与供应商重叠的具体情况，相关销售、采购交易的必要性、真实性及公允性</w:t>
      </w:r>
      <w:bookmarkEnd w:id="79"/>
    </w:p>
    <w:p w14:paraId="0F437042" w14:textId="4AA5161F" w:rsidR="00B85474" w:rsidRPr="00DA3766" w:rsidRDefault="00B85474" w:rsidP="00B85474">
      <w:pPr>
        <w:pStyle w:val="005"/>
        <w:spacing w:before="120" w:after="120"/>
        <w:ind w:firstLine="480"/>
      </w:pPr>
      <w:bookmarkStart w:id="80" w:name="_Hlk219144538"/>
      <w:r w:rsidRPr="00DA3766">
        <w:t>报告期各期，对标的公司采购单期超过</w:t>
      </w:r>
      <w:r w:rsidRPr="00DA3766">
        <w:t>100</w:t>
      </w:r>
      <w:r w:rsidRPr="00DA3766">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B85474" w:rsidRPr="00DA3766" w14:paraId="4190C690" w14:textId="77777777" w:rsidTr="00DA3766">
        <w:trPr>
          <w:trHeight w:val="397"/>
          <w:jc w:val="center"/>
        </w:trPr>
        <w:tc>
          <w:tcPr>
            <w:tcW w:w="2228" w:type="pct"/>
            <w:tcMar>
              <w:top w:w="0" w:type="dxa"/>
              <w:left w:w="108" w:type="dxa"/>
              <w:bottom w:w="0" w:type="dxa"/>
              <w:right w:w="108" w:type="dxa"/>
            </w:tcMar>
            <w:vAlign w:val="center"/>
          </w:tcPr>
          <w:p w14:paraId="29364F79"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项目</w:t>
            </w:r>
          </w:p>
        </w:tc>
        <w:tc>
          <w:tcPr>
            <w:tcW w:w="1185" w:type="pct"/>
            <w:tcMar>
              <w:top w:w="0" w:type="dxa"/>
              <w:left w:w="108" w:type="dxa"/>
              <w:bottom w:w="0" w:type="dxa"/>
              <w:right w:w="108" w:type="dxa"/>
            </w:tcMar>
            <w:vAlign w:val="center"/>
          </w:tcPr>
          <w:p w14:paraId="239390FA"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金额（万元）</w:t>
            </w:r>
          </w:p>
        </w:tc>
        <w:tc>
          <w:tcPr>
            <w:tcW w:w="1587" w:type="pct"/>
            <w:tcMar>
              <w:top w:w="0" w:type="dxa"/>
              <w:left w:w="108" w:type="dxa"/>
              <w:bottom w:w="0" w:type="dxa"/>
              <w:right w:w="108" w:type="dxa"/>
            </w:tcMar>
            <w:vAlign w:val="center"/>
          </w:tcPr>
          <w:p w14:paraId="6F2D8D40"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占采购总额的比例</w:t>
            </w:r>
          </w:p>
        </w:tc>
      </w:tr>
      <w:tr w:rsidR="00B85474" w:rsidRPr="00DA3766" w14:paraId="2C4A6CE6" w14:textId="77777777" w:rsidTr="00DA3766">
        <w:trPr>
          <w:trHeight w:val="397"/>
          <w:jc w:val="center"/>
        </w:trPr>
        <w:tc>
          <w:tcPr>
            <w:tcW w:w="2228" w:type="pct"/>
            <w:tcMar>
              <w:top w:w="0" w:type="dxa"/>
              <w:left w:w="108" w:type="dxa"/>
              <w:bottom w:w="0" w:type="dxa"/>
              <w:right w:w="108" w:type="dxa"/>
            </w:tcMar>
            <w:vAlign w:val="center"/>
          </w:tcPr>
          <w:p w14:paraId="6A1E54F5"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2025</w:t>
            </w:r>
            <w:r w:rsidRPr="00DA3766">
              <w:rPr>
                <w:rFonts w:ascii="Times New Roman" w:eastAsia="宋体" w:hAnsi="Times New Roman" w:cs="Times New Roman"/>
                <w:color w:val="000000"/>
                <w:kern w:val="2"/>
                <w:sz w:val="21"/>
                <w:szCs w:val="21"/>
              </w:rPr>
              <w:t>年</w:t>
            </w:r>
            <w:r w:rsidRPr="00DA3766">
              <w:rPr>
                <w:rFonts w:ascii="Times New Roman" w:eastAsia="宋体" w:hAnsi="Times New Roman" w:cs="Times New Roman"/>
                <w:color w:val="000000"/>
                <w:kern w:val="2"/>
                <w:sz w:val="21"/>
                <w:szCs w:val="21"/>
              </w:rPr>
              <w:t>1-6</w:t>
            </w:r>
            <w:r w:rsidRPr="00DA3766">
              <w:rPr>
                <w:rFonts w:ascii="Times New Roman" w:eastAsia="宋体" w:hAnsi="Times New Roman" w:cs="Times New Roman"/>
                <w:color w:val="000000"/>
                <w:kern w:val="2"/>
                <w:sz w:val="21"/>
                <w:szCs w:val="21"/>
              </w:rPr>
              <w:t>月</w:t>
            </w:r>
          </w:p>
        </w:tc>
        <w:tc>
          <w:tcPr>
            <w:tcW w:w="1185" w:type="pct"/>
            <w:tcMar>
              <w:top w:w="0" w:type="dxa"/>
              <w:left w:w="108" w:type="dxa"/>
              <w:bottom w:w="0" w:type="dxa"/>
              <w:right w:w="108" w:type="dxa"/>
            </w:tcMar>
            <w:vAlign w:val="center"/>
          </w:tcPr>
          <w:p w14:paraId="28AE224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37.32</w:t>
            </w:r>
          </w:p>
        </w:tc>
        <w:tc>
          <w:tcPr>
            <w:tcW w:w="1587" w:type="pct"/>
            <w:tcMar>
              <w:top w:w="0" w:type="dxa"/>
              <w:left w:w="108" w:type="dxa"/>
              <w:bottom w:w="0" w:type="dxa"/>
              <w:right w:w="108" w:type="dxa"/>
            </w:tcMar>
            <w:vAlign w:val="center"/>
          </w:tcPr>
          <w:p w14:paraId="3B64FCFE"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0.31%</w:t>
            </w:r>
          </w:p>
        </w:tc>
      </w:tr>
      <w:tr w:rsidR="00B85474" w:rsidRPr="00DA3766" w14:paraId="197CECFD" w14:textId="77777777" w:rsidTr="00DA3766">
        <w:trPr>
          <w:trHeight w:val="397"/>
          <w:jc w:val="center"/>
        </w:trPr>
        <w:tc>
          <w:tcPr>
            <w:tcW w:w="2228" w:type="pct"/>
            <w:tcMar>
              <w:top w:w="0" w:type="dxa"/>
              <w:left w:w="108" w:type="dxa"/>
              <w:bottom w:w="0" w:type="dxa"/>
              <w:right w:w="108" w:type="dxa"/>
            </w:tcMar>
            <w:vAlign w:val="center"/>
          </w:tcPr>
          <w:p w14:paraId="3E40781D"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2024</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4A4CD217"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23.61</w:t>
            </w:r>
          </w:p>
        </w:tc>
        <w:tc>
          <w:tcPr>
            <w:tcW w:w="1587" w:type="pct"/>
            <w:tcMar>
              <w:top w:w="0" w:type="dxa"/>
              <w:left w:w="108" w:type="dxa"/>
              <w:bottom w:w="0" w:type="dxa"/>
              <w:right w:w="108" w:type="dxa"/>
            </w:tcMar>
            <w:vAlign w:val="center"/>
          </w:tcPr>
          <w:p w14:paraId="0024A93B"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0.11%</w:t>
            </w:r>
          </w:p>
        </w:tc>
      </w:tr>
      <w:tr w:rsidR="00B85474" w:rsidRPr="00DA3766" w14:paraId="1438A409" w14:textId="77777777" w:rsidTr="00DA3766">
        <w:trPr>
          <w:trHeight w:val="397"/>
          <w:jc w:val="center"/>
        </w:trPr>
        <w:tc>
          <w:tcPr>
            <w:tcW w:w="2228" w:type="pct"/>
            <w:tcMar>
              <w:top w:w="0" w:type="dxa"/>
              <w:left w:w="108" w:type="dxa"/>
              <w:bottom w:w="0" w:type="dxa"/>
              <w:right w:w="108" w:type="dxa"/>
            </w:tcMar>
            <w:vAlign w:val="center"/>
          </w:tcPr>
          <w:p w14:paraId="689C745C"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2023</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5528DC7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26.07</w:t>
            </w:r>
          </w:p>
        </w:tc>
        <w:tc>
          <w:tcPr>
            <w:tcW w:w="1587" w:type="pct"/>
            <w:tcMar>
              <w:top w:w="0" w:type="dxa"/>
              <w:left w:w="108" w:type="dxa"/>
              <w:bottom w:w="0" w:type="dxa"/>
              <w:right w:w="108" w:type="dxa"/>
            </w:tcMar>
            <w:vAlign w:val="center"/>
          </w:tcPr>
          <w:p w14:paraId="1B9DEA77"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0.13%</w:t>
            </w:r>
          </w:p>
        </w:tc>
      </w:tr>
    </w:tbl>
    <w:bookmarkEnd w:id="80"/>
    <w:p w14:paraId="5BF9A7B6" w14:textId="33B272EF" w:rsidR="00B85474" w:rsidRPr="00DA3766" w:rsidRDefault="00B85474" w:rsidP="00B85474">
      <w:pPr>
        <w:pStyle w:val="005"/>
        <w:spacing w:before="120" w:after="120"/>
        <w:ind w:firstLine="480"/>
      </w:pPr>
      <w:r w:rsidRPr="00DA3766">
        <w:lastRenderedPageBreak/>
        <w:t>报告期各期，对标的公司销售单期超过</w:t>
      </w:r>
      <w:r w:rsidRPr="00DA3766">
        <w:t>100</w:t>
      </w:r>
      <w:r w:rsidRPr="00DA3766">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B85474" w:rsidRPr="00DA3766" w14:paraId="6E9BA0F2" w14:textId="77777777" w:rsidTr="00DA3766">
        <w:trPr>
          <w:trHeight w:val="397"/>
          <w:jc w:val="center"/>
        </w:trPr>
        <w:tc>
          <w:tcPr>
            <w:tcW w:w="2228" w:type="pct"/>
            <w:tcMar>
              <w:top w:w="0" w:type="dxa"/>
              <w:left w:w="108" w:type="dxa"/>
              <w:bottom w:w="0" w:type="dxa"/>
              <w:right w:w="108" w:type="dxa"/>
            </w:tcMar>
            <w:vAlign w:val="center"/>
          </w:tcPr>
          <w:p w14:paraId="13A3E509"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项目</w:t>
            </w:r>
          </w:p>
        </w:tc>
        <w:tc>
          <w:tcPr>
            <w:tcW w:w="1185" w:type="pct"/>
            <w:tcMar>
              <w:top w:w="0" w:type="dxa"/>
              <w:left w:w="108" w:type="dxa"/>
              <w:bottom w:w="0" w:type="dxa"/>
              <w:right w:w="108" w:type="dxa"/>
            </w:tcMar>
            <w:vAlign w:val="center"/>
          </w:tcPr>
          <w:p w14:paraId="11963DAC"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金额（万元）</w:t>
            </w:r>
          </w:p>
        </w:tc>
        <w:tc>
          <w:tcPr>
            <w:tcW w:w="1587" w:type="pct"/>
            <w:tcMar>
              <w:top w:w="0" w:type="dxa"/>
              <w:left w:w="108" w:type="dxa"/>
              <w:bottom w:w="0" w:type="dxa"/>
              <w:right w:w="108" w:type="dxa"/>
            </w:tcMar>
            <w:vAlign w:val="center"/>
          </w:tcPr>
          <w:p w14:paraId="4BC8BA30"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占营业收入的比例</w:t>
            </w:r>
          </w:p>
        </w:tc>
      </w:tr>
      <w:tr w:rsidR="00B85474" w:rsidRPr="00DA3766" w14:paraId="3116E9A3" w14:textId="77777777" w:rsidTr="00DA3766">
        <w:trPr>
          <w:trHeight w:val="397"/>
          <w:jc w:val="center"/>
        </w:trPr>
        <w:tc>
          <w:tcPr>
            <w:tcW w:w="2228" w:type="pct"/>
            <w:tcMar>
              <w:top w:w="0" w:type="dxa"/>
              <w:left w:w="108" w:type="dxa"/>
              <w:bottom w:w="0" w:type="dxa"/>
              <w:right w:w="108" w:type="dxa"/>
            </w:tcMar>
            <w:vAlign w:val="center"/>
          </w:tcPr>
          <w:p w14:paraId="637A5820"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2025</w:t>
            </w:r>
            <w:r w:rsidRPr="00DA3766">
              <w:rPr>
                <w:rFonts w:ascii="Times New Roman" w:eastAsia="宋体" w:hAnsi="Times New Roman" w:cs="Times New Roman"/>
                <w:color w:val="000000"/>
                <w:kern w:val="2"/>
                <w:sz w:val="21"/>
                <w:szCs w:val="21"/>
              </w:rPr>
              <w:t>年</w:t>
            </w:r>
            <w:r w:rsidRPr="00DA3766">
              <w:rPr>
                <w:rFonts w:ascii="Times New Roman" w:eastAsia="宋体" w:hAnsi="Times New Roman" w:cs="Times New Roman"/>
                <w:color w:val="000000"/>
                <w:kern w:val="2"/>
                <w:sz w:val="21"/>
                <w:szCs w:val="21"/>
              </w:rPr>
              <w:t>1-6</w:t>
            </w:r>
            <w:r w:rsidRPr="00DA3766">
              <w:rPr>
                <w:rFonts w:ascii="Times New Roman" w:eastAsia="宋体" w:hAnsi="Times New Roman" w:cs="Times New Roman"/>
                <w:color w:val="000000"/>
                <w:kern w:val="2"/>
                <w:sz w:val="21"/>
                <w:szCs w:val="21"/>
              </w:rPr>
              <w:t>月</w:t>
            </w:r>
          </w:p>
        </w:tc>
        <w:tc>
          <w:tcPr>
            <w:tcW w:w="1185" w:type="pct"/>
            <w:tcMar>
              <w:top w:w="0" w:type="dxa"/>
              <w:left w:w="108" w:type="dxa"/>
              <w:bottom w:w="0" w:type="dxa"/>
              <w:right w:w="108" w:type="dxa"/>
            </w:tcMar>
            <w:vAlign w:val="center"/>
          </w:tcPr>
          <w:p w14:paraId="6793B956"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6.32</w:t>
            </w:r>
          </w:p>
        </w:tc>
        <w:tc>
          <w:tcPr>
            <w:tcW w:w="1587" w:type="pct"/>
            <w:tcMar>
              <w:top w:w="0" w:type="dxa"/>
              <w:left w:w="108" w:type="dxa"/>
              <w:bottom w:w="0" w:type="dxa"/>
              <w:right w:w="108" w:type="dxa"/>
            </w:tcMar>
            <w:vAlign w:val="center"/>
          </w:tcPr>
          <w:p w14:paraId="2939FFCB"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0.03%</w:t>
            </w:r>
          </w:p>
        </w:tc>
      </w:tr>
      <w:tr w:rsidR="00B85474" w:rsidRPr="00DA3766" w14:paraId="36285253" w14:textId="77777777" w:rsidTr="00DA3766">
        <w:trPr>
          <w:trHeight w:val="397"/>
          <w:jc w:val="center"/>
        </w:trPr>
        <w:tc>
          <w:tcPr>
            <w:tcW w:w="2228" w:type="pct"/>
            <w:tcMar>
              <w:top w:w="0" w:type="dxa"/>
              <w:left w:w="108" w:type="dxa"/>
              <w:bottom w:w="0" w:type="dxa"/>
              <w:right w:w="108" w:type="dxa"/>
            </w:tcMar>
            <w:vAlign w:val="center"/>
          </w:tcPr>
          <w:p w14:paraId="570DD25A"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2024</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484BB31E"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65.34</w:t>
            </w:r>
          </w:p>
        </w:tc>
        <w:tc>
          <w:tcPr>
            <w:tcW w:w="1587" w:type="pct"/>
            <w:tcMar>
              <w:top w:w="0" w:type="dxa"/>
              <w:left w:w="108" w:type="dxa"/>
              <w:bottom w:w="0" w:type="dxa"/>
              <w:right w:w="108" w:type="dxa"/>
            </w:tcMar>
            <w:vAlign w:val="center"/>
          </w:tcPr>
          <w:p w14:paraId="1B23595F"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0.15%</w:t>
            </w:r>
          </w:p>
        </w:tc>
      </w:tr>
      <w:tr w:rsidR="00B85474" w:rsidRPr="00DA3766" w14:paraId="7CEC2BED" w14:textId="77777777" w:rsidTr="00DA3766">
        <w:trPr>
          <w:trHeight w:val="397"/>
          <w:jc w:val="center"/>
        </w:trPr>
        <w:tc>
          <w:tcPr>
            <w:tcW w:w="2228" w:type="pct"/>
            <w:tcMar>
              <w:top w:w="0" w:type="dxa"/>
              <w:left w:w="108" w:type="dxa"/>
              <w:bottom w:w="0" w:type="dxa"/>
              <w:right w:w="108" w:type="dxa"/>
            </w:tcMar>
            <w:vAlign w:val="center"/>
          </w:tcPr>
          <w:p w14:paraId="43EB1890"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2023</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2D1A210F"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115.90</w:t>
            </w:r>
          </w:p>
        </w:tc>
        <w:tc>
          <w:tcPr>
            <w:tcW w:w="1587" w:type="pct"/>
            <w:tcMar>
              <w:top w:w="0" w:type="dxa"/>
              <w:left w:w="108" w:type="dxa"/>
              <w:bottom w:w="0" w:type="dxa"/>
              <w:right w:w="108" w:type="dxa"/>
            </w:tcMar>
            <w:vAlign w:val="center"/>
          </w:tcPr>
          <w:p w14:paraId="5E7300A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0.30%</w:t>
            </w:r>
          </w:p>
        </w:tc>
      </w:tr>
    </w:tbl>
    <w:p w14:paraId="4056201F" w14:textId="0C03FDDF" w:rsidR="007921C1" w:rsidRPr="00DA3766" w:rsidRDefault="004D53C4" w:rsidP="00B85474">
      <w:pPr>
        <w:pStyle w:val="005"/>
        <w:spacing w:before="120" w:after="120"/>
        <w:ind w:firstLine="480"/>
      </w:pPr>
      <w:r w:rsidRPr="00DA3766">
        <w:t>报告期内，标的公司存在少量客户与供应商重叠的情形，主要系标的公司向客户提供</w:t>
      </w:r>
      <w:r w:rsidRPr="00DA3766">
        <w:t>IoT</w:t>
      </w:r>
      <w:r w:rsidRPr="00DA3766">
        <w:t>智能硬件销售的同时向其采购相关市场售后服务。标的公司与相关主体的交易行为系基于真实的业务需求，业务开展具有合理性和必要性，符合行业特征和</w:t>
      </w:r>
      <w:r w:rsidR="00207316" w:rsidRPr="00DA3766">
        <w:t>标的公司</w:t>
      </w:r>
      <w:r w:rsidRPr="00DA3766">
        <w:t>经营模式，相关销售或采购价格系双方结合同类产品市场价格协商确定，交易价格</w:t>
      </w:r>
      <w:r w:rsidR="009F019A" w:rsidRPr="00DA3766">
        <w:t>具有</w:t>
      </w:r>
      <w:r w:rsidRPr="00DA3766">
        <w:t>公允</w:t>
      </w:r>
      <w:r w:rsidR="009F019A" w:rsidRPr="00DA3766">
        <w:t>性</w:t>
      </w:r>
      <w:r w:rsidRPr="00DA3766">
        <w:t>。</w:t>
      </w:r>
    </w:p>
    <w:p w14:paraId="238CDF8E" w14:textId="73668CE2" w:rsidR="00E81C05" w:rsidRPr="00DA3766" w:rsidRDefault="00E81C05" w:rsidP="00E81C05">
      <w:pPr>
        <w:pStyle w:val="002"/>
        <w:spacing w:before="120" w:after="120"/>
        <w:ind w:firstLine="482"/>
      </w:pPr>
      <w:r w:rsidRPr="00DA3766">
        <w:t>十五、标的资产第三方回款的具体情况、原因及商业合理性，第三方回款的支付方与标的资产是否存在关联关系及其他利益安排，对应收入的真实性；</w:t>
      </w:r>
      <w:bookmarkStart w:id="81" w:name="OLE_LINK145"/>
      <w:r w:rsidRPr="00DA3766">
        <w:t>标的资产对第三方回款拟采取的整改措施及其有效性</w:t>
      </w:r>
      <w:bookmarkEnd w:id="81"/>
    </w:p>
    <w:p w14:paraId="7689EC4A" w14:textId="35D00F53" w:rsidR="00C23F3B" w:rsidRPr="00DA3766" w:rsidRDefault="00C23F3B" w:rsidP="00C21C9D">
      <w:pPr>
        <w:pStyle w:val="005"/>
        <w:spacing w:before="120" w:after="120"/>
        <w:ind w:firstLine="480"/>
      </w:pPr>
      <w:bookmarkStart w:id="82" w:name="OLE_LINK146"/>
      <w:r w:rsidRPr="00DA3766">
        <w:t>报告期内，标的公司第三方回款占营业收入的比例较小，仅</w:t>
      </w:r>
      <w:r w:rsidRPr="00DA3766">
        <w:t>2023</w:t>
      </w:r>
      <w:r w:rsidRPr="00DA3766">
        <w:t>年存在占</w:t>
      </w:r>
      <w:r w:rsidR="00AE6965">
        <w:rPr>
          <w:rFonts w:hint="eastAsia"/>
        </w:rPr>
        <w:t>当期</w:t>
      </w:r>
      <w:r w:rsidRPr="00DA3766">
        <w:t>营业收入</w:t>
      </w:r>
      <w:r w:rsidRPr="00DA3766">
        <w:t>0.24%</w:t>
      </w:r>
      <w:r w:rsidRPr="00DA3766">
        <w:t>的第三方回款，主要原因包括客户为提高交易效率而由其股东代付等，具备商业合理性，对应收入具备真实性。第三方回款的支付方与标的公司不存在关联关系及其他利益安排。为进一步规范第三方回款，标的公司将严格要求客户使用合同约定的主体进行相关款项支付，若客户拟使用其他主体进行支付，则要求提前签订三方协议共同约定支付主体变更事项，可有效控制第三方回款。</w:t>
      </w:r>
    </w:p>
    <w:bookmarkEnd w:id="82"/>
    <w:p w14:paraId="420CF5A6" w14:textId="089995E8" w:rsidR="00E81C05" w:rsidRPr="00DA3766" w:rsidRDefault="00E81C05" w:rsidP="00E81C05">
      <w:pPr>
        <w:pStyle w:val="002"/>
        <w:spacing w:before="120" w:after="120"/>
        <w:ind w:firstLine="482"/>
      </w:pPr>
      <w:r w:rsidRPr="00DA3766">
        <w:t>十六、标的资产处置持有的科蝶信息、</w:t>
      </w:r>
      <w:r w:rsidRPr="00DA3766">
        <w:t>STARTHINGPTE.LTD.</w:t>
      </w:r>
      <w:r w:rsidRPr="00DA3766">
        <w:t>的股权的原因、处置价款的公允性，该事项对标的资产财务数据及未来持续经营能力的影响</w:t>
      </w:r>
    </w:p>
    <w:p w14:paraId="5323283E" w14:textId="6763876C" w:rsidR="00E81C05" w:rsidRPr="00DA3766" w:rsidRDefault="004D53C4" w:rsidP="00E81C05">
      <w:pPr>
        <w:pStyle w:val="005"/>
        <w:spacing w:before="120" w:after="120"/>
        <w:ind w:firstLine="480"/>
      </w:pPr>
      <w:r w:rsidRPr="00DA3766">
        <w:t>报告期内，标的公司基于未来的业务发展战略，优化整体资源配置，将持有的科蝶信息、</w:t>
      </w:r>
      <w:r w:rsidRPr="00DA3766">
        <w:t>STARTHINGPTE.LTD.</w:t>
      </w:r>
      <w:r w:rsidRPr="00DA3766">
        <w:t>的股权进行处置，股权处置价款主要是依据标的公司聘请的评估公司出具的相关股权估值报告，由于报告期内的股权处置事项为标的公司综合考虑未来业务发展方向以及资源配置的结果，故该事项对标的</w:t>
      </w:r>
      <w:r w:rsidRPr="00DA3766">
        <w:lastRenderedPageBreak/>
        <w:t>公司财务数据及未来持续经营能力不会产生重大不利影响。</w:t>
      </w:r>
    </w:p>
    <w:p w14:paraId="1C04D6BB" w14:textId="77777777" w:rsidR="00E76498" w:rsidRDefault="00E76498" w:rsidP="00E76498">
      <w:pPr>
        <w:pStyle w:val="002"/>
        <w:spacing w:before="120" w:after="120"/>
        <w:ind w:firstLine="482"/>
      </w:pPr>
      <w:bookmarkStart w:id="83" w:name="_Toc220344118"/>
      <w:r w:rsidRPr="00DA3766">
        <w:t>十七、</w:t>
      </w:r>
      <w:r>
        <w:rPr>
          <w:rFonts w:hint="eastAsia"/>
        </w:rPr>
        <w:t>中介机构核查过程及核查意见</w:t>
      </w:r>
    </w:p>
    <w:p w14:paraId="00AE7D8F"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41137E36"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23DDBE5A" w14:textId="77777777" w:rsidR="00E76498" w:rsidRPr="00DA3766" w:rsidRDefault="00E76498" w:rsidP="00E76498">
      <w:pPr>
        <w:pStyle w:val="005"/>
        <w:spacing w:before="120" w:after="120"/>
        <w:ind w:firstLine="480"/>
      </w:pPr>
      <w:r w:rsidRPr="00DA3766">
        <w:t>针对前述事项，独立财务顾问主要实施了以下核查程序：</w:t>
      </w:r>
    </w:p>
    <w:p w14:paraId="0CDC54BF"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了解标的公司相关内部控制制度，检查标的公司销售与收款循环等的相关内部控制；</w:t>
      </w:r>
    </w:p>
    <w:p w14:paraId="7BABD2E3"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获取标的公司收入确认政策，与同行业可比公司进行对比，核查标的公司收入确认政策的合理性；</w:t>
      </w:r>
    </w:p>
    <w:p w14:paraId="09C654D1"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对标的公司的收入执行穿行测试及细节测试，抽样检查与收入确认相关的支持性文件，包括销售合同或订单、发票、签收单及记账凭证等，核查收入的真实性和准确性，核查收入确认是否具备证据支持；</w:t>
      </w:r>
      <w:r w:rsidRPr="00DA3766">
        <w:t xml:space="preserve"> </w:t>
      </w:r>
    </w:p>
    <w:p w14:paraId="18B07D44"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执行收入截止性测试，在资产负债表日前后标的公司确认的收入交易中选取样本，核查收入是否记录于恰当的会计期间；</w:t>
      </w:r>
    </w:p>
    <w:p w14:paraId="45C25B0A"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对标的公司主要客户进行访谈，了解主要客户基本情况、双方合作历史、主要交易内容、与标的公司是否存在关联关系等情况；</w:t>
      </w:r>
    </w:p>
    <w:p w14:paraId="4C2B7775"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对标的公司主要客户销售情况执行函证程序，核查交易发生额及往来余额的准确性；</w:t>
      </w:r>
    </w:p>
    <w:p w14:paraId="3A92A1C4"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对标的公司营业收入和毛利率的变动执行分析性程序，分析变动的合理性，识别是否存在重大或异常变动；</w:t>
      </w:r>
    </w:p>
    <w:p w14:paraId="2654A303"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了解标的公司相关内部控制制度，检查标的公司采购与付款循环、生产与存货循环等的相关内部控制；</w:t>
      </w:r>
    </w:p>
    <w:p w14:paraId="17FE7685"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获取标的公司成本核算政策，核查标的公司成本核算政策的合理性；</w:t>
      </w:r>
    </w:p>
    <w:p w14:paraId="18158A49"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w:t>
      </w:r>
      <w:r w:rsidRPr="00DA3766">
        <w:t>对标的公司的采购、成本执行穿行测试及细节测试，抽样检查与成本核算相关的支持性文件，包括采购合同或订单、发票、出入库单、成本台账及记账凭证等，核查成本的真实性和准确性；</w:t>
      </w:r>
      <w:r w:rsidRPr="00DA3766">
        <w:t xml:space="preserve"> </w:t>
      </w:r>
    </w:p>
    <w:p w14:paraId="0D66CE51" w14:textId="77777777" w:rsidR="00E76498" w:rsidRPr="00DA3766" w:rsidRDefault="00E76498" w:rsidP="00E76498">
      <w:pPr>
        <w:pStyle w:val="005"/>
        <w:spacing w:before="120" w:after="120"/>
        <w:ind w:firstLine="480"/>
      </w:pPr>
      <w:r>
        <w:rPr>
          <w:rFonts w:hint="eastAsia"/>
        </w:rPr>
        <w:lastRenderedPageBreak/>
        <w:t>（</w:t>
      </w:r>
      <w:r>
        <w:rPr>
          <w:rFonts w:hint="eastAsia"/>
        </w:rPr>
        <w:t>11</w:t>
      </w:r>
      <w:r>
        <w:rPr>
          <w:rFonts w:hint="eastAsia"/>
        </w:rPr>
        <w:t>）</w:t>
      </w:r>
      <w:r w:rsidRPr="00DA3766">
        <w:t>对标的公司主要供应商进行访谈，了解主要供应商基本情况、双方合作历史、主要交易内容、与标的公司是否存在关联关系等情况；</w:t>
      </w:r>
      <w:r w:rsidRPr="00DA3766">
        <w:t xml:space="preserve"> </w:t>
      </w:r>
    </w:p>
    <w:p w14:paraId="3C05AAF4" w14:textId="77777777" w:rsidR="00E76498" w:rsidRPr="00DA3766" w:rsidRDefault="00E76498" w:rsidP="00E76498">
      <w:pPr>
        <w:pStyle w:val="005"/>
        <w:spacing w:before="120" w:after="120"/>
        <w:ind w:firstLine="480"/>
      </w:pPr>
      <w:r>
        <w:rPr>
          <w:rFonts w:hint="eastAsia"/>
        </w:rPr>
        <w:t>（</w:t>
      </w:r>
      <w:r>
        <w:rPr>
          <w:rFonts w:hint="eastAsia"/>
        </w:rPr>
        <w:t>12</w:t>
      </w:r>
      <w:r>
        <w:rPr>
          <w:rFonts w:hint="eastAsia"/>
        </w:rPr>
        <w:t>）</w:t>
      </w:r>
      <w:r w:rsidRPr="00DA3766">
        <w:t>对标的公司主要供应商采购情况执行函证程序，核查交易发生额及往来余额的准确性；</w:t>
      </w:r>
    </w:p>
    <w:p w14:paraId="407C2EF4" w14:textId="77777777" w:rsidR="00E76498" w:rsidRPr="00DA3766" w:rsidRDefault="00E76498" w:rsidP="00E76498">
      <w:pPr>
        <w:pStyle w:val="005"/>
        <w:spacing w:before="120" w:after="120"/>
        <w:ind w:firstLine="480"/>
      </w:pPr>
      <w:r>
        <w:rPr>
          <w:rFonts w:hint="eastAsia"/>
        </w:rPr>
        <w:t>（</w:t>
      </w:r>
      <w:r>
        <w:rPr>
          <w:rFonts w:hint="eastAsia"/>
        </w:rPr>
        <w:t>13</w:t>
      </w:r>
      <w:r>
        <w:rPr>
          <w:rFonts w:hint="eastAsia"/>
        </w:rPr>
        <w:t>）</w:t>
      </w:r>
      <w:r w:rsidRPr="00DA3766">
        <w:t>对标的公司营业成本的变动执行分析性程序，分析变动的合理性，识别是否存在重大或异常变动；</w:t>
      </w:r>
    </w:p>
    <w:p w14:paraId="77221816" w14:textId="77777777" w:rsidR="00E76498" w:rsidRPr="00DA3766" w:rsidRDefault="00E76498" w:rsidP="00E76498">
      <w:pPr>
        <w:pStyle w:val="005"/>
        <w:spacing w:before="120" w:after="120"/>
        <w:ind w:firstLine="480"/>
      </w:pPr>
      <w:r>
        <w:rPr>
          <w:rFonts w:hint="eastAsia"/>
        </w:rPr>
        <w:t>（</w:t>
      </w:r>
      <w:r>
        <w:rPr>
          <w:rFonts w:hint="eastAsia"/>
        </w:rPr>
        <w:t>14</w:t>
      </w:r>
      <w:r>
        <w:rPr>
          <w:rFonts w:hint="eastAsia"/>
        </w:rPr>
        <w:t>）</w:t>
      </w:r>
      <w:r w:rsidRPr="00DA3766">
        <w:t>对标的公司存货等资产实施监盘；</w:t>
      </w:r>
    </w:p>
    <w:p w14:paraId="7202EED6" w14:textId="77777777" w:rsidR="00E76498" w:rsidRPr="00DA3766" w:rsidRDefault="00E76498" w:rsidP="00E76498">
      <w:pPr>
        <w:pStyle w:val="005"/>
        <w:spacing w:before="120" w:after="120"/>
        <w:ind w:firstLine="480"/>
      </w:pPr>
      <w:r>
        <w:rPr>
          <w:rFonts w:hint="eastAsia"/>
        </w:rPr>
        <w:t>（</w:t>
      </w:r>
      <w:r>
        <w:rPr>
          <w:rFonts w:hint="eastAsia"/>
        </w:rPr>
        <w:t>15</w:t>
      </w:r>
      <w:r>
        <w:rPr>
          <w:rFonts w:hint="eastAsia"/>
        </w:rPr>
        <w:t>）</w:t>
      </w:r>
      <w:r w:rsidRPr="00DA3766">
        <w:t>了解标的公司费用管理相关内部控制制度，执行穿行测试检查标的公司相关内部控制；</w:t>
      </w:r>
    </w:p>
    <w:p w14:paraId="759188D7" w14:textId="77777777" w:rsidR="00E76498" w:rsidRPr="00DA3766" w:rsidRDefault="00E76498" w:rsidP="00E76498">
      <w:pPr>
        <w:pStyle w:val="005"/>
        <w:spacing w:before="120" w:after="120"/>
        <w:ind w:firstLine="480"/>
      </w:pPr>
      <w:r>
        <w:rPr>
          <w:rFonts w:hint="eastAsia"/>
        </w:rPr>
        <w:t>（</w:t>
      </w:r>
      <w:r>
        <w:rPr>
          <w:rFonts w:hint="eastAsia"/>
        </w:rPr>
        <w:t>16</w:t>
      </w:r>
      <w:r>
        <w:rPr>
          <w:rFonts w:hint="eastAsia"/>
        </w:rPr>
        <w:t>）</w:t>
      </w:r>
      <w:r w:rsidRPr="00DA3766">
        <w:t>获取标的公司期间费用明细表，对标的公司期间费用的变动执行分析性程序，分析变动的合理性，识别是否存在重大或异常变动；</w:t>
      </w:r>
    </w:p>
    <w:p w14:paraId="6B3B9F1B" w14:textId="77777777" w:rsidR="00E76498" w:rsidRPr="00DA3766" w:rsidRDefault="00E76498" w:rsidP="00E76498">
      <w:pPr>
        <w:pStyle w:val="005"/>
        <w:spacing w:before="120" w:after="120"/>
        <w:ind w:firstLine="480"/>
      </w:pPr>
      <w:r>
        <w:rPr>
          <w:rFonts w:hint="eastAsia"/>
        </w:rPr>
        <w:t>（</w:t>
      </w:r>
      <w:r>
        <w:rPr>
          <w:rFonts w:hint="eastAsia"/>
        </w:rPr>
        <w:t>17</w:t>
      </w:r>
      <w:r>
        <w:rPr>
          <w:rFonts w:hint="eastAsia"/>
        </w:rPr>
        <w:t>）</w:t>
      </w:r>
      <w:r w:rsidRPr="00DA3766">
        <w:t>检查大额期间费用支出的记账凭证及附件，核查相关支出是否合理、审批手续是否健全、费用分类是否恰当；</w:t>
      </w:r>
    </w:p>
    <w:p w14:paraId="6953CA83" w14:textId="77777777" w:rsidR="00E76498" w:rsidRPr="00DA3766" w:rsidRDefault="00E76498" w:rsidP="00E76498">
      <w:pPr>
        <w:pStyle w:val="005"/>
        <w:spacing w:before="120" w:after="120"/>
        <w:ind w:firstLine="480"/>
      </w:pPr>
      <w:r>
        <w:rPr>
          <w:rFonts w:hint="eastAsia"/>
        </w:rPr>
        <w:t>（</w:t>
      </w:r>
      <w:r>
        <w:rPr>
          <w:rFonts w:hint="eastAsia"/>
        </w:rPr>
        <w:t>18</w:t>
      </w:r>
      <w:r>
        <w:rPr>
          <w:rFonts w:hint="eastAsia"/>
        </w:rPr>
        <w:t>）</w:t>
      </w:r>
      <w:r w:rsidRPr="00DA3766">
        <w:t>执行期间费用截止性测试，在资产负债表日前后标的公司确认的期间费用支出中选取样本，核查期间费用是否记录于恰当的会计期间；</w:t>
      </w:r>
    </w:p>
    <w:p w14:paraId="4E8CFF98" w14:textId="77777777" w:rsidR="00E76498" w:rsidRPr="00DA3766" w:rsidRDefault="00E76498" w:rsidP="00E76498">
      <w:pPr>
        <w:pStyle w:val="005"/>
        <w:spacing w:before="120" w:after="120"/>
        <w:ind w:firstLine="480"/>
      </w:pPr>
      <w:r>
        <w:rPr>
          <w:rFonts w:hint="eastAsia"/>
        </w:rPr>
        <w:t>（</w:t>
      </w:r>
      <w:r>
        <w:rPr>
          <w:rFonts w:hint="eastAsia"/>
        </w:rPr>
        <w:t>19</w:t>
      </w:r>
      <w:r>
        <w:rPr>
          <w:rFonts w:hint="eastAsia"/>
        </w:rPr>
        <w:t>）</w:t>
      </w:r>
      <w:r w:rsidRPr="00DA3766">
        <w:t>查阅标的公司财务报告，对标的公司其他损益类科目的变动执行分析性程序，分析变动的合理性，识别是否存在重大或异常变动；</w:t>
      </w:r>
    </w:p>
    <w:p w14:paraId="12365BAA" w14:textId="77777777" w:rsidR="00E76498" w:rsidRPr="00DA3766" w:rsidRDefault="00E76498" w:rsidP="00E76498">
      <w:pPr>
        <w:pStyle w:val="005"/>
        <w:spacing w:before="120" w:after="120"/>
        <w:ind w:firstLine="480"/>
      </w:pPr>
      <w:r>
        <w:rPr>
          <w:rFonts w:hint="eastAsia"/>
        </w:rPr>
        <w:t>（</w:t>
      </w:r>
      <w:r>
        <w:rPr>
          <w:rFonts w:hint="eastAsia"/>
        </w:rPr>
        <w:t>20</w:t>
      </w:r>
      <w:r>
        <w:rPr>
          <w:rFonts w:hint="eastAsia"/>
        </w:rPr>
        <w:t>）</w:t>
      </w:r>
      <w:r w:rsidRPr="00DA3766">
        <w:t>比对标的公司客户名单与供应商名单、销售明细与采购明细，检查客户与供应商重叠情况，了解相关客户和供应商基本情况、双方合作历史、主要交易内容、与标的公司是否存在关联关系等情况；</w:t>
      </w:r>
    </w:p>
    <w:p w14:paraId="4A673C62" w14:textId="77777777" w:rsidR="00E76498" w:rsidRPr="00DA3766" w:rsidRDefault="00E76498" w:rsidP="00E76498">
      <w:pPr>
        <w:pStyle w:val="005"/>
        <w:spacing w:before="120" w:after="120"/>
        <w:ind w:firstLine="480"/>
      </w:pPr>
      <w:r w:rsidRPr="00DA3766">
        <w:t>21</w:t>
      </w:r>
      <w:r w:rsidRPr="00DA3766">
        <w:t>、参考《监管规则适用指引</w:t>
      </w:r>
      <w:r w:rsidRPr="00DA3766">
        <w:t>——</w:t>
      </w:r>
      <w:r w:rsidRPr="00DA3766">
        <w:t>发行类第</w:t>
      </w:r>
      <w:r w:rsidRPr="00DA3766">
        <w:t>5</w:t>
      </w:r>
      <w:r w:rsidRPr="00DA3766">
        <w:t>号》</w:t>
      </w:r>
      <w:r w:rsidRPr="00DA3766">
        <w:t>5-11</w:t>
      </w:r>
      <w:r w:rsidRPr="00DA3766">
        <w:t>、</w:t>
      </w:r>
      <w:r w:rsidRPr="00DA3766">
        <w:t>5-13</w:t>
      </w:r>
      <w:r w:rsidRPr="00DA3766">
        <w:t>及</w:t>
      </w:r>
      <w:r w:rsidRPr="00DA3766">
        <w:t>5-14</w:t>
      </w:r>
      <w:r w:rsidRPr="00DA3766">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rsidRPr="00DA3766">
        <w:t>IP</w:t>
      </w:r>
      <w:r w:rsidRPr="00DA3766">
        <w:t>异常消费、消费时间分</w:t>
      </w:r>
      <w:r w:rsidRPr="00DA3766">
        <w:lastRenderedPageBreak/>
        <w:t>布异常等异常情形，是否存在刷单、自充值等虚假交易情况，系统收款或交易金额与第三方支付渠道交易金额是否一致：</w:t>
      </w:r>
    </w:p>
    <w:p w14:paraId="75845B35" w14:textId="77777777" w:rsidR="00E76498" w:rsidRPr="00DA3766" w:rsidRDefault="00E76498" w:rsidP="00E76498">
      <w:pPr>
        <w:pStyle w:val="005"/>
        <w:spacing w:before="120" w:after="120"/>
        <w:ind w:firstLine="480"/>
        <w:rPr>
          <w:bCs/>
        </w:rPr>
      </w:pPr>
      <w:r w:rsidRPr="00DA3766">
        <w:rPr>
          <w:bCs/>
        </w:rPr>
        <w:t>（</w:t>
      </w:r>
      <w:r w:rsidRPr="00DA3766">
        <w:rPr>
          <w:bCs/>
        </w:rPr>
        <w:t>1</w:t>
      </w:r>
      <w:r w:rsidRPr="00DA3766">
        <w:rPr>
          <w:bCs/>
        </w:rPr>
        <w:t>）标的公司业绩真实性核查情况</w:t>
      </w:r>
    </w:p>
    <w:p w14:paraId="71ABF7C3" w14:textId="77777777" w:rsidR="00E76498" w:rsidRPr="00DA3766" w:rsidRDefault="00E76498" w:rsidP="00E76498">
      <w:pPr>
        <w:pStyle w:val="005"/>
        <w:spacing w:before="120" w:after="120"/>
        <w:ind w:firstLine="480"/>
        <w:rPr>
          <w:bCs/>
        </w:rPr>
      </w:pPr>
      <w:r w:rsidRPr="00DA3766">
        <w:rPr>
          <w:rFonts w:ascii="宋体" w:hAnsi="宋体" w:cs="宋体" w:hint="eastAsia"/>
          <w:bCs/>
        </w:rPr>
        <w:t>①</w:t>
      </w:r>
      <w:r w:rsidRPr="00DA3766">
        <w:rPr>
          <w:bCs/>
        </w:rPr>
        <w:t>核查范围、方法</w:t>
      </w:r>
    </w:p>
    <w:p w14:paraId="6D4CE940" w14:textId="77777777" w:rsidR="00E76498" w:rsidRPr="00DA3766" w:rsidRDefault="00E76498" w:rsidP="00E76498">
      <w:pPr>
        <w:pStyle w:val="005"/>
        <w:spacing w:before="120" w:after="120"/>
        <w:ind w:firstLine="480"/>
      </w:pPr>
      <w:r w:rsidRPr="00DA3766">
        <w:t>独立财务顾问本次核查的范围为</w:t>
      </w:r>
      <w:bookmarkStart w:id="84" w:name="OLE_LINK143"/>
      <w:r w:rsidRPr="00DA3766">
        <w:t>标的公司报告期内营业收入真实性、成本费用完整性</w:t>
      </w:r>
      <w:bookmarkEnd w:id="84"/>
      <w:r w:rsidRPr="00DA3766">
        <w:t>等；本次核查的方法包括但不限于检查、函证、盘点、访谈、分析性程序等。</w:t>
      </w:r>
    </w:p>
    <w:p w14:paraId="3A9D2E5E" w14:textId="77777777" w:rsidR="00E76498" w:rsidRPr="00DA3766" w:rsidRDefault="00E76498" w:rsidP="00E76498">
      <w:pPr>
        <w:pStyle w:val="005"/>
        <w:spacing w:before="120" w:after="120"/>
        <w:ind w:firstLine="480"/>
        <w:rPr>
          <w:bCs/>
        </w:rPr>
      </w:pPr>
      <w:bookmarkStart w:id="85" w:name="OLE_LINK133"/>
      <w:r w:rsidRPr="00DA3766">
        <w:rPr>
          <w:rFonts w:ascii="宋体" w:hAnsi="宋体" w:cs="宋体" w:hint="eastAsia"/>
          <w:bCs/>
        </w:rPr>
        <w:t>②</w:t>
      </w:r>
      <w:r w:rsidRPr="00DA3766">
        <w:rPr>
          <w:bCs/>
        </w:rPr>
        <w:t>报告期内营业收入核查</w:t>
      </w:r>
    </w:p>
    <w:p w14:paraId="3B089834" w14:textId="77777777" w:rsidR="00E76498" w:rsidRPr="00DA3766" w:rsidRDefault="00E76498" w:rsidP="00E76498">
      <w:pPr>
        <w:pStyle w:val="005"/>
        <w:spacing w:before="120" w:after="120"/>
        <w:ind w:firstLine="480"/>
      </w:pPr>
      <w:r w:rsidRPr="00DA3766">
        <w:t>独立财务顾问关于报告期内标的公司营业收入的具体核查情况如下：</w:t>
      </w:r>
      <w:bookmarkEnd w:id="85"/>
    </w:p>
    <w:p w14:paraId="53C3C461" w14:textId="77777777" w:rsidR="00E76498" w:rsidRPr="00DA3766" w:rsidRDefault="00E76498" w:rsidP="00E76498">
      <w:pPr>
        <w:pStyle w:val="005"/>
        <w:spacing w:before="120" w:after="120"/>
        <w:ind w:firstLine="480"/>
      </w:pPr>
      <w:r w:rsidRPr="00DA3766">
        <w:t>A</w:t>
      </w:r>
      <w:r w:rsidRPr="00DA3766">
        <w:t>、了解标的公司相关内部控制制度，检查标的公司销售与收款循环等的相关内部控制；</w:t>
      </w:r>
    </w:p>
    <w:p w14:paraId="18518DA4" w14:textId="77777777" w:rsidR="00E76498" w:rsidRPr="00DA3766" w:rsidRDefault="00E76498" w:rsidP="00E76498">
      <w:pPr>
        <w:pStyle w:val="005"/>
        <w:spacing w:before="120" w:after="120"/>
        <w:ind w:firstLine="480"/>
      </w:pPr>
      <w:r w:rsidRPr="00DA3766">
        <w:t>B</w:t>
      </w:r>
      <w:r w:rsidRPr="00DA3766">
        <w:t>、获取标的公司收入确认政策，与同行业可比公司进行对比，核查标的</w:t>
      </w:r>
      <w:r w:rsidRPr="00DA3766">
        <w:t xml:space="preserve"> </w:t>
      </w:r>
      <w:r w:rsidRPr="00DA3766">
        <w:t>公司收入确认政策的合理性；</w:t>
      </w:r>
    </w:p>
    <w:p w14:paraId="0BB37C3C" w14:textId="77777777" w:rsidR="00E76498" w:rsidRPr="00DA3766" w:rsidRDefault="00E76498" w:rsidP="00E76498">
      <w:pPr>
        <w:pStyle w:val="005"/>
        <w:spacing w:before="120" w:after="120"/>
        <w:ind w:firstLine="480"/>
      </w:pPr>
      <w:r w:rsidRPr="00DA3766">
        <w:t>C</w:t>
      </w:r>
      <w:r w:rsidRPr="00DA3766">
        <w:t>、对标的公司的收入执行穿行测试及细节测试，抽样检查与收入确认相关的支持性文件，包括销售合同或订单、发票、签收单</w:t>
      </w:r>
      <w:bookmarkStart w:id="86" w:name="OLE_LINK135"/>
      <w:r w:rsidRPr="00DA3766">
        <w:t>及记账凭证</w:t>
      </w:r>
      <w:bookmarkEnd w:id="86"/>
      <w:r w:rsidRPr="00DA3766">
        <w:t>等，核查收入的真实性和准确性，核查收入确认是否具备证据支持；</w:t>
      </w:r>
      <w:r w:rsidRPr="00DA3766">
        <w:t xml:space="preserve"> </w:t>
      </w:r>
    </w:p>
    <w:p w14:paraId="7FB1D15A" w14:textId="77777777" w:rsidR="00E76498" w:rsidRPr="00DA3766" w:rsidRDefault="00E76498" w:rsidP="00E76498">
      <w:pPr>
        <w:pStyle w:val="005"/>
        <w:spacing w:before="120" w:after="120"/>
        <w:ind w:firstLine="480"/>
        <w:rPr>
          <w:bCs/>
        </w:rPr>
      </w:pPr>
      <w:bookmarkStart w:id="87" w:name="OLE_LINK142"/>
      <w:r w:rsidRPr="00DA3766">
        <w:rPr>
          <w:bCs/>
        </w:rPr>
        <w:t>D</w:t>
      </w:r>
      <w:r w:rsidRPr="00DA3766">
        <w:rPr>
          <w:bCs/>
        </w:rPr>
        <w:t>、执行收入截止性测试，在资产负债表日前后标的公司确认的收入交易中选取样本，核查收入是否记录于恰当的会计期间；</w:t>
      </w:r>
    </w:p>
    <w:bookmarkEnd w:id="87"/>
    <w:p w14:paraId="63B95571" w14:textId="77777777" w:rsidR="00E76498" w:rsidRPr="00DA3766" w:rsidRDefault="00E76498" w:rsidP="00E76498">
      <w:pPr>
        <w:pStyle w:val="005"/>
        <w:spacing w:before="120" w:after="120"/>
        <w:ind w:firstLine="480"/>
        <w:rPr>
          <w:bCs/>
        </w:rPr>
      </w:pPr>
      <w:r w:rsidRPr="00DA3766">
        <w:rPr>
          <w:bCs/>
        </w:rPr>
        <w:t>E</w:t>
      </w:r>
      <w:r w:rsidRPr="00DA3766">
        <w:rPr>
          <w:bCs/>
        </w:rPr>
        <w:t>、对标的公司主要客户进行访谈，了解主要客户基本情况、双方合作历史、主要交易内容、与标的公司是否存在关联关系等情况；</w:t>
      </w:r>
      <w:r w:rsidRPr="00DA3766">
        <w:rPr>
          <w:bCs/>
        </w:rPr>
        <w:t xml:space="preserve"> </w:t>
      </w:r>
    </w:p>
    <w:p w14:paraId="580FB1AE" w14:textId="77777777" w:rsidR="00E76498" w:rsidRPr="00DA3766" w:rsidRDefault="00E76498" w:rsidP="00E76498">
      <w:pPr>
        <w:pStyle w:val="005"/>
        <w:spacing w:before="120" w:after="120"/>
        <w:ind w:firstLine="480"/>
        <w:rPr>
          <w:bCs/>
        </w:rPr>
      </w:pPr>
      <w:r w:rsidRPr="00DA3766">
        <w:rPr>
          <w:bCs/>
        </w:rPr>
        <w:t>F</w:t>
      </w:r>
      <w:r w:rsidRPr="00DA3766">
        <w:rPr>
          <w:bCs/>
        </w:rPr>
        <w:t>、对标的公司主要客户销售情况执行函证程序，核查交易发生额及往来余额的准确性；</w:t>
      </w:r>
    </w:p>
    <w:p w14:paraId="6D20540C" w14:textId="77777777" w:rsidR="00E76498" w:rsidRPr="00DA3766" w:rsidRDefault="00E76498" w:rsidP="00E76498">
      <w:pPr>
        <w:pStyle w:val="005"/>
        <w:spacing w:before="120" w:after="120"/>
        <w:ind w:firstLine="480"/>
        <w:rPr>
          <w:bCs/>
        </w:rPr>
      </w:pPr>
      <w:r w:rsidRPr="00DA3766">
        <w:rPr>
          <w:bCs/>
        </w:rPr>
        <w:t>G</w:t>
      </w:r>
      <w:r w:rsidRPr="00DA3766">
        <w:rPr>
          <w:bCs/>
        </w:rPr>
        <w:t>、对标的公司营业收入和毛利率的变动执行分析性程序，分析变动的合理性，识别是否存在重大或异常变动。</w:t>
      </w:r>
    </w:p>
    <w:p w14:paraId="0C454986" w14:textId="77777777" w:rsidR="00E76498" w:rsidRPr="00DA3766" w:rsidRDefault="00E76498" w:rsidP="00E76498">
      <w:pPr>
        <w:pStyle w:val="005"/>
        <w:spacing w:before="120" w:after="120"/>
        <w:ind w:firstLine="480"/>
        <w:rPr>
          <w:bCs/>
        </w:rPr>
      </w:pPr>
      <w:r w:rsidRPr="00DA3766">
        <w:rPr>
          <w:rFonts w:ascii="宋体" w:hAnsi="宋体" w:cs="宋体" w:hint="eastAsia"/>
          <w:bCs/>
        </w:rPr>
        <w:t>③</w:t>
      </w:r>
      <w:r w:rsidRPr="00DA3766">
        <w:rPr>
          <w:bCs/>
        </w:rPr>
        <w:t>报告期内营业成本核查</w:t>
      </w:r>
    </w:p>
    <w:p w14:paraId="59224237" w14:textId="77777777" w:rsidR="00E76498" w:rsidRPr="00DA3766" w:rsidRDefault="00E76498" w:rsidP="00E76498">
      <w:pPr>
        <w:pStyle w:val="005"/>
        <w:spacing w:before="120" w:after="120"/>
        <w:ind w:firstLine="480"/>
        <w:rPr>
          <w:bCs/>
        </w:rPr>
      </w:pPr>
      <w:r w:rsidRPr="00DA3766">
        <w:rPr>
          <w:bCs/>
        </w:rPr>
        <w:t>独立财务顾问关于报告期内标的公司营业成本的具体核查情况如下：</w:t>
      </w:r>
    </w:p>
    <w:p w14:paraId="12531C16" w14:textId="77777777" w:rsidR="00E76498" w:rsidRPr="00DA3766" w:rsidRDefault="00E76498" w:rsidP="00E76498">
      <w:pPr>
        <w:pStyle w:val="005"/>
        <w:spacing w:before="120" w:after="120"/>
        <w:ind w:firstLine="480"/>
        <w:rPr>
          <w:bCs/>
        </w:rPr>
      </w:pPr>
      <w:r w:rsidRPr="00DA3766">
        <w:rPr>
          <w:bCs/>
        </w:rPr>
        <w:lastRenderedPageBreak/>
        <w:t>A</w:t>
      </w:r>
      <w:r w:rsidRPr="00DA3766">
        <w:rPr>
          <w:bCs/>
        </w:rPr>
        <w:t>、了解标的公司相关内部控制制度，检查标的公司采购与付款循环、生产与存货循环等的相关内部控制；</w:t>
      </w:r>
    </w:p>
    <w:p w14:paraId="1969453F" w14:textId="77777777" w:rsidR="00E76498" w:rsidRPr="00DA3766" w:rsidRDefault="00E76498" w:rsidP="00E76498">
      <w:pPr>
        <w:pStyle w:val="005"/>
        <w:spacing w:before="120" w:after="120"/>
        <w:ind w:firstLine="480"/>
        <w:rPr>
          <w:bCs/>
        </w:rPr>
      </w:pPr>
      <w:r w:rsidRPr="00DA3766">
        <w:rPr>
          <w:bCs/>
        </w:rPr>
        <w:t>B</w:t>
      </w:r>
      <w:r w:rsidRPr="00DA3766">
        <w:rPr>
          <w:bCs/>
        </w:rPr>
        <w:t>、获取标的公司成本核算政策，核查标的公司成本核算政策的合理性；</w:t>
      </w:r>
    </w:p>
    <w:p w14:paraId="76923FC6" w14:textId="77777777" w:rsidR="00E76498" w:rsidRPr="00DA3766" w:rsidRDefault="00E76498" w:rsidP="00E76498">
      <w:pPr>
        <w:pStyle w:val="005"/>
        <w:spacing w:before="120" w:after="120"/>
        <w:ind w:firstLine="480"/>
        <w:rPr>
          <w:bCs/>
        </w:rPr>
      </w:pPr>
      <w:r w:rsidRPr="00DA3766">
        <w:rPr>
          <w:bCs/>
        </w:rPr>
        <w:t>C</w:t>
      </w:r>
      <w:r w:rsidRPr="00DA3766">
        <w:rPr>
          <w:bCs/>
        </w:rPr>
        <w:t>、对标的公司的采购、成本执行穿行测试及细节测试，抽样检查与成本核算相关的支持性文件，包括采购合同或订单、发票、出入库单、成本台账及记账凭证等，核查成本的真实性和准确性；</w:t>
      </w:r>
      <w:r w:rsidRPr="00DA3766">
        <w:rPr>
          <w:bCs/>
        </w:rPr>
        <w:t xml:space="preserve"> </w:t>
      </w:r>
    </w:p>
    <w:p w14:paraId="63A5907B" w14:textId="77777777" w:rsidR="00E76498" w:rsidRPr="00DA3766" w:rsidRDefault="00E76498" w:rsidP="00E76498">
      <w:pPr>
        <w:pStyle w:val="005"/>
        <w:spacing w:before="120" w:after="120"/>
        <w:ind w:firstLine="480"/>
        <w:rPr>
          <w:bCs/>
        </w:rPr>
      </w:pPr>
      <w:r w:rsidRPr="00DA3766">
        <w:rPr>
          <w:bCs/>
        </w:rPr>
        <w:t>D</w:t>
      </w:r>
      <w:r w:rsidRPr="00DA3766">
        <w:rPr>
          <w:bCs/>
        </w:rPr>
        <w:t>、对标的公司主要供应商进行访谈，了解主要供应商基本情况、双方合作历史、主要交易内容、与标的公司是否存在关联关系等情况；</w:t>
      </w:r>
      <w:r w:rsidRPr="00DA3766">
        <w:rPr>
          <w:bCs/>
        </w:rPr>
        <w:t xml:space="preserve"> </w:t>
      </w:r>
    </w:p>
    <w:p w14:paraId="61A49AC5" w14:textId="77777777" w:rsidR="00E76498" w:rsidRPr="00DA3766" w:rsidRDefault="00E76498" w:rsidP="00E76498">
      <w:pPr>
        <w:pStyle w:val="005"/>
        <w:spacing w:before="120" w:after="120"/>
        <w:ind w:firstLine="480"/>
        <w:rPr>
          <w:bCs/>
        </w:rPr>
      </w:pPr>
      <w:r w:rsidRPr="00DA3766">
        <w:rPr>
          <w:bCs/>
        </w:rPr>
        <w:t>E</w:t>
      </w:r>
      <w:r w:rsidRPr="00DA3766">
        <w:rPr>
          <w:bCs/>
        </w:rPr>
        <w:t>、对标的公司主要供应商采购情况执行函证程序，核查交易发生额及往来余额的准确性；</w:t>
      </w:r>
    </w:p>
    <w:p w14:paraId="02D25A7A" w14:textId="77777777" w:rsidR="00E76498" w:rsidRPr="00DA3766" w:rsidRDefault="00E76498" w:rsidP="00E76498">
      <w:pPr>
        <w:pStyle w:val="005"/>
        <w:spacing w:before="120" w:after="120"/>
        <w:ind w:firstLine="480"/>
      </w:pPr>
      <w:bookmarkStart w:id="88" w:name="OLE_LINK141"/>
      <w:r w:rsidRPr="00DA3766">
        <w:t>F</w:t>
      </w:r>
      <w:r w:rsidRPr="00DA3766">
        <w:t>、对标的公司营业成本的变动执行分析性程序，分析变动的合理性，识别是否存在重大或异常变动</w:t>
      </w:r>
      <w:bookmarkEnd w:id="88"/>
      <w:r w:rsidRPr="00DA3766">
        <w:t>；</w:t>
      </w:r>
    </w:p>
    <w:p w14:paraId="5AE5A4CE" w14:textId="77777777" w:rsidR="00E76498" w:rsidRPr="00DA3766" w:rsidRDefault="00E76498" w:rsidP="00E76498">
      <w:pPr>
        <w:pStyle w:val="005"/>
        <w:spacing w:before="120" w:after="120"/>
        <w:ind w:firstLine="480"/>
      </w:pPr>
      <w:r w:rsidRPr="00DA3766">
        <w:t>G</w:t>
      </w:r>
      <w:r w:rsidRPr="00DA3766">
        <w:t>、对标的公司存货等资产实施监盘。</w:t>
      </w:r>
    </w:p>
    <w:p w14:paraId="36F04C4E" w14:textId="77777777" w:rsidR="00E76498" w:rsidRPr="00DA3766" w:rsidRDefault="00E76498" w:rsidP="00E76498">
      <w:pPr>
        <w:pStyle w:val="005"/>
        <w:spacing w:before="120" w:after="120"/>
        <w:ind w:firstLine="480"/>
        <w:rPr>
          <w:bCs/>
        </w:rPr>
      </w:pPr>
      <w:r w:rsidRPr="00DA3766">
        <w:rPr>
          <w:rFonts w:ascii="宋体" w:hAnsi="宋体" w:cs="宋体" w:hint="eastAsia"/>
          <w:bCs/>
        </w:rPr>
        <w:t>④</w:t>
      </w:r>
      <w:r w:rsidRPr="00DA3766">
        <w:rPr>
          <w:bCs/>
        </w:rPr>
        <w:t>关于报告期内自然人客户、设备厂商、运营商、终端设备核查</w:t>
      </w:r>
    </w:p>
    <w:p w14:paraId="3BAC122B" w14:textId="77777777" w:rsidR="00E76498" w:rsidRPr="00DA3766" w:rsidRDefault="00E76498" w:rsidP="00E76498">
      <w:pPr>
        <w:pStyle w:val="005"/>
        <w:spacing w:before="120" w:after="120"/>
        <w:ind w:firstLine="480"/>
      </w:pPr>
      <w:r w:rsidRPr="00DA3766">
        <w:t>独立财务顾问关于报告期内标的公司的自然人客户、设备厂商、运营商、终端设备核查情况如下：</w:t>
      </w:r>
    </w:p>
    <w:p w14:paraId="5341E08C" w14:textId="77777777" w:rsidR="00E76498" w:rsidRPr="00DA3766" w:rsidRDefault="00E76498" w:rsidP="00E76498">
      <w:pPr>
        <w:pStyle w:val="005"/>
        <w:spacing w:before="120" w:after="120"/>
        <w:ind w:firstLine="480"/>
      </w:pPr>
      <w:r w:rsidRPr="00DA3766">
        <w:t>A</w:t>
      </w:r>
      <w:r w:rsidRPr="00DA3766">
        <w:t>、了解和评价公司与收入确认相关的关键内部控制的设计和运行的有效性；</w:t>
      </w:r>
    </w:p>
    <w:p w14:paraId="21504E67" w14:textId="77777777" w:rsidR="00E76498" w:rsidRPr="00DA3766" w:rsidRDefault="00E76498" w:rsidP="00E76498">
      <w:pPr>
        <w:pStyle w:val="005"/>
        <w:spacing w:before="120" w:after="120"/>
        <w:ind w:firstLine="480"/>
      </w:pPr>
      <w:r w:rsidRPr="00DA3766">
        <w:t>B</w:t>
      </w:r>
      <w:r w:rsidRPr="00DA3766">
        <w:t>、了解线上、线下交易模式，检查与客户的主要合同条款、结算方式，评价公司收入确认会计政策是否符合企业会计准则要求；</w:t>
      </w:r>
    </w:p>
    <w:p w14:paraId="20DC7C58" w14:textId="77777777" w:rsidR="00E76498" w:rsidRPr="00DA3766" w:rsidRDefault="00E76498" w:rsidP="00E76498">
      <w:pPr>
        <w:pStyle w:val="005"/>
        <w:spacing w:before="120" w:after="120"/>
        <w:ind w:firstLine="480"/>
      </w:pPr>
      <w:r w:rsidRPr="00DA3766">
        <w:t>C</w:t>
      </w:r>
      <w:r w:rsidRPr="00DA3766">
        <w:t>、对收入及毛利率进行分析性复核，对于收入和毛利率分月、分年进行分析性复核，比较月度之间、年度之间的波动是否异常；</w:t>
      </w:r>
    </w:p>
    <w:p w14:paraId="459AF4EA" w14:textId="77777777" w:rsidR="00E76498" w:rsidRPr="00DA3766" w:rsidRDefault="00E76498" w:rsidP="00E76498">
      <w:pPr>
        <w:pStyle w:val="005"/>
        <w:spacing w:before="120" w:after="120"/>
        <w:ind w:firstLine="480"/>
      </w:pPr>
      <w:r w:rsidRPr="00DA3766">
        <w:t>D</w:t>
      </w:r>
      <w:r w:rsidRPr="00DA3766">
        <w:t>、对报告期内记录的收入交易选取样本，核对销售合同、订单、出库单、发票、客户签收单、物流信息、报关单（外销）、提单（外销）等，检查已确认收入的真实性；</w:t>
      </w:r>
    </w:p>
    <w:p w14:paraId="64B290A5" w14:textId="77777777" w:rsidR="00E76498" w:rsidRPr="00DA3766" w:rsidRDefault="00E76498" w:rsidP="00E76498">
      <w:pPr>
        <w:pStyle w:val="005"/>
        <w:spacing w:before="120" w:after="120"/>
        <w:ind w:firstLine="480"/>
      </w:pPr>
      <w:r w:rsidRPr="00DA3766">
        <w:t>E</w:t>
      </w:r>
      <w:r w:rsidRPr="00DA3766">
        <w:t>、根据客户的性质及重要性，选取样本进行现场走访或视频访谈，了解交易的商业背景，核实交易真实性等；</w:t>
      </w:r>
    </w:p>
    <w:p w14:paraId="3163E967" w14:textId="77777777" w:rsidR="00E76498" w:rsidRPr="00DA3766" w:rsidRDefault="00E76498" w:rsidP="00E76498">
      <w:pPr>
        <w:pStyle w:val="005"/>
        <w:spacing w:before="120" w:after="120"/>
        <w:ind w:firstLine="480"/>
      </w:pPr>
      <w:r w:rsidRPr="00DA3766">
        <w:lastRenderedPageBreak/>
        <w:t>F</w:t>
      </w:r>
      <w:r w:rsidRPr="00DA3766">
        <w:t>、根据客户交易的性质和重要性，抽取样本执行函证程序以确认报告期内交易金额和往来余额的准确性；</w:t>
      </w:r>
    </w:p>
    <w:p w14:paraId="60FDD7A1" w14:textId="77777777" w:rsidR="00E76498" w:rsidRPr="00DA3766" w:rsidRDefault="00E76498" w:rsidP="00E76498">
      <w:pPr>
        <w:pStyle w:val="005"/>
        <w:spacing w:before="120" w:after="120"/>
        <w:ind w:firstLine="480"/>
      </w:pPr>
      <w:r w:rsidRPr="00DA3766">
        <w:t>G</w:t>
      </w:r>
      <w:r w:rsidRPr="00DA3766">
        <w:t>、检查销售回款的银行进账单，关注进账单位、金额与账面记录是否一致，有无异常；</w:t>
      </w:r>
    </w:p>
    <w:p w14:paraId="054612B5" w14:textId="77777777" w:rsidR="00E76498" w:rsidRPr="00DA3766" w:rsidRDefault="00E76498" w:rsidP="00E76498">
      <w:pPr>
        <w:pStyle w:val="005"/>
        <w:spacing w:before="120" w:after="120"/>
        <w:ind w:firstLine="480"/>
      </w:pPr>
      <w:r w:rsidRPr="00DA3766">
        <w:t>H</w:t>
      </w:r>
      <w:r w:rsidRPr="00DA3766">
        <w:t>、进行截止性测试，就资产负债表日前后记录的收入交易，选取样本，检查出库单、发票、客户签收单、物流信息等，以评价收入是否被记录于恰当的会计期间；</w:t>
      </w:r>
    </w:p>
    <w:p w14:paraId="6C486DB6" w14:textId="77777777" w:rsidR="00E76498" w:rsidRPr="00DA3766" w:rsidRDefault="00E76498" w:rsidP="00E76498">
      <w:pPr>
        <w:pStyle w:val="005"/>
        <w:spacing w:before="120" w:after="120"/>
        <w:ind w:firstLine="480"/>
      </w:pPr>
      <w:r w:rsidRPr="00DA3766">
        <w:t>I</w:t>
      </w:r>
      <w:r w:rsidRPr="00DA3766">
        <w:t>、利用</w:t>
      </w:r>
      <w:r w:rsidRPr="00DA3766">
        <w:t>IT</w:t>
      </w:r>
      <w:r w:rsidRPr="00DA3766">
        <w:t>专家工作，对标的公司信息系统进行测试，包括对业务系统执行穿行测试，对营运数据进行分析性复核，关于自然人、运营商交易情况以及终端设备的在线情况进行检查；</w:t>
      </w:r>
    </w:p>
    <w:p w14:paraId="31A5D5A8" w14:textId="77777777" w:rsidR="00E76498" w:rsidRPr="00DA3766" w:rsidRDefault="00E76498" w:rsidP="00E76498">
      <w:pPr>
        <w:pStyle w:val="005"/>
        <w:spacing w:before="120" w:after="120"/>
        <w:ind w:firstLine="480"/>
      </w:pPr>
      <w:r w:rsidRPr="00DA3766">
        <w:t>J</w:t>
      </w:r>
      <w:r w:rsidRPr="00DA3766">
        <w:t>、项目组针对标的公司的终端设备进行实地观察，并确认设备的实际使用情况。</w:t>
      </w:r>
    </w:p>
    <w:p w14:paraId="42024F4B" w14:textId="77777777" w:rsidR="00E76498" w:rsidRPr="00DA3766" w:rsidRDefault="00E76498" w:rsidP="00E76498">
      <w:pPr>
        <w:widowControl w:val="0"/>
        <w:spacing w:beforeLines="0" w:before="0" w:afterLines="0" w:after="0"/>
        <w:ind w:firstLine="480"/>
        <w:jc w:val="both"/>
        <w:rPr>
          <w:rFonts w:ascii="Times New Roman" w:hAnsi="Times New Roman" w:cs="Times New Roman"/>
          <w:bCs/>
          <w:kern w:val="2"/>
        </w:rPr>
      </w:pPr>
      <w:r w:rsidRPr="00DA3766">
        <w:rPr>
          <w:rFonts w:hint="eastAsia"/>
          <w:bCs/>
          <w:kern w:val="2"/>
        </w:rPr>
        <w:t>⑤</w:t>
      </w:r>
      <w:r w:rsidRPr="00DA3766">
        <w:rPr>
          <w:rFonts w:ascii="Times New Roman" w:hAnsi="Times New Roman" w:cs="Times New Roman"/>
          <w:bCs/>
          <w:kern w:val="2"/>
        </w:rPr>
        <w:t>报告期内期间费用核查</w:t>
      </w:r>
    </w:p>
    <w:p w14:paraId="6DA8D21A" w14:textId="77777777" w:rsidR="00E76498" w:rsidRPr="00DA3766" w:rsidRDefault="00E76498" w:rsidP="00E76498">
      <w:pPr>
        <w:pStyle w:val="005"/>
        <w:spacing w:before="120" w:after="120"/>
        <w:ind w:firstLine="480"/>
      </w:pPr>
      <w:r w:rsidRPr="00DA3766">
        <w:t>独立财务顾问关于报告期内标的公司期间费用的具体核查情况如下：</w:t>
      </w:r>
    </w:p>
    <w:p w14:paraId="009111D5" w14:textId="77777777" w:rsidR="00E76498" w:rsidRPr="00DA3766" w:rsidRDefault="00E76498" w:rsidP="00E76498">
      <w:pPr>
        <w:pStyle w:val="005"/>
        <w:spacing w:before="120" w:after="120"/>
        <w:ind w:firstLine="480"/>
      </w:pPr>
      <w:r w:rsidRPr="00DA3766">
        <w:t>A</w:t>
      </w:r>
      <w:r w:rsidRPr="00DA3766">
        <w:t>、了解标的公司相关内部控制制度，检查标的公司相关内部控制；</w:t>
      </w:r>
    </w:p>
    <w:p w14:paraId="5865B886" w14:textId="77777777" w:rsidR="00E76498" w:rsidRPr="00DA3766" w:rsidRDefault="00E76498" w:rsidP="00E76498">
      <w:pPr>
        <w:pStyle w:val="005"/>
        <w:spacing w:before="120" w:after="120"/>
        <w:ind w:firstLine="480"/>
      </w:pPr>
      <w:r w:rsidRPr="00DA3766">
        <w:t>B</w:t>
      </w:r>
      <w:r w:rsidRPr="00DA3766">
        <w:t>、获取标的公司期间费用明细表，对标的公司期间费用的变动执行分析性程序，分析变动的合理性，识别是否存在重大或异常变动；</w:t>
      </w:r>
    </w:p>
    <w:p w14:paraId="5164C399" w14:textId="77777777" w:rsidR="00E76498" w:rsidRPr="00DA3766" w:rsidRDefault="00E76498" w:rsidP="00E76498">
      <w:pPr>
        <w:pStyle w:val="005"/>
        <w:spacing w:before="120" w:after="120"/>
        <w:ind w:firstLine="480"/>
      </w:pPr>
      <w:r w:rsidRPr="00DA3766">
        <w:t>C</w:t>
      </w:r>
      <w:r w:rsidRPr="00DA3766">
        <w:t>、检查大额期间费用支出的记账凭证及附件，核查相关支出是否合理、审批手续是否健全、费用分类是否恰当；</w:t>
      </w:r>
    </w:p>
    <w:p w14:paraId="21B09E80" w14:textId="77777777" w:rsidR="00E76498" w:rsidRPr="00DA3766" w:rsidRDefault="00E76498" w:rsidP="00E76498">
      <w:pPr>
        <w:pStyle w:val="005"/>
        <w:spacing w:before="120" w:after="120"/>
        <w:ind w:firstLine="480"/>
      </w:pPr>
      <w:r w:rsidRPr="00DA3766">
        <w:t>D</w:t>
      </w:r>
      <w:r w:rsidRPr="00DA3766">
        <w:t>、执行期间费用截止性测试，在资产负债表日前后标的公司确认的期间费用支出中选取样本，核查期间费用是否记录于恰当的会计期间。</w:t>
      </w:r>
    </w:p>
    <w:p w14:paraId="0FBD46C8" w14:textId="77777777" w:rsidR="00E76498" w:rsidRPr="00DA3766" w:rsidRDefault="00E76498" w:rsidP="00E76498">
      <w:pPr>
        <w:pStyle w:val="005"/>
        <w:spacing w:before="120" w:after="120"/>
        <w:ind w:firstLine="480"/>
      </w:pPr>
      <w:r w:rsidRPr="00DA3766">
        <w:rPr>
          <w:rFonts w:ascii="宋体" w:hAnsi="宋体" w:cs="宋体" w:hint="eastAsia"/>
        </w:rPr>
        <w:t>⑤</w:t>
      </w:r>
      <w:r w:rsidRPr="00DA3766">
        <w:t>核查意见</w:t>
      </w:r>
    </w:p>
    <w:p w14:paraId="6B51158F" w14:textId="77777777" w:rsidR="00E76498" w:rsidRPr="00DA3766" w:rsidRDefault="00E76498" w:rsidP="00E76498">
      <w:pPr>
        <w:pStyle w:val="005"/>
        <w:spacing w:before="120" w:after="120"/>
        <w:ind w:firstLine="480"/>
      </w:pPr>
      <w:r w:rsidRPr="00DA3766">
        <w:t>报告期内，标的公司对自然人客户、智能自助设备厂家和运营商客户、终端设备的销售具备真实性，交易规模具备合理性，成本与费用具备完整性。</w:t>
      </w:r>
    </w:p>
    <w:p w14:paraId="20B503EA" w14:textId="77777777" w:rsidR="00E76498" w:rsidRPr="00DA3766" w:rsidRDefault="00E76498" w:rsidP="00E76498">
      <w:pPr>
        <w:pStyle w:val="005"/>
        <w:spacing w:before="120" w:after="120"/>
        <w:ind w:firstLine="480"/>
      </w:pPr>
      <w:r w:rsidRPr="00DA3766">
        <w:t>（</w:t>
      </w:r>
      <w:r w:rsidRPr="00DA3766">
        <w:t>2</w:t>
      </w:r>
      <w:r w:rsidRPr="00DA3766">
        <w:t>）第三方回款核查情况</w:t>
      </w:r>
    </w:p>
    <w:p w14:paraId="5B63F050"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hint="eastAsia"/>
          <w:kern w:val="2"/>
        </w:rPr>
        <w:t>①</w:t>
      </w:r>
      <w:r w:rsidRPr="00DA3766">
        <w:rPr>
          <w:rFonts w:ascii="Times New Roman" w:hAnsi="Times New Roman" w:cs="Times New Roman"/>
          <w:kern w:val="2"/>
        </w:rPr>
        <w:t>核查程序</w:t>
      </w:r>
    </w:p>
    <w:p w14:paraId="240711C5"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lastRenderedPageBreak/>
        <w:t>A</w:t>
      </w:r>
      <w:r w:rsidRPr="00DA3766">
        <w:rPr>
          <w:rFonts w:ascii="Times New Roman" w:hAnsi="Times New Roman" w:cs="Times New Roman"/>
          <w:kern w:val="2"/>
        </w:rPr>
        <w:t>、查阅报告期内标的公司与第三方回款相关的销售明细账和银行流水明细；根据报告期内公司第三方回款统计记录的全部明细记录，核对代付金额的准确性及付款方和委托方之间的关系；</w:t>
      </w:r>
    </w:p>
    <w:p w14:paraId="3E416AD7"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B</w:t>
      </w:r>
      <w:r w:rsidRPr="00DA3766">
        <w:rPr>
          <w:rFonts w:ascii="Times New Roman" w:hAnsi="Times New Roman" w:cs="Times New Roman"/>
          <w:kern w:val="2"/>
        </w:rPr>
        <w:t>、标的公司第三方回款相应的合同、物流单、签收单等资料；对于属于同一控制下企业代付情形，查看企查查进行核验；对于属于其他关系代付情形，了解客户与代付方关系。</w:t>
      </w:r>
    </w:p>
    <w:p w14:paraId="6EAC7D63"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hint="eastAsia"/>
          <w:kern w:val="2"/>
        </w:rPr>
        <w:t>②</w:t>
      </w:r>
      <w:r w:rsidRPr="00DA3766">
        <w:rPr>
          <w:rFonts w:ascii="Times New Roman" w:hAnsi="Times New Roman" w:cs="Times New Roman"/>
          <w:kern w:val="2"/>
        </w:rPr>
        <w:t>核查意见</w:t>
      </w:r>
    </w:p>
    <w:p w14:paraId="6A534383"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标的公司第三方回款具备合理性。标的公司及其相关人员与代付方不存在关联关系或其他利益安排。</w:t>
      </w:r>
    </w:p>
    <w:p w14:paraId="1751DEDF" w14:textId="77777777" w:rsidR="00E76498" w:rsidRPr="000C4294" w:rsidRDefault="00E76498" w:rsidP="00E76498">
      <w:pPr>
        <w:widowControl w:val="0"/>
        <w:spacing w:before="120" w:after="120"/>
        <w:ind w:firstLine="480"/>
        <w:jc w:val="both"/>
        <w:rPr>
          <w:rFonts w:ascii="Times New Roman" w:hAnsi="Times New Roman" w:cs="Times New Roman"/>
          <w:bCs/>
          <w:kern w:val="2"/>
          <w:szCs w:val="22"/>
        </w:rPr>
      </w:pPr>
      <w:r w:rsidRPr="000C4294">
        <w:rPr>
          <w:rFonts w:ascii="Times New Roman" w:hAnsi="Times New Roman" w:cs="Times New Roman"/>
          <w:bCs/>
          <w:kern w:val="2"/>
          <w:szCs w:val="22"/>
        </w:rPr>
        <w:t>（</w:t>
      </w:r>
      <w:r w:rsidRPr="000C4294">
        <w:rPr>
          <w:rFonts w:ascii="Times New Roman" w:hAnsi="Times New Roman" w:cs="Times New Roman"/>
          <w:bCs/>
          <w:kern w:val="2"/>
          <w:szCs w:val="22"/>
        </w:rPr>
        <w:t>3</w:t>
      </w:r>
      <w:r w:rsidRPr="000C4294">
        <w:rPr>
          <w:rFonts w:ascii="Times New Roman" w:hAnsi="Times New Roman" w:cs="Times New Roman"/>
          <w:bCs/>
          <w:kern w:val="2"/>
          <w:szCs w:val="22"/>
        </w:rPr>
        <w:t>）报告期客户数量和单用户贡献变动及合理性，终端设备数量和单设备支付笔数、交易流水规模变动及合理性，新增客户地域及消费金额分布及合理性，是否存在单个终端客户大额、异常消费、相同</w:t>
      </w:r>
      <w:r w:rsidRPr="000C4294">
        <w:rPr>
          <w:rFonts w:ascii="Times New Roman" w:hAnsi="Times New Roman" w:cs="Times New Roman"/>
          <w:bCs/>
          <w:kern w:val="2"/>
          <w:szCs w:val="22"/>
        </w:rPr>
        <w:t>IP</w:t>
      </w:r>
      <w:r w:rsidRPr="000C4294">
        <w:rPr>
          <w:rFonts w:ascii="Times New Roman" w:hAnsi="Times New Roman" w:cs="Times New Roman"/>
          <w:bCs/>
          <w:kern w:val="2"/>
          <w:szCs w:val="22"/>
        </w:rPr>
        <w:t>异常消费、消费时间分布异常等异常情形，是否存在刷单、自充值等虚假交易情况，系统收款或交易金额与第三方支付渠道交易金额是否一致</w:t>
      </w:r>
    </w:p>
    <w:p w14:paraId="3ADFC22A"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①</w:t>
      </w:r>
      <w:r w:rsidRPr="00DA3766">
        <w:rPr>
          <w:rFonts w:ascii="Times New Roman" w:hAnsi="Times New Roman" w:cs="Times New Roman"/>
          <w:kern w:val="2"/>
          <w:szCs w:val="22"/>
        </w:rPr>
        <w:t>标的公司业务数据情况</w:t>
      </w:r>
    </w:p>
    <w:p w14:paraId="3F5DC2DA"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系统接入的终端设备对应的支付笔数、交易流水规模逐渐上升，与标的公司业务规模持续拓展趋势一致。随着标的公司不断开拓市场，提升自身市场占有率，投放设备数量亦不断增长，进而导致单设备支付笔数有所下降，具有合理性。</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年上半年单用户贡献金额小幅下降，主要系标的公司业务应用场景主要为智慧生活、智慧零售及智慧出行等领域，上述应用场景的消费需求通常在暑假、国庆等集中于下半年的大型节日中更为旺盛所致。</w:t>
      </w:r>
    </w:p>
    <w:p w14:paraId="0B090987"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综上，报告期内，标的公司客户数量和单用户贡献变动具备合理性，终端设备数量和单设备支付笔数、交易流水规模变动具备合理性。</w:t>
      </w:r>
    </w:p>
    <w:p w14:paraId="74BF3BD5"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②</w:t>
      </w:r>
      <w:r w:rsidRPr="00DA3766">
        <w:rPr>
          <w:rFonts w:ascii="Times New Roman" w:hAnsi="Times New Roman" w:cs="Times New Roman"/>
          <w:kern w:val="2"/>
          <w:szCs w:val="22"/>
        </w:rPr>
        <w:t>标的公司新增客户地域情况</w:t>
      </w:r>
    </w:p>
    <w:p w14:paraId="676758A2"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报告期内，标的公司新增客户的前五大省份及对应的消费金额情况如下：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26"/>
        <w:gridCol w:w="1559"/>
        <w:gridCol w:w="2347"/>
        <w:gridCol w:w="2880"/>
      </w:tblGrid>
      <w:tr w:rsidR="00E76498" w:rsidRPr="00DA3766" w14:paraId="1486C10C" w14:textId="77777777" w:rsidTr="00F35D3D">
        <w:trPr>
          <w:trHeight w:val="397"/>
          <w:tblHeader/>
          <w:jc w:val="center"/>
        </w:trPr>
        <w:tc>
          <w:tcPr>
            <w:tcW w:w="1526" w:type="dxa"/>
            <w:shd w:val="clear" w:color="auto" w:fill="FFFFFF"/>
            <w:vAlign w:val="center"/>
          </w:tcPr>
          <w:p w14:paraId="02C01B3E"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lastRenderedPageBreak/>
              <w:t>区间</w:t>
            </w:r>
          </w:p>
        </w:tc>
        <w:tc>
          <w:tcPr>
            <w:tcW w:w="1559" w:type="dxa"/>
            <w:shd w:val="clear" w:color="auto" w:fill="FFFFFF"/>
            <w:vAlign w:val="center"/>
          </w:tcPr>
          <w:p w14:paraId="1EE1CB94"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省份</w:t>
            </w:r>
          </w:p>
        </w:tc>
        <w:tc>
          <w:tcPr>
            <w:tcW w:w="2347" w:type="dxa"/>
            <w:shd w:val="clear" w:color="auto" w:fill="FFFFFF"/>
            <w:vAlign w:val="center"/>
          </w:tcPr>
          <w:p w14:paraId="574BAD21"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新增支付用户数（万人）</w:t>
            </w:r>
          </w:p>
        </w:tc>
        <w:tc>
          <w:tcPr>
            <w:tcW w:w="2880" w:type="dxa"/>
            <w:shd w:val="clear" w:color="auto" w:fill="FFFFFF"/>
            <w:vAlign w:val="center"/>
          </w:tcPr>
          <w:p w14:paraId="0D3DBCF5"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新增支付用户对应支付流水（万元）</w:t>
            </w:r>
          </w:p>
        </w:tc>
      </w:tr>
      <w:tr w:rsidR="00E76498" w:rsidRPr="00DA3766" w14:paraId="6F0212AE" w14:textId="77777777" w:rsidTr="00F35D3D">
        <w:trPr>
          <w:trHeight w:val="397"/>
          <w:jc w:val="center"/>
        </w:trPr>
        <w:tc>
          <w:tcPr>
            <w:tcW w:w="1526" w:type="dxa"/>
            <w:vMerge w:val="restart"/>
            <w:shd w:val="solid" w:color="FFFFFF" w:fill="FFFFFF"/>
            <w:vAlign w:val="center"/>
            <w:hideMark/>
          </w:tcPr>
          <w:p w14:paraId="10A8AC20"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31DFF50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77C8109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1,137.32</w:t>
            </w:r>
          </w:p>
        </w:tc>
        <w:tc>
          <w:tcPr>
            <w:tcW w:w="2880" w:type="dxa"/>
            <w:shd w:val="solid" w:color="FFFFFF" w:fill="FFFFFF"/>
            <w:vAlign w:val="center"/>
            <w:hideMark/>
          </w:tcPr>
          <w:p w14:paraId="5131652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35,310.18</w:t>
            </w:r>
          </w:p>
        </w:tc>
      </w:tr>
      <w:tr w:rsidR="00E76498" w:rsidRPr="00DA3766" w14:paraId="0B038A90" w14:textId="77777777" w:rsidTr="00F35D3D">
        <w:trPr>
          <w:trHeight w:val="397"/>
          <w:jc w:val="center"/>
        </w:trPr>
        <w:tc>
          <w:tcPr>
            <w:tcW w:w="1526" w:type="dxa"/>
            <w:vMerge/>
            <w:shd w:val="solid" w:color="FFFFFF" w:fill="FFFFFF"/>
            <w:vAlign w:val="center"/>
            <w:hideMark/>
          </w:tcPr>
          <w:p w14:paraId="3D93A009"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36F58CD"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41AEA10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596.04</w:t>
            </w:r>
          </w:p>
        </w:tc>
        <w:tc>
          <w:tcPr>
            <w:tcW w:w="2880" w:type="dxa"/>
            <w:shd w:val="solid" w:color="FFFFFF" w:fill="FFFFFF"/>
            <w:vAlign w:val="center"/>
            <w:hideMark/>
          </w:tcPr>
          <w:p w14:paraId="6363E98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17,431.87</w:t>
            </w:r>
          </w:p>
        </w:tc>
      </w:tr>
      <w:tr w:rsidR="00E76498" w:rsidRPr="00DA3766" w14:paraId="697DE1AB" w14:textId="77777777" w:rsidTr="00F35D3D">
        <w:trPr>
          <w:trHeight w:val="397"/>
          <w:jc w:val="center"/>
        </w:trPr>
        <w:tc>
          <w:tcPr>
            <w:tcW w:w="1526" w:type="dxa"/>
            <w:vMerge/>
            <w:shd w:val="solid" w:color="FFFFFF" w:fill="FFFFFF"/>
            <w:vAlign w:val="center"/>
            <w:hideMark/>
          </w:tcPr>
          <w:p w14:paraId="21E75C9A"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43D852D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5CEDF1B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570.07</w:t>
            </w:r>
          </w:p>
        </w:tc>
        <w:tc>
          <w:tcPr>
            <w:tcW w:w="2880" w:type="dxa"/>
            <w:shd w:val="solid" w:color="FFFFFF" w:fill="FFFFFF"/>
            <w:vAlign w:val="center"/>
            <w:hideMark/>
          </w:tcPr>
          <w:p w14:paraId="2F5EF8D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17,560.55</w:t>
            </w:r>
          </w:p>
        </w:tc>
      </w:tr>
      <w:tr w:rsidR="00E76498" w:rsidRPr="00DA3766" w14:paraId="58FE58A3" w14:textId="77777777" w:rsidTr="00F35D3D">
        <w:trPr>
          <w:trHeight w:val="397"/>
          <w:jc w:val="center"/>
        </w:trPr>
        <w:tc>
          <w:tcPr>
            <w:tcW w:w="1526" w:type="dxa"/>
            <w:vMerge/>
            <w:shd w:val="solid" w:color="FFFFFF" w:fill="FFFFFF"/>
            <w:vAlign w:val="center"/>
            <w:hideMark/>
          </w:tcPr>
          <w:p w14:paraId="1D473D7B"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510E61C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2FCA4E8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451.48</w:t>
            </w:r>
          </w:p>
        </w:tc>
        <w:tc>
          <w:tcPr>
            <w:tcW w:w="2880" w:type="dxa"/>
            <w:shd w:val="solid" w:color="FFFFFF" w:fill="FFFFFF"/>
            <w:vAlign w:val="center"/>
            <w:hideMark/>
          </w:tcPr>
          <w:p w14:paraId="7F32C00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11,149.95</w:t>
            </w:r>
          </w:p>
        </w:tc>
      </w:tr>
      <w:tr w:rsidR="00E76498" w:rsidRPr="00DA3766" w14:paraId="5A8C66E4" w14:textId="77777777" w:rsidTr="00F35D3D">
        <w:trPr>
          <w:trHeight w:val="397"/>
          <w:jc w:val="center"/>
        </w:trPr>
        <w:tc>
          <w:tcPr>
            <w:tcW w:w="1526" w:type="dxa"/>
            <w:vMerge/>
            <w:shd w:val="solid" w:color="FFFFFF" w:fill="FFFFFF"/>
            <w:vAlign w:val="center"/>
            <w:hideMark/>
          </w:tcPr>
          <w:p w14:paraId="309B3BC2"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4E505373"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7A9E31A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419.61</w:t>
            </w:r>
          </w:p>
        </w:tc>
        <w:tc>
          <w:tcPr>
            <w:tcW w:w="2880" w:type="dxa"/>
            <w:shd w:val="solid" w:color="FFFFFF" w:fill="FFFFFF"/>
            <w:vAlign w:val="center"/>
            <w:hideMark/>
          </w:tcPr>
          <w:p w14:paraId="21E49DF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9,973.69</w:t>
            </w:r>
          </w:p>
        </w:tc>
      </w:tr>
      <w:tr w:rsidR="00E76498" w:rsidRPr="00DA3766" w14:paraId="0BAF4999" w14:textId="77777777" w:rsidTr="00F35D3D">
        <w:trPr>
          <w:trHeight w:val="397"/>
          <w:jc w:val="center"/>
        </w:trPr>
        <w:tc>
          <w:tcPr>
            <w:tcW w:w="1526" w:type="dxa"/>
            <w:vMerge w:val="restart"/>
            <w:shd w:val="solid" w:color="FFFFFF" w:fill="FFFFFF"/>
            <w:vAlign w:val="center"/>
            <w:hideMark/>
          </w:tcPr>
          <w:p w14:paraId="57541D15"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50EC89D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1D6FF2F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934.68</w:t>
            </w:r>
          </w:p>
        </w:tc>
        <w:tc>
          <w:tcPr>
            <w:tcW w:w="2880" w:type="dxa"/>
            <w:shd w:val="solid" w:color="FFFFFF" w:fill="FFFFFF"/>
            <w:vAlign w:val="center"/>
            <w:hideMark/>
          </w:tcPr>
          <w:p w14:paraId="6AC7BD1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27,766.73</w:t>
            </w:r>
          </w:p>
        </w:tc>
      </w:tr>
      <w:tr w:rsidR="00E76498" w:rsidRPr="00DA3766" w14:paraId="2373AEFE" w14:textId="77777777" w:rsidTr="00F35D3D">
        <w:trPr>
          <w:trHeight w:val="397"/>
          <w:jc w:val="center"/>
        </w:trPr>
        <w:tc>
          <w:tcPr>
            <w:tcW w:w="1526" w:type="dxa"/>
            <w:vMerge/>
            <w:shd w:val="solid" w:color="FFFFFF" w:fill="FFFFFF"/>
            <w:vAlign w:val="center"/>
            <w:hideMark/>
          </w:tcPr>
          <w:p w14:paraId="5EA72575"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4D54E02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4C28328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473.67</w:t>
            </w:r>
          </w:p>
        </w:tc>
        <w:tc>
          <w:tcPr>
            <w:tcW w:w="2880" w:type="dxa"/>
            <w:shd w:val="solid" w:color="FFFFFF" w:fill="FFFFFF"/>
            <w:vAlign w:val="center"/>
            <w:hideMark/>
          </w:tcPr>
          <w:p w14:paraId="3D27304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12,133.26</w:t>
            </w:r>
          </w:p>
        </w:tc>
      </w:tr>
      <w:tr w:rsidR="00E76498" w:rsidRPr="00DA3766" w14:paraId="0A5B6E33" w14:textId="77777777" w:rsidTr="00F35D3D">
        <w:trPr>
          <w:trHeight w:val="397"/>
          <w:jc w:val="center"/>
        </w:trPr>
        <w:tc>
          <w:tcPr>
            <w:tcW w:w="1526" w:type="dxa"/>
            <w:vMerge/>
            <w:shd w:val="solid" w:color="FFFFFF" w:fill="FFFFFF"/>
            <w:vAlign w:val="center"/>
            <w:hideMark/>
          </w:tcPr>
          <w:p w14:paraId="280D1DA4"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1A36EE7A"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4867864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466.52</w:t>
            </w:r>
          </w:p>
        </w:tc>
        <w:tc>
          <w:tcPr>
            <w:tcW w:w="2880" w:type="dxa"/>
            <w:shd w:val="solid" w:color="FFFFFF" w:fill="FFFFFF"/>
            <w:vAlign w:val="center"/>
            <w:hideMark/>
          </w:tcPr>
          <w:p w14:paraId="46962D7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12,496.28</w:t>
            </w:r>
          </w:p>
        </w:tc>
      </w:tr>
      <w:tr w:rsidR="00E76498" w:rsidRPr="00DA3766" w14:paraId="5441DF26" w14:textId="77777777" w:rsidTr="00F35D3D">
        <w:trPr>
          <w:trHeight w:val="397"/>
          <w:jc w:val="center"/>
        </w:trPr>
        <w:tc>
          <w:tcPr>
            <w:tcW w:w="1526" w:type="dxa"/>
            <w:vMerge/>
            <w:shd w:val="solid" w:color="FFFFFF" w:fill="FFFFFF"/>
            <w:vAlign w:val="center"/>
            <w:hideMark/>
          </w:tcPr>
          <w:p w14:paraId="709F5BF0"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2C96F5FB"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3667785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382.20</w:t>
            </w:r>
          </w:p>
        </w:tc>
        <w:tc>
          <w:tcPr>
            <w:tcW w:w="2880" w:type="dxa"/>
            <w:shd w:val="solid" w:color="FFFFFF" w:fill="FFFFFF"/>
            <w:vAlign w:val="center"/>
            <w:hideMark/>
          </w:tcPr>
          <w:p w14:paraId="3A7FCF5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9,192.69</w:t>
            </w:r>
          </w:p>
        </w:tc>
      </w:tr>
      <w:tr w:rsidR="00E76498" w:rsidRPr="00DA3766" w14:paraId="51FBFDA1" w14:textId="77777777" w:rsidTr="00F35D3D">
        <w:trPr>
          <w:trHeight w:val="397"/>
          <w:jc w:val="center"/>
        </w:trPr>
        <w:tc>
          <w:tcPr>
            <w:tcW w:w="1526" w:type="dxa"/>
            <w:vMerge/>
            <w:shd w:val="solid" w:color="FFFFFF" w:fill="FFFFFF"/>
            <w:vAlign w:val="center"/>
            <w:hideMark/>
          </w:tcPr>
          <w:p w14:paraId="7E1A8486"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5A5B1312"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72F7864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362.97</w:t>
            </w:r>
          </w:p>
        </w:tc>
        <w:tc>
          <w:tcPr>
            <w:tcW w:w="2880" w:type="dxa"/>
            <w:shd w:val="solid" w:color="FFFFFF" w:fill="FFFFFF"/>
            <w:vAlign w:val="center"/>
            <w:hideMark/>
          </w:tcPr>
          <w:p w14:paraId="1CE6815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8,800.60</w:t>
            </w:r>
          </w:p>
        </w:tc>
      </w:tr>
      <w:tr w:rsidR="00E76498" w:rsidRPr="00DA3766" w14:paraId="529251CC" w14:textId="77777777" w:rsidTr="00F35D3D">
        <w:trPr>
          <w:trHeight w:val="397"/>
          <w:jc w:val="center"/>
        </w:trPr>
        <w:tc>
          <w:tcPr>
            <w:tcW w:w="1526" w:type="dxa"/>
            <w:vMerge w:val="restart"/>
            <w:shd w:val="solid" w:color="FFFFFF" w:fill="FFFFFF"/>
            <w:vAlign w:val="center"/>
            <w:hideMark/>
          </w:tcPr>
          <w:p w14:paraId="4B3DF755"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2025</w:t>
            </w:r>
            <w:r w:rsidRPr="00DA3766">
              <w:rPr>
                <w:rFonts w:ascii="Times New Roman" w:hAnsi="Times New Roman" w:cs="Times New Roman"/>
                <w:color w:val="000000"/>
                <w:kern w:val="2"/>
                <w:sz w:val="21"/>
                <w:szCs w:val="21"/>
              </w:rPr>
              <w:t>年</w:t>
            </w:r>
            <w:r w:rsidRPr="00DA3766">
              <w:rPr>
                <w:rFonts w:ascii="Times New Roman" w:hAnsi="Times New Roman" w:cs="Times New Roman"/>
                <w:color w:val="000000"/>
                <w:kern w:val="2"/>
                <w:sz w:val="21"/>
                <w:szCs w:val="21"/>
              </w:rPr>
              <w:t>1-6</w:t>
            </w:r>
            <w:r w:rsidRPr="00DA3766">
              <w:rPr>
                <w:rFonts w:ascii="Times New Roman" w:hAnsi="Times New Roman" w:cs="Times New Roman"/>
                <w:color w:val="000000"/>
                <w:kern w:val="2"/>
                <w:sz w:val="21"/>
                <w:szCs w:val="21"/>
              </w:rPr>
              <w:t>月</w:t>
            </w:r>
          </w:p>
        </w:tc>
        <w:tc>
          <w:tcPr>
            <w:tcW w:w="1559" w:type="dxa"/>
            <w:shd w:val="solid" w:color="FFFFFF" w:fill="FFFFFF"/>
            <w:vAlign w:val="center"/>
            <w:hideMark/>
          </w:tcPr>
          <w:p w14:paraId="23465CA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5D5D7EA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394.20</w:t>
            </w:r>
          </w:p>
        </w:tc>
        <w:tc>
          <w:tcPr>
            <w:tcW w:w="2880" w:type="dxa"/>
            <w:shd w:val="solid" w:color="FFFFFF" w:fill="FFFFFF"/>
            <w:vAlign w:val="center"/>
            <w:hideMark/>
          </w:tcPr>
          <w:p w14:paraId="66CFF26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9,471.74</w:t>
            </w:r>
          </w:p>
        </w:tc>
      </w:tr>
      <w:tr w:rsidR="00E76498" w:rsidRPr="00DA3766" w14:paraId="082A77A1" w14:textId="77777777" w:rsidTr="00F35D3D">
        <w:trPr>
          <w:trHeight w:val="397"/>
          <w:jc w:val="center"/>
        </w:trPr>
        <w:tc>
          <w:tcPr>
            <w:tcW w:w="1526" w:type="dxa"/>
            <w:vMerge/>
            <w:shd w:val="solid" w:color="FFFFFF" w:fill="FFFFFF"/>
            <w:vAlign w:val="center"/>
          </w:tcPr>
          <w:p w14:paraId="5258E1CA"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36DAE4B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068419C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239.42</w:t>
            </w:r>
          </w:p>
        </w:tc>
        <w:tc>
          <w:tcPr>
            <w:tcW w:w="2880" w:type="dxa"/>
            <w:shd w:val="solid" w:color="FFFFFF" w:fill="FFFFFF"/>
            <w:vAlign w:val="center"/>
            <w:hideMark/>
          </w:tcPr>
          <w:p w14:paraId="14DD484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4,824.25</w:t>
            </w:r>
          </w:p>
        </w:tc>
      </w:tr>
      <w:tr w:rsidR="00E76498" w:rsidRPr="00DA3766" w14:paraId="4F578B2B" w14:textId="77777777" w:rsidTr="00F35D3D">
        <w:trPr>
          <w:trHeight w:val="397"/>
          <w:jc w:val="center"/>
        </w:trPr>
        <w:tc>
          <w:tcPr>
            <w:tcW w:w="1526" w:type="dxa"/>
            <w:vMerge/>
            <w:shd w:val="solid" w:color="FFFFFF" w:fill="FFFFFF"/>
            <w:vAlign w:val="center"/>
          </w:tcPr>
          <w:p w14:paraId="603C18EE"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C953A33"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03E6AB4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204.82</w:t>
            </w:r>
          </w:p>
        </w:tc>
        <w:tc>
          <w:tcPr>
            <w:tcW w:w="2880" w:type="dxa"/>
            <w:shd w:val="solid" w:color="FFFFFF" w:fill="FFFFFF"/>
            <w:vAlign w:val="center"/>
            <w:hideMark/>
          </w:tcPr>
          <w:p w14:paraId="4345298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4,354.16</w:t>
            </w:r>
          </w:p>
        </w:tc>
      </w:tr>
      <w:tr w:rsidR="00E76498" w:rsidRPr="00DA3766" w14:paraId="488EE6B1" w14:textId="77777777" w:rsidTr="00F35D3D">
        <w:trPr>
          <w:trHeight w:val="397"/>
          <w:jc w:val="center"/>
        </w:trPr>
        <w:tc>
          <w:tcPr>
            <w:tcW w:w="1526" w:type="dxa"/>
            <w:vMerge/>
            <w:shd w:val="solid" w:color="FFFFFF" w:fill="FFFFFF"/>
            <w:vAlign w:val="center"/>
          </w:tcPr>
          <w:p w14:paraId="6C82CA02"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08CA350"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5E62262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158.93</w:t>
            </w:r>
          </w:p>
        </w:tc>
        <w:tc>
          <w:tcPr>
            <w:tcW w:w="2880" w:type="dxa"/>
            <w:shd w:val="solid" w:color="FFFFFF" w:fill="FFFFFF"/>
            <w:vAlign w:val="center"/>
            <w:hideMark/>
          </w:tcPr>
          <w:p w14:paraId="765F7EC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3,283.10</w:t>
            </w:r>
          </w:p>
        </w:tc>
      </w:tr>
      <w:tr w:rsidR="00E76498" w:rsidRPr="00DA3766" w14:paraId="54F2E455" w14:textId="77777777" w:rsidTr="00F35D3D">
        <w:trPr>
          <w:trHeight w:val="397"/>
          <w:jc w:val="center"/>
        </w:trPr>
        <w:tc>
          <w:tcPr>
            <w:tcW w:w="1526" w:type="dxa"/>
            <w:vMerge/>
            <w:shd w:val="solid" w:color="FFFFFF" w:fill="FFFFFF"/>
            <w:vAlign w:val="center"/>
          </w:tcPr>
          <w:p w14:paraId="2D34E4DA"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13C3CC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5EF4D0B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155.57</w:t>
            </w:r>
          </w:p>
        </w:tc>
        <w:tc>
          <w:tcPr>
            <w:tcW w:w="2880" w:type="dxa"/>
            <w:shd w:val="solid" w:color="FFFFFF" w:fill="FFFFFF"/>
            <w:vAlign w:val="center"/>
            <w:hideMark/>
          </w:tcPr>
          <w:p w14:paraId="70F7292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3,717.52</w:t>
            </w:r>
          </w:p>
        </w:tc>
      </w:tr>
    </w:tbl>
    <w:p w14:paraId="052E7403" w14:textId="77777777" w:rsidR="00E76498" w:rsidRPr="00DA3766" w:rsidRDefault="00E76498" w:rsidP="00E76498">
      <w:pPr>
        <w:pStyle w:val="005"/>
        <w:spacing w:before="120" w:after="120"/>
        <w:ind w:firstLine="480"/>
      </w:pPr>
      <w:r w:rsidRPr="00DA3766">
        <w:t>报告期内，标的公司各期新增支付用户集中于经济较发达的省份（如广东省、江苏省、浙江省等）及人口基数较大的省份（如山东省、河南省等），具有合理性。</w:t>
      </w:r>
    </w:p>
    <w:p w14:paraId="6225567A"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③</w:t>
      </w:r>
      <w:r w:rsidRPr="00DA3766">
        <w:rPr>
          <w:rFonts w:ascii="Times New Roman" w:hAnsi="Times New Roman" w:cs="Times New Roman"/>
          <w:kern w:val="2"/>
          <w:szCs w:val="22"/>
        </w:rPr>
        <w:t>标的公司新增客户消费金额按区间分布情况</w:t>
      </w:r>
    </w:p>
    <w:p w14:paraId="4D7379C9" w14:textId="77777777" w:rsidR="00E76498" w:rsidRPr="00DA3766" w:rsidRDefault="00E76498" w:rsidP="00E76498">
      <w:pPr>
        <w:pStyle w:val="005"/>
        <w:spacing w:before="120" w:after="120"/>
        <w:ind w:firstLine="480"/>
      </w:pPr>
      <w:r w:rsidRPr="00DA3766">
        <w:t>报告期各期，新增用户消费金额按区间划分情况如下：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60"/>
        <w:gridCol w:w="1417"/>
        <w:gridCol w:w="1418"/>
        <w:gridCol w:w="1134"/>
        <w:gridCol w:w="1984"/>
        <w:gridCol w:w="992"/>
      </w:tblGrid>
      <w:tr w:rsidR="00E76498" w:rsidRPr="00DA3766" w14:paraId="3B84BB79" w14:textId="77777777" w:rsidTr="00F35D3D">
        <w:trPr>
          <w:trHeight w:val="397"/>
          <w:tblHeader/>
          <w:jc w:val="center"/>
        </w:trPr>
        <w:tc>
          <w:tcPr>
            <w:tcW w:w="1560" w:type="dxa"/>
            <w:shd w:val="clear" w:color="auto" w:fill="FFFFFF"/>
            <w:vAlign w:val="center"/>
            <w:hideMark/>
          </w:tcPr>
          <w:p w14:paraId="6213EA56"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年度</w:t>
            </w:r>
          </w:p>
        </w:tc>
        <w:tc>
          <w:tcPr>
            <w:tcW w:w="1417" w:type="dxa"/>
            <w:shd w:val="clear" w:color="auto" w:fill="FFFFFF"/>
            <w:vAlign w:val="center"/>
            <w:hideMark/>
          </w:tcPr>
          <w:p w14:paraId="3111C8AC"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消费区间（元）</w:t>
            </w:r>
          </w:p>
        </w:tc>
        <w:tc>
          <w:tcPr>
            <w:tcW w:w="1418" w:type="dxa"/>
            <w:shd w:val="clear" w:color="auto" w:fill="FFFFFF"/>
            <w:vAlign w:val="center"/>
            <w:hideMark/>
          </w:tcPr>
          <w:p w14:paraId="124C49C0"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新增支付用户数（万人）</w:t>
            </w:r>
          </w:p>
        </w:tc>
        <w:tc>
          <w:tcPr>
            <w:tcW w:w="1134" w:type="dxa"/>
            <w:shd w:val="clear" w:color="auto" w:fill="FFFFFF"/>
            <w:vAlign w:val="center"/>
            <w:hideMark/>
          </w:tcPr>
          <w:p w14:paraId="13B6075F"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c>
          <w:tcPr>
            <w:tcW w:w="1984" w:type="dxa"/>
            <w:shd w:val="clear" w:color="auto" w:fill="FFFFFF"/>
            <w:vAlign w:val="center"/>
            <w:hideMark/>
          </w:tcPr>
          <w:p w14:paraId="494578F7"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新增支付用户对应支付流水（万元）</w:t>
            </w:r>
          </w:p>
        </w:tc>
        <w:tc>
          <w:tcPr>
            <w:tcW w:w="992" w:type="dxa"/>
            <w:shd w:val="clear" w:color="auto" w:fill="FFFFFF"/>
            <w:vAlign w:val="center"/>
            <w:hideMark/>
          </w:tcPr>
          <w:p w14:paraId="093E7114"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r>
      <w:tr w:rsidR="00E76498" w:rsidRPr="00DA3766" w14:paraId="260EDD28" w14:textId="77777777" w:rsidTr="00F35D3D">
        <w:trPr>
          <w:trHeight w:val="397"/>
          <w:jc w:val="center"/>
        </w:trPr>
        <w:tc>
          <w:tcPr>
            <w:tcW w:w="1560" w:type="dxa"/>
            <w:vMerge w:val="restart"/>
            <w:shd w:val="solid" w:color="FFFFFF" w:fill="FFFFFF"/>
            <w:vAlign w:val="center"/>
            <w:hideMark/>
          </w:tcPr>
          <w:p w14:paraId="6E18D510"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49B2CB4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6B2D8EC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7,582.06</w:t>
            </w:r>
          </w:p>
        </w:tc>
        <w:tc>
          <w:tcPr>
            <w:tcW w:w="1134" w:type="dxa"/>
            <w:shd w:val="solid" w:color="FFFFFF" w:fill="FFFFFF"/>
            <w:vAlign w:val="center"/>
            <w:hideMark/>
          </w:tcPr>
          <w:p w14:paraId="4DCA56C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96.48%</w:t>
            </w:r>
          </w:p>
        </w:tc>
        <w:tc>
          <w:tcPr>
            <w:tcW w:w="1984" w:type="dxa"/>
            <w:shd w:val="solid" w:color="FFFFFF" w:fill="FFFFFF"/>
            <w:vAlign w:val="center"/>
            <w:hideMark/>
          </w:tcPr>
          <w:p w14:paraId="66701A6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155,517.00</w:t>
            </w:r>
          </w:p>
        </w:tc>
        <w:tc>
          <w:tcPr>
            <w:tcW w:w="992" w:type="dxa"/>
            <w:shd w:val="solid" w:color="FFFFFF" w:fill="FFFFFF"/>
            <w:vAlign w:val="center"/>
            <w:hideMark/>
          </w:tcPr>
          <w:p w14:paraId="75B118B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73.12%</w:t>
            </w:r>
          </w:p>
        </w:tc>
      </w:tr>
      <w:tr w:rsidR="00E76498" w:rsidRPr="00DA3766" w14:paraId="1413098B" w14:textId="77777777" w:rsidTr="00F35D3D">
        <w:trPr>
          <w:trHeight w:val="397"/>
          <w:jc w:val="center"/>
        </w:trPr>
        <w:tc>
          <w:tcPr>
            <w:tcW w:w="1560" w:type="dxa"/>
            <w:vMerge/>
            <w:shd w:val="solid" w:color="FFFFFF" w:fill="FFFFFF"/>
            <w:vAlign w:val="center"/>
            <w:hideMark/>
          </w:tcPr>
          <w:p w14:paraId="234720EC"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7AC6CBF5"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378B681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266.84</w:t>
            </w:r>
          </w:p>
        </w:tc>
        <w:tc>
          <w:tcPr>
            <w:tcW w:w="1134" w:type="dxa"/>
            <w:shd w:val="solid" w:color="FFFFFF" w:fill="FFFFFF"/>
            <w:vAlign w:val="center"/>
            <w:hideMark/>
          </w:tcPr>
          <w:p w14:paraId="7A26395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3.40%</w:t>
            </w:r>
          </w:p>
        </w:tc>
        <w:tc>
          <w:tcPr>
            <w:tcW w:w="1984" w:type="dxa"/>
            <w:shd w:val="solid" w:color="FFFFFF" w:fill="FFFFFF"/>
            <w:vAlign w:val="center"/>
            <w:hideMark/>
          </w:tcPr>
          <w:p w14:paraId="277199E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46,499.99</w:t>
            </w:r>
          </w:p>
        </w:tc>
        <w:tc>
          <w:tcPr>
            <w:tcW w:w="992" w:type="dxa"/>
            <w:shd w:val="solid" w:color="FFFFFF" w:fill="FFFFFF"/>
            <w:vAlign w:val="center"/>
            <w:hideMark/>
          </w:tcPr>
          <w:p w14:paraId="4C2A768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21.86%</w:t>
            </w:r>
          </w:p>
        </w:tc>
      </w:tr>
      <w:tr w:rsidR="00E76498" w:rsidRPr="00DA3766" w14:paraId="0EA8AF10" w14:textId="77777777" w:rsidTr="00F35D3D">
        <w:trPr>
          <w:trHeight w:val="397"/>
          <w:jc w:val="center"/>
        </w:trPr>
        <w:tc>
          <w:tcPr>
            <w:tcW w:w="1560" w:type="dxa"/>
            <w:vMerge/>
            <w:shd w:val="solid" w:color="FFFFFF" w:fill="FFFFFF"/>
            <w:vAlign w:val="center"/>
            <w:hideMark/>
          </w:tcPr>
          <w:p w14:paraId="3961D8D0"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79C769B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722EAC1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7.69</w:t>
            </w:r>
          </w:p>
        </w:tc>
        <w:tc>
          <w:tcPr>
            <w:tcW w:w="1134" w:type="dxa"/>
            <w:shd w:val="solid" w:color="FFFFFF" w:fill="FFFFFF"/>
            <w:vAlign w:val="center"/>
            <w:hideMark/>
          </w:tcPr>
          <w:p w14:paraId="038D449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0.10%</w:t>
            </w:r>
          </w:p>
        </w:tc>
        <w:tc>
          <w:tcPr>
            <w:tcW w:w="1984" w:type="dxa"/>
            <w:shd w:val="solid" w:color="FFFFFF" w:fill="FFFFFF"/>
            <w:vAlign w:val="center"/>
            <w:hideMark/>
          </w:tcPr>
          <w:p w14:paraId="5D8CA13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5,137.97</w:t>
            </w:r>
          </w:p>
        </w:tc>
        <w:tc>
          <w:tcPr>
            <w:tcW w:w="992" w:type="dxa"/>
            <w:shd w:val="solid" w:color="FFFFFF" w:fill="FFFFFF"/>
            <w:vAlign w:val="center"/>
            <w:hideMark/>
          </w:tcPr>
          <w:p w14:paraId="7712288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2.42%</w:t>
            </w:r>
          </w:p>
        </w:tc>
      </w:tr>
      <w:tr w:rsidR="00E76498" w:rsidRPr="00DA3766" w14:paraId="5EFE902B" w14:textId="77777777" w:rsidTr="00F35D3D">
        <w:trPr>
          <w:trHeight w:val="397"/>
          <w:jc w:val="center"/>
        </w:trPr>
        <w:tc>
          <w:tcPr>
            <w:tcW w:w="1560" w:type="dxa"/>
            <w:vMerge/>
            <w:shd w:val="solid" w:color="FFFFFF" w:fill="FFFFFF"/>
            <w:vAlign w:val="center"/>
          </w:tcPr>
          <w:p w14:paraId="7850B653"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4B6F933A"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126FE25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2.41</w:t>
            </w:r>
          </w:p>
        </w:tc>
        <w:tc>
          <w:tcPr>
            <w:tcW w:w="1134" w:type="dxa"/>
            <w:shd w:val="solid" w:color="FFFFFF" w:fill="FFFFFF"/>
            <w:vAlign w:val="center"/>
          </w:tcPr>
          <w:p w14:paraId="694A643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0.03%</w:t>
            </w:r>
          </w:p>
        </w:tc>
        <w:tc>
          <w:tcPr>
            <w:tcW w:w="1984" w:type="dxa"/>
            <w:shd w:val="solid" w:color="FFFFFF" w:fill="FFFFFF"/>
            <w:vAlign w:val="center"/>
          </w:tcPr>
          <w:p w14:paraId="65F3788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5,528.41</w:t>
            </w:r>
          </w:p>
        </w:tc>
        <w:tc>
          <w:tcPr>
            <w:tcW w:w="992" w:type="dxa"/>
            <w:shd w:val="solid" w:color="FFFFFF" w:fill="FFFFFF"/>
            <w:vAlign w:val="center"/>
          </w:tcPr>
          <w:p w14:paraId="4864D2F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E76498" w:rsidRPr="00DA3766" w14:paraId="0F7A80AD" w14:textId="77777777" w:rsidTr="00F35D3D">
        <w:trPr>
          <w:trHeight w:val="397"/>
          <w:jc w:val="center"/>
        </w:trPr>
        <w:tc>
          <w:tcPr>
            <w:tcW w:w="1560" w:type="dxa"/>
            <w:vMerge/>
            <w:shd w:val="solid" w:color="FFFFFF" w:fill="FFFFFF"/>
            <w:vAlign w:val="center"/>
            <w:hideMark/>
          </w:tcPr>
          <w:p w14:paraId="66EDA92C"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467FD7DF"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31896C8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7,859.01</w:t>
            </w:r>
          </w:p>
        </w:tc>
        <w:tc>
          <w:tcPr>
            <w:tcW w:w="1134" w:type="dxa"/>
            <w:shd w:val="solid" w:color="FFFFFF" w:fill="FFFFFF"/>
            <w:vAlign w:val="center"/>
            <w:hideMark/>
          </w:tcPr>
          <w:p w14:paraId="0014CA0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3896A89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212,683.37</w:t>
            </w:r>
          </w:p>
        </w:tc>
        <w:tc>
          <w:tcPr>
            <w:tcW w:w="992" w:type="dxa"/>
            <w:shd w:val="solid" w:color="FFFFFF" w:fill="FFFFFF"/>
            <w:vAlign w:val="center"/>
            <w:hideMark/>
          </w:tcPr>
          <w:p w14:paraId="06CD5D2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E76498" w:rsidRPr="00DA3766" w14:paraId="7173317B" w14:textId="77777777" w:rsidTr="00F35D3D">
        <w:trPr>
          <w:trHeight w:val="397"/>
          <w:jc w:val="center"/>
        </w:trPr>
        <w:tc>
          <w:tcPr>
            <w:tcW w:w="1560" w:type="dxa"/>
            <w:vMerge w:val="restart"/>
            <w:shd w:val="solid" w:color="FFFFFF" w:fill="FFFFFF"/>
            <w:vAlign w:val="center"/>
            <w:hideMark/>
          </w:tcPr>
          <w:p w14:paraId="69A71D79"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4B22A6BD"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0B637D3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6,366.88</w:t>
            </w:r>
          </w:p>
        </w:tc>
        <w:tc>
          <w:tcPr>
            <w:tcW w:w="1134" w:type="dxa"/>
            <w:shd w:val="solid" w:color="FFFFFF" w:fill="FFFFFF"/>
            <w:vAlign w:val="center"/>
            <w:hideMark/>
          </w:tcPr>
          <w:p w14:paraId="02C6CD8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96.97%</w:t>
            </w:r>
          </w:p>
        </w:tc>
        <w:tc>
          <w:tcPr>
            <w:tcW w:w="1984" w:type="dxa"/>
            <w:shd w:val="solid" w:color="FFFFFF" w:fill="FFFFFF"/>
            <w:vAlign w:val="center"/>
            <w:hideMark/>
          </w:tcPr>
          <w:p w14:paraId="1FC71F7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127,149.83</w:t>
            </w:r>
          </w:p>
        </w:tc>
        <w:tc>
          <w:tcPr>
            <w:tcW w:w="992" w:type="dxa"/>
            <w:shd w:val="solid" w:color="FFFFFF" w:fill="FFFFFF"/>
            <w:vAlign w:val="center"/>
            <w:hideMark/>
          </w:tcPr>
          <w:p w14:paraId="350DE76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75.84%</w:t>
            </w:r>
          </w:p>
        </w:tc>
      </w:tr>
      <w:tr w:rsidR="00E76498" w:rsidRPr="00DA3766" w14:paraId="5E49D0CF" w14:textId="77777777" w:rsidTr="00F35D3D">
        <w:trPr>
          <w:trHeight w:val="397"/>
          <w:jc w:val="center"/>
        </w:trPr>
        <w:tc>
          <w:tcPr>
            <w:tcW w:w="1560" w:type="dxa"/>
            <w:vMerge/>
            <w:shd w:val="solid" w:color="FFFFFF" w:fill="FFFFFF"/>
            <w:vAlign w:val="center"/>
            <w:hideMark/>
          </w:tcPr>
          <w:p w14:paraId="6B3E3E6E"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4DEE00D0"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3EA2195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192.54</w:t>
            </w:r>
          </w:p>
        </w:tc>
        <w:tc>
          <w:tcPr>
            <w:tcW w:w="1134" w:type="dxa"/>
            <w:shd w:val="solid" w:color="FFFFFF" w:fill="FFFFFF"/>
            <w:vAlign w:val="center"/>
            <w:hideMark/>
          </w:tcPr>
          <w:p w14:paraId="6BB2AFB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2.93%</w:t>
            </w:r>
          </w:p>
        </w:tc>
        <w:tc>
          <w:tcPr>
            <w:tcW w:w="1984" w:type="dxa"/>
            <w:shd w:val="solid" w:color="FFFFFF" w:fill="FFFFFF"/>
            <w:vAlign w:val="center"/>
            <w:hideMark/>
          </w:tcPr>
          <w:p w14:paraId="410ADCA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32,950.97</w:t>
            </w:r>
          </w:p>
        </w:tc>
        <w:tc>
          <w:tcPr>
            <w:tcW w:w="992" w:type="dxa"/>
            <w:shd w:val="solid" w:color="FFFFFF" w:fill="FFFFFF"/>
            <w:vAlign w:val="center"/>
            <w:hideMark/>
          </w:tcPr>
          <w:p w14:paraId="58C0249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19.65%</w:t>
            </w:r>
          </w:p>
        </w:tc>
      </w:tr>
      <w:tr w:rsidR="00E76498" w:rsidRPr="00DA3766" w14:paraId="552C9460" w14:textId="77777777" w:rsidTr="00F35D3D">
        <w:trPr>
          <w:trHeight w:val="397"/>
          <w:jc w:val="center"/>
        </w:trPr>
        <w:tc>
          <w:tcPr>
            <w:tcW w:w="1560" w:type="dxa"/>
            <w:vMerge/>
            <w:shd w:val="solid" w:color="FFFFFF" w:fill="FFFFFF"/>
            <w:vAlign w:val="center"/>
            <w:hideMark/>
          </w:tcPr>
          <w:p w14:paraId="50DC885D"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768389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344FECC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4.79</w:t>
            </w:r>
          </w:p>
        </w:tc>
        <w:tc>
          <w:tcPr>
            <w:tcW w:w="1134" w:type="dxa"/>
            <w:shd w:val="solid" w:color="FFFFFF" w:fill="FFFFFF"/>
            <w:vAlign w:val="center"/>
            <w:hideMark/>
          </w:tcPr>
          <w:p w14:paraId="793B1B5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0.07%</w:t>
            </w:r>
          </w:p>
        </w:tc>
        <w:tc>
          <w:tcPr>
            <w:tcW w:w="1984" w:type="dxa"/>
            <w:shd w:val="solid" w:color="FFFFFF" w:fill="FFFFFF"/>
            <w:vAlign w:val="center"/>
            <w:hideMark/>
          </w:tcPr>
          <w:p w14:paraId="6B94569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3,195.03</w:t>
            </w:r>
          </w:p>
        </w:tc>
        <w:tc>
          <w:tcPr>
            <w:tcW w:w="992" w:type="dxa"/>
            <w:shd w:val="solid" w:color="FFFFFF" w:fill="FFFFFF"/>
            <w:vAlign w:val="center"/>
            <w:hideMark/>
          </w:tcPr>
          <w:p w14:paraId="34CA6FB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1.91%</w:t>
            </w:r>
          </w:p>
        </w:tc>
      </w:tr>
      <w:tr w:rsidR="00E76498" w:rsidRPr="00DA3766" w14:paraId="0ADE7A36" w14:textId="77777777" w:rsidTr="00F35D3D">
        <w:trPr>
          <w:trHeight w:val="397"/>
          <w:jc w:val="center"/>
        </w:trPr>
        <w:tc>
          <w:tcPr>
            <w:tcW w:w="1560" w:type="dxa"/>
            <w:vMerge/>
            <w:shd w:val="solid" w:color="FFFFFF" w:fill="FFFFFF"/>
            <w:vAlign w:val="center"/>
          </w:tcPr>
          <w:p w14:paraId="2A44F900"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33112B7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34BD9CD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1.59</w:t>
            </w:r>
          </w:p>
        </w:tc>
        <w:tc>
          <w:tcPr>
            <w:tcW w:w="1134" w:type="dxa"/>
            <w:shd w:val="solid" w:color="FFFFFF" w:fill="FFFFFF"/>
            <w:vAlign w:val="center"/>
          </w:tcPr>
          <w:p w14:paraId="6935F24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559CDE1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4,366.36</w:t>
            </w:r>
          </w:p>
        </w:tc>
        <w:tc>
          <w:tcPr>
            <w:tcW w:w="992" w:type="dxa"/>
            <w:shd w:val="solid" w:color="FFFFFF" w:fill="FFFFFF"/>
            <w:vAlign w:val="center"/>
          </w:tcPr>
          <w:p w14:paraId="7E01170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E76498" w:rsidRPr="00DA3766" w14:paraId="03126AB7" w14:textId="77777777" w:rsidTr="00F35D3D">
        <w:trPr>
          <w:trHeight w:val="397"/>
          <w:jc w:val="center"/>
        </w:trPr>
        <w:tc>
          <w:tcPr>
            <w:tcW w:w="1560" w:type="dxa"/>
            <w:vMerge/>
            <w:shd w:val="solid" w:color="FFFFFF" w:fill="FFFFFF"/>
            <w:vAlign w:val="center"/>
            <w:hideMark/>
          </w:tcPr>
          <w:p w14:paraId="1403227E"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574EEA14"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0976E4D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6,565.80</w:t>
            </w:r>
          </w:p>
        </w:tc>
        <w:tc>
          <w:tcPr>
            <w:tcW w:w="1134" w:type="dxa"/>
            <w:shd w:val="solid" w:color="FFFFFF" w:fill="FFFFFF"/>
            <w:vAlign w:val="center"/>
            <w:hideMark/>
          </w:tcPr>
          <w:p w14:paraId="31361BA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03D049D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167,662.19</w:t>
            </w:r>
          </w:p>
        </w:tc>
        <w:tc>
          <w:tcPr>
            <w:tcW w:w="992" w:type="dxa"/>
            <w:shd w:val="solid" w:color="FFFFFF" w:fill="FFFFFF"/>
            <w:vAlign w:val="center"/>
            <w:hideMark/>
          </w:tcPr>
          <w:p w14:paraId="68AE557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E76498" w:rsidRPr="00DA3766" w14:paraId="7868C0A6" w14:textId="77777777" w:rsidTr="00F35D3D">
        <w:trPr>
          <w:trHeight w:val="397"/>
          <w:jc w:val="center"/>
        </w:trPr>
        <w:tc>
          <w:tcPr>
            <w:tcW w:w="1560" w:type="dxa"/>
            <w:vMerge w:val="restart"/>
            <w:shd w:val="solid" w:color="FFFFFF" w:fill="FFFFFF"/>
            <w:vAlign w:val="center"/>
            <w:hideMark/>
          </w:tcPr>
          <w:p w14:paraId="74949AD6"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2025</w:t>
            </w:r>
            <w:r w:rsidRPr="00DA3766">
              <w:rPr>
                <w:rFonts w:ascii="Times New Roman" w:hAnsi="Times New Roman" w:cs="Times New Roman"/>
                <w:color w:val="000000"/>
                <w:kern w:val="2"/>
                <w:sz w:val="21"/>
                <w:szCs w:val="21"/>
              </w:rPr>
              <w:t>年</w:t>
            </w:r>
            <w:r w:rsidRPr="00DA3766">
              <w:rPr>
                <w:rFonts w:ascii="Times New Roman" w:hAnsi="Times New Roman" w:cs="Times New Roman"/>
                <w:color w:val="000000"/>
                <w:kern w:val="2"/>
                <w:sz w:val="21"/>
                <w:szCs w:val="21"/>
              </w:rPr>
              <w:t>1-6</w:t>
            </w:r>
            <w:r w:rsidRPr="00DA3766">
              <w:rPr>
                <w:rFonts w:ascii="Times New Roman" w:hAnsi="Times New Roman" w:cs="Times New Roman"/>
                <w:color w:val="000000"/>
                <w:kern w:val="2"/>
                <w:sz w:val="21"/>
                <w:szCs w:val="21"/>
              </w:rPr>
              <w:t>月</w:t>
            </w:r>
          </w:p>
        </w:tc>
        <w:tc>
          <w:tcPr>
            <w:tcW w:w="1417" w:type="dxa"/>
            <w:shd w:val="solid" w:color="FFFFFF" w:fill="FFFFFF"/>
            <w:vAlign w:val="center"/>
            <w:hideMark/>
          </w:tcPr>
          <w:p w14:paraId="0404F1F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4CC362A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2,835.72</w:t>
            </w:r>
          </w:p>
        </w:tc>
        <w:tc>
          <w:tcPr>
            <w:tcW w:w="1134" w:type="dxa"/>
            <w:shd w:val="solid" w:color="FFFFFF" w:fill="FFFFFF"/>
            <w:vAlign w:val="center"/>
            <w:hideMark/>
          </w:tcPr>
          <w:p w14:paraId="7EAB826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98.11%</w:t>
            </w:r>
          </w:p>
        </w:tc>
        <w:tc>
          <w:tcPr>
            <w:tcW w:w="1984" w:type="dxa"/>
            <w:shd w:val="solid" w:color="FFFFFF" w:fill="FFFFFF"/>
            <w:vAlign w:val="center"/>
            <w:hideMark/>
          </w:tcPr>
          <w:p w14:paraId="14B72B1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51,914.21</w:t>
            </w:r>
          </w:p>
        </w:tc>
        <w:tc>
          <w:tcPr>
            <w:tcW w:w="992" w:type="dxa"/>
            <w:shd w:val="solid" w:color="FFFFFF" w:fill="FFFFFF"/>
            <w:vAlign w:val="center"/>
            <w:hideMark/>
          </w:tcPr>
          <w:p w14:paraId="51FD2B0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82.50%</w:t>
            </w:r>
          </w:p>
        </w:tc>
      </w:tr>
      <w:tr w:rsidR="00E76498" w:rsidRPr="00DA3766" w14:paraId="1487AD45" w14:textId="77777777" w:rsidTr="00F35D3D">
        <w:trPr>
          <w:trHeight w:val="397"/>
          <w:jc w:val="center"/>
        </w:trPr>
        <w:tc>
          <w:tcPr>
            <w:tcW w:w="1560" w:type="dxa"/>
            <w:vMerge/>
            <w:shd w:val="solid" w:color="FFFFFF" w:fill="FFFFFF"/>
            <w:vAlign w:val="center"/>
            <w:hideMark/>
          </w:tcPr>
          <w:p w14:paraId="65B38BFA"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40DD06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110116C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52.94</w:t>
            </w:r>
          </w:p>
        </w:tc>
        <w:tc>
          <w:tcPr>
            <w:tcW w:w="1134" w:type="dxa"/>
            <w:shd w:val="solid" w:color="FFFFFF" w:fill="FFFFFF"/>
            <w:vAlign w:val="center"/>
            <w:hideMark/>
          </w:tcPr>
          <w:p w14:paraId="71D3807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1.83%</w:t>
            </w:r>
          </w:p>
        </w:tc>
        <w:tc>
          <w:tcPr>
            <w:tcW w:w="1984" w:type="dxa"/>
            <w:shd w:val="solid" w:color="FFFFFF" w:fill="FFFFFF"/>
            <w:vAlign w:val="center"/>
            <w:hideMark/>
          </w:tcPr>
          <w:p w14:paraId="59F473E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8,873.60</w:t>
            </w:r>
          </w:p>
        </w:tc>
        <w:tc>
          <w:tcPr>
            <w:tcW w:w="992" w:type="dxa"/>
            <w:shd w:val="solid" w:color="FFFFFF" w:fill="FFFFFF"/>
            <w:vAlign w:val="center"/>
            <w:hideMark/>
          </w:tcPr>
          <w:p w14:paraId="1210408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14.10%</w:t>
            </w:r>
          </w:p>
        </w:tc>
      </w:tr>
      <w:tr w:rsidR="00E76498" w:rsidRPr="00DA3766" w14:paraId="32E3A8E5" w14:textId="77777777" w:rsidTr="00F35D3D">
        <w:trPr>
          <w:trHeight w:val="397"/>
          <w:jc w:val="center"/>
        </w:trPr>
        <w:tc>
          <w:tcPr>
            <w:tcW w:w="1560" w:type="dxa"/>
            <w:vMerge/>
            <w:shd w:val="solid" w:color="FFFFFF" w:fill="FFFFFF"/>
            <w:vAlign w:val="center"/>
            <w:hideMark/>
          </w:tcPr>
          <w:p w14:paraId="340EF514"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CDCBEE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7B949E6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1.17</w:t>
            </w:r>
          </w:p>
        </w:tc>
        <w:tc>
          <w:tcPr>
            <w:tcW w:w="1134" w:type="dxa"/>
            <w:shd w:val="solid" w:color="FFFFFF" w:fill="FFFFFF"/>
            <w:vAlign w:val="center"/>
            <w:hideMark/>
          </w:tcPr>
          <w:p w14:paraId="0F8E94C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0.04%</w:t>
            </w:r>
          </w:p>
        </w:tc>
        <w:tc>
          <w:tcPr>
            <w:tcW w:w="1984" w:type="dxa"/>
            <w:shd w:val="solid" w:color="FFFFFF" w:fill="FFFFFF"/>
            <w:vAlign w:val="center"/>
            <w:hideMark/>
          </w:tcPr>
          <w:p w14:paraId="6BEDDCAC"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788.22</w:t>
            </w:r>
          </w:p>
        </w:tc>
        <w:tc>
          <w:tcPr>
            <w:tcW w:w="992" w:type="dxa"/>
            <w:shd w:val="solid" w:color="FFFFFF" w:fill="FFFFFF"/>
            <w:vAlign w:val="center"/>
            <w:hideMark/>
          </w:tcPr>
          <w:p w14:paraId="1F37988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1.25%</w:t>
            </w:r>
          </w:p>
        </w:tc>
      </w:tr>
      <w:tr w:rsidR="00E76498" w:rsidRPr="00DA3766" w14:paraId="5D80B784" w14:textId="77777777" w:rsidTr="00F35D3D">
        <w:trPr>
          <w:trHeight w:val="397"/>
          <w:jc w:val="center"/>
        </w:trPr>
        <w:tc>
          <w:tcPr>
            <w:tcW w:w="1560" w:type="dxa"/>
            <w:vMerge/>
            <w:shd w:val="solid" w:color="FFFFFF" w:fill="FFFFFF"/>
            <w:vAlign w:val="center"/>
          </w:tcPr>
          <w:p w14:paraId="62D32CF6"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5A70B60D"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3105050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0.47</w:t>
            </w:r>
          </w:p>
        </w:tc>
        <w:tc>
          <w:tcPr>
            <w:tcW w:w="1134" w:type="dxa"/>
            <w:shd w:val="solid" w:color="FFFFFF" w:fill="FFFFFF"/>
            <w:vAlign w:val="center"/>
          </w:tcPr>
          <w:p w14:paraId="289E1A5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54650B5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1,353.42</w:t>
            </w:r>
          </w:p>
        </w:tc>
        <w:tc>
          <w:tcPr>
            <w:tcW w:w="992" w:type="dxa"/>
            <w:shd w:val="solid" w:color="FFFFFF" w:fill="FFFFFF"/>
            <w:vAlign w:val="center"/>
          </w:tcPr>
          <w:p w14:paraId="4370E7F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2.15%</w:t>
            </w:r>
          </w:p>
        </w:tc>
      </w:tr>
      <w:tr w:rsidR="00E76498" w:rsidRPr="00DA3766" w14:paraId="2998AB08" w14:textId="77777777" w:rsidTr="00F35D3D">
        <w:trPr>
          <w:trHeight w:val="397"/>
          <w:jc w:val="center"/>
        </w:trPr>
        <w:tc>
          <w:tcPr>
            <w:tcW w:w="1560" w:type="dxa"/>
            <w:vMerge/>
            <w:shd w:val="solid" w:color="FFFFFF" w:fill="FFFFFF"/>
            <w:vAlign w:val="center"/>
            <w:hideMark/>
          </w:tcPr>
          <w:p w14:paraId="2E0D1E4B"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484FE6D5"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3C574D1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2,890.30</w:t>
            </w:r>
          </w:p>
        </w:tc>
        <w:tc>
          <w:tcPr>
            <w:tcW w:w="1134" w:type="dxa"/>
            <w:shd w:val="solid" w:color="FFFFFF" w:fill="FFFFFF"/>
            <w:vAlign w:val="center"/>
            <w:hideMark/>
          </w:tcPr>
          <w:p w14:paraId="7C34A79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0B0F50D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62,929.45</w:t>
            </w:r>
          </w:p>
        </w:tc>
        <w:tc>
          <w:tcPr>
            <w:tcW w:w="992" w:type="dxa"/>
            <w:shd w:val="solid" w:color="FFFFFF" w:fill="FFFFFF"/>
            <w:vAlign w:val="center"/>
            <w:hideMark/>
          </w:tcPr>
          <w:p w14:paraId="659BEB2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bl>
    <w:p w14:paraId="60E61B69" w14:textId="77777777" w:rsidR="00E76498" w:rsidRPr="00DA3766" w:rsidRDefault="00E76498" w:rsidP="00E76498">
      <w:pPr>
        <w:pStyle w:val="005"/>
        <w:spacing w:before="120" w:after="120"/>
        <w:ind w:firstLine="480"/>
      </w:pPr>
      <w:r w:rsidRPr="00DA3766">
        <w:t>由上表可知，报告期各期新增支付用户中消费金额大于</w:t>
      </w:r>
      <w:r w:rsidRPr="00DA3766">
        <w:t>1000</w:t>
      </w:r>
      <w:r w:rsidRPr="00DA3766">
        <w:t>元的占比极小，分别为</w:t>
      </w:r>
      <w:r w:rsidRPr="00DA3766">
        <w:t>0.03%</w:t>
      </w:r>
      <w:r w:rsidRPr="00DA3766">
        <w:t>、</w:t>
      </w:r>
      <w:r w:rsidRPr="00DA3766">
        <w:t>0.02%</w:t>
      </w:r>
      <w:r w:rsidRPr="00DA3766">
        <w:t>及</w:t>
      </w:r>
      <w:r w:rsidRPr="00DA3766">
        <w:t>0.02%</w:t>
      </w:r>
      <w:r w:rsidRPr="00DA3766">
        <w:t>，新增支付用户消费金额大于</w:t>
      </w:r>
      <w:r w:rsidRPr="00DA3766">
        <w:t>1000</w:t>
      </w:r>
      <w:r w:rsidRPr="00DA3766">
        <w:t>元的流水总额占比亦较小，分别为</w:t>
      </w:r>
      <w:r w:rsidRPr="00DA3766">
        <w:t>2.60%</w:t>
      </w:r>
      <w:r w:rsidRPr="00DA3766">
        <w:t>、</w:t>
      </w:r>
      <w:r w:rsidRPr="00DA3766">
        <w:t>2.60%</w:t>
      </w:r>
      <w:r w:rsidRPr="00DA3766">
        <w:t>及</w:t>
      </w:r>
      <w:r w:rsidRPr="00DA3766">
        <w:t>2.15%</w:t>
      </w:r>
      <w:r w:rsidRPr="00DA3766">
        <w:t>。因此，报告期内不存在标的公司经营业绩产生重大影响的单个终端客户大额、异常消费、相同</w:t>
      </w:r>
      <w:r w:rsidRPr="00DA3766">
        <w:t>IP</w:t>
      </w:r>
      <w:r w:rsidRPr="00DA3766">
        <w:t>异常消费、消费时间分布异常等异常情形，不存在刷单、自充值等虚假交易情况，并利用</w:t>
      </w:r>
      <w:r w:rsidRPr="00DA3766">
        <w:t>IT</w:t>
      </w:r>
      <w:r w:rsidRPr="00DA3766">
        <w:t>专家工作，对用户注册、充值、消费及对应后台数据库执行了穿行测试，实际流程与业务描述一致，且相关数据具有一致性。并检查了线上数据的管理情况，并对设备在线数等部分数据进行分析，确认标的公司信息系统的业务数据具备真实性、及时性和准确性，关键控制环节的执行情况。此外，报告期各月末标的公司均对收单外包服务机构针对月内交易流水金额进行对账确认，并对差异进行核对确认。因此，系统收款或交易金额与第三方支付渠道交易金额不存在重大差异。</w:t>
      </w:r>
    </w:p>
    <w:p w14:paraId="76B66C40" w14:textId="77777777" w:rsidR="00E76498" w:rsidRPr="000C4294" w:rsidRDefault="00E76498" w:rsidP="00E76498">
      <w:pPr>
        <w:pStyle w:val="005"/>
        <w:spacing w:before="120" w:after="120"/>
        <w:ind w:firstLine="480"/>
        <w:rPr>
          <w:bCs/>
        </w:rPr>
      </w:pPr>
      <w:r w:rsidRPr="000C4294">
        <w:rPr>
          <w:bCs/>
        </w:rPr>
        <w:t>22</w:t>
      </w:r>
      <w:r w:rsidRPr="000C4294">
        <w:rPr>
          <w:bCs/>
        </w:rPr>
        <w:t>、详细说明对收入截止性测试的具体执行情况，包括样本选取方法、核查过程、核查比例、核查依据及核查结论，标的资产收入确认时点是否准确：</w:t>
      </w:r>
    </w:p>
    <w:p w14:paraId="4F63BCAC" w14:textId="77777777" w:rsidR="00E76498" w:rsidRPr="00DA3766" w:rsidRDefault="00E76498" w:rsidP="00E76498">
      <w:pPr>
        <w:pStyle w:val="005"/>
        <w:spacing w:before="120" w:after="120"/>
        <w:ind w:firstLine="480"/>
      </w:pPr>
      <w:r w:rsidRPr="00DA3766">
        <w:t>独立财务顾问会同会计师对报告期各期资产负债表日前后</w:t>
      </w:r>
      <w:r w:rsidRPr="00DA3766">
        <w:t>1</w:t>
      </w:r>
      <w:r w:rsidRPr="00DA3766">
        <w:t>个月确认收入的合同执行截止性测试，具体测试方法如下：</w:t>
      </w:r>
    </w:p>
    <w:p w14:paraId="404A0234" w14:textId="77777777" w:rsidR="00E76498" w:rsidRPr="000C4294" w:rsidRDefault="00E76498" w:rsidP="00E76498">
      <w:pPr>
        <w:pStyle w:val="005"/>
        <w:spacing w:before="120" w:after="120"/>
        <w:ind w:firstLine="480"/>
        <w:rPr>
          <w:bCs/>
        </w:rPr>
      </w:pPr>
      <w:r w:rsidRPr="000C4294">
        <w:rPr>
          <w:bCs/>
        </w:rPr>
        <w:t>（</w:t>
      </w:r>
      <w:r w:rsidRPr="000C4294">
        <w:rPr>
          <w:bCs/>
        </w:rPr>
        <w:t>1</w:t>
      </w:r>
      <w:r w:rsidRPr="000C4294">
        <w:rPr>
          <w:bCs/>
        </w:rPr>
        <w:t>）针对</w:t>
      </w:r>
      <w:r w:rsidRPr="000C4294">
        <w:rPr>
          <w:bCs/>
        </w:rPr>
        <w:t>IoT</w:t>
      </w:r>
      <w:r w:rsidRPr="000C4294">
        <w:rPr>
          <w:bCs/>
        </w:rPr>
        <w:t>智能硬件样本的选取方法</w:t>
      </w:r>
    </w:p>
    <w:p w14:paraId="7243580F" w14:textId="77777777" w:rsidR="00E76498" w:rsidRPr="00DA3766" w:rsidRDefault="00E76498" w:rsidP="00E76498">
      <w:pPr>
        <w:pStyle w:val="005"/>
        <w:spacing w:before="120" w:after="120"/>
        <w:ind w:firstLine="480"/>
      </w:pPr>
      <w:r w:rsidRPr="00DA3766">
        <w:t>由于标的公司的产品主要通过顺丰等快递公司进行运输，产品一般</w:t>
      </w:r>
      <w:r w:rsidRPr="00DA3766">
        <w:t>1-3</w:t>
      </w:r>
      <w:r w:rsidRPr="00DA3766">
        <w:t>天即可送达客户指定的收货地点，因此对报告期各期资产负债表日前后</w:t>
      </w:r>
      <w:r w:rsidRPr="00DA3766">
        <w:t>15</w:t>
      </w:r>
      <w:r w:rsidRPr="00DA3766">
        <w:t>天的发货和收入确认明细，执行专门的截止性测试，检查相关的销售合同、出库单据、物流记录、验收单据等关键支持性单据，确认销售收入的真实性以及是否记录在恰当的会计期间。</w:t>
      </w:r>
    </w:p>
    <w:p w14:paraId="1C96291E" w14:textId="77777777" w:rsidR="00E76498" w:rsidRPr="000C4294" w:rsidRDefault="00E76498" w:rsidP="00E76498">
      <w:pPr>
        <w:pStyle w:val="005"/>
        <w:spacing w:before="120" w:after="120"/>
        <w:ind w:firstLine="480"/>
        <w:rPr>
          <w:bCs/>
        </w:rPr>
      </w:pPr>
      <w:r w:rsidRPr="000C4294">
        <w:rPr>
          <w:bCs/>
        </w:rPr>
        <w:lastRenderedPageBreak/>
        <w:t>（</w:t>
      </w:r>
      <w:r w:rsidRPr="000C4294">
        <w:rPr>
          <w:bCs/>
        </w:rPr>
        <w:t>2</w:t>
      </w:r>
      <w:r w:rsidRPr="000C4294">
        <w:rPr>
          <w:bCs/>
        </w:rPr>
        <w:t>）针对</w:t>
      </w:r>
      <w:r w:rsidRPr="000C4294">
        <w:rPr>
          <w:bCs/>
        </w:rPr>
        <w:t>SaaS</w:t>
      </w:r>
      <w:r w:rsidRPr="000C4294">
        <w:rPr>
          <w:bCs/>
        </w:rPr>
        <w:t>云平台及数字营销服务样本的选取方法</w:t>
      </w:r>
    </w:p>
    <w:p w14:paraId="47B42C81" w14:textId="77777777" w:rsidR="00E76498" w:rsidRPr="00DA3766" w:rsidRDefault="00E76498" w:rsidP="00E76498">
      <w:pPr>
        <w:pStyle w:val="005"/>
        <w:spacing w:before="120" w:after="120"/>
        <w:ind w:firstLine="480"/>
      </w:pPr>
      <w:r w:rsidRPr="00DA3766">
        <w:t>由于标的单位业务种类较多，且相关业务的回款为</w:t>
      </w:r>
      <w:r w:rsidRPr="00DA3766">
        <w:t>T+1</w:t>
      </w:r>
      <w:r w:rsidRPr="00DA3766">
        <w:t>模式，故会计师根据重要性原则以及业务特征，以收入金额大于</w:t>
      </w:r>
      <w:r w:rsidRPr="00DA3766">
        <w:t>10</w:t>
      </w:r>
      <w:r w:rsidRPr="00DA3766">
        <w:t>万元以上为抽样标准，执行截止性测试，检查相关的银行流水、后台</w:t>
      </w:r>
      <w:r w:rsidRPr="00DA3766">
        <w:t>IT</w:t>
      </w:r>
      <w:r w:rsidRPr="00DA3766">
        <w:t>数据等关键支持性单据，确认是否存在提前或延迟确认收入的情况。</w:t>
      </w:r>
    </w:p>
    <w:p w14:paraId="661C2B13" w14:textId="77777777" w:rsidR="00E76498" w:rsidRPr="00DA3766" w:rsidRDefault="00E76498" w:rsidP="00E76498">
      <w:pPr>
        <w:pStyle w:val="005"/>
        <w:spacing w:before="120" w:after="120"/>
        <w:ind w:firstLine="480"/>
      </w:pPr>
      <w:r w:rsidRPr="00DA3766">
        <w:t>各期测试情况具体如下：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2089"/>
        <w:gridCol w:w="2089"/>
        <w:gridCol w:w="2784"/>
      </w:tblGrid>
      <w:tr w:rsidR="00E76498" w:rsidRPr="00DA3766" w14:paraId="3922FC2E" w14:textId="77777777" w:rsidTr="00F35D3D">
        <w:trPr>
          <w:trHeight w:val="397"/>
          <w:tblHeader/>
          <w:jc w:val="center"/>
        </w:trPr>
        <w:tc>
          <w:tcPr>
            <w:tcW w:w="918" w:type="pct"/>
            <w:tcMar>
              <w:top w:w="0" w:type="dxa"/>
              <w:bottom w:w="0" w:type="dxa"/>
            </w:tcMar>
            <w:vAlign w:val="center"/>
          </w:tcPr>
          <w:p w14:paraId="61AD6C6A"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月份</w:t>
            </w:r>
          </w:p>
        </w:tc>
        <w:tc>
          <w:tcPr>
            <w:tcW w:w="1225" w:type="pct"/>
            <w:tcMar>
              <w:top w:w="0" w:type="dxa"/>
              <w:bottom w:w="0" w:type="dxa"/>
            </w:tcMar>
            <w:vAlign w:val="center"/>
          </w:tcPr>
          <w:p w14:paraId="552509A8"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样本金额（万元）</w:t>
            </w:r>
          </w:p>
        </w:tc>
        <w:tc>
          <w:tcPr>
            <w:tcW w:w="1225" w:type="pct"/>
            <w:tcMar>
              <w:top w:w="0" w:type="dxa"/>
              <w:bottom w:w="0" w:type="dxa"/>
            </w:tcMar>
            <w:vAlign w:val="center"/>
          </w:tcPr>
          <w:p w14:paraId="08F04222"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总体金额（万元）</w:t>
            </w:r>
          </w:p>
        </w:tc>
        <w:tc>
          <w:tcPr>
            <w:tcW w:w="1633" w:type="pct"/>
            <w:tcMar>
              <w:top w:w="0" w:type="dxa"/>
              <w:bottom w:w="0" w:type="dxa"/>
            </w:tcMar>
            <w:vAlign w:val="center"/>
          </w:tcPr>
          <w:p w14:paraId="0425CC80"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样本金额占总体金额比例</w:t>
            </w:r>
          </w:p>
        </w:tc>
      </w:tr>
      <w:tr w:rsidR="00E76498" w:rsidRPr="00DA3766" w14:paraId="459A67B2" w14:textId="77777777" w:rsidTr="00F35D3D">
        <w:trPr>
          <w:trHeight w:val="397"/>
          <w:jc w:val="center"/>
        </w:trPr>
        <w:tc>
          <w:tcPr>
            <w:tcW w:w="918" w:type="pct"/>
            <w:tcMar>
              <w:top w:w="0" w:type="dxa"/>
              <w:bottom w:w="0" w:type="dxa"/>
            </w:tcMar>
            <w:vAlign w:val="center"/>
          </w:tcPr>
          <w:p w14:paraId="0E313499"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10BB9AC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1,735.89</w:t>
            </w:r>
          </w:p>
        </w:tc>
        <w:tc>
          <w:tcPr>
            <w:tcW w:w="1225" w:type="pct"/>
            <w:tcMar>
              <w:top w:w="0" w:type="dxa"/>
              <w:bottom w:w="0" w:type="dxa"/>
            </w:tcMar>
            <w:vAlign w:val="center"/>
          </w:tcPr>
          <w:p w14:paraId="082DFC9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2,526.48</w:t>
            </w:r>
          </w:p>
        </w:tc>
        <w:tc>
          <w:tcPr>
            <w:tcW w:w="1633" w:type="pct"/>
            <w:tcMar>
              <w:top w:w="0" w:type="dxa"/>
              <w:bottom w:w="0" w:type="dxa"/>
            </w:tcMar>
            <w:vAlign w:val="center"/>
          </w:tcPr>
          <w:p w14:paraId="67410CF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68.71%</w:t>
            </w:r>
          </w:p>
        </w:tc>
      </w:tr>
      <w:tr w:rsidR="00E76498" w:rsidRPr="00DA3766" w14:paraId="58B16C3A" w14:textId="77777777" w:rsidTr="00F35D3D">
        <w:trPr>
          <w:trHeight w:val="397"/>
          <w:jc w:val="center"/>
        </w:trPr>
        <w:tc>
          <w:tcPr>
            <w:tcW w:w="918" w:type="pct"/>
            <w:tcMar>
              <w:top w:w="0" w:type="dxa"/>
              <w:bottom w:w="0" w:type="dxa"/>
            </w:tcMar>
            <w:vAlign w:val="center"/>
          </w:tcPr>
          <w:p w14:paraId="4F88F1F4"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53B6F2C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2,021.58</w:t>
            </w:r>
          </w:p>
        </w:tc>
        <w:tc>
          <w:tcPr>
            <w:tcW w:w="1225" w:type="pct"/>
            <w:tcMar>
              <w:top w:w="0" w:type="dxa"/>
              <w:bottom w:w="0" w:type="dxa"/>
            </w:tcMar>
            <w:vAlign w:val="center"/>
          </w:tcPr>
          <w:p w14:paraId="2C8BE38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4,024.39</w:t>
            </w:r>
          </w:p>
        </w:tc>
        <w:tc>
          <w:tcPr>
            <w:tcW w:w="1633" w:type="pct"/>
            <w:tcMar>
              <w:top w:w="0" w:type="dxa"/>
              <w:bottom w:w="0" w:type="dxa"/>
            </w:tcMar>
            <w:vAlign w:val="center"/>
          </w:tcPr>
          <w:p w14:paraId="0DA39C5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50.23%</w:t>
            </w:r>
          </w:p>
        </w:tc>
      </w:tr>
      <w:tr w:rsidR="00E76498" w:rsidRPr="00DA3766" w14:paraId="64D2A384" w14:textId="77777777" w:rsidTr="00F35D3D">
        <w:trPr>
          <w:trHeight w:val="397"/>
          <w:jc w:val="center"/>
        </w:trPr>
        <w:tc>
          <w:tcPr>
            <w:tcW w:w="918" w:type="pct"/>
            <w:tcMar>
              <w:top w:w="0" w:type="dxa"/>
              <w:bottom w:w="0" w:type="dxa"/>
            </w:tcMar>
            <w:vAlign w:val="center"/>
          </w:tcPr>
          <w:p w14:paraId="2991D6DF"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5AECEEC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2,027.53</w:t>
            </w:r>
          </w:p>
        </w:tc>
        <w:tc>
          <w:tcPr>
            <w:tcW w:w="1225" w:type="pct"/>
            <w:tcMar>
              <w:top w:w="0" w:type="dxa"/>
              <w:bottom w:w="0" w:type="dxa"/>
            </w:tcMar>
            <w:vAlign w:val="center"/>
          </w:tcPr>
          <w:p w14:paraId="4E90D98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3,521.79</w:t>
            </w:r>
          </w:p>
        </w:tc>
        <w:tc>
          <w:tcPr>
            <w:tcW w:w="1633" w:type="pct"/>
            <w:tcMar>
              <w:top w:w="0" w:type="dxa"/>
              <w:bottom w:w="0" w:type="dxa"/>
            </w:tcMar>
            <w:vAlign w:val="center"/>
          </w:tcPr>
          <w:p w14:paraId="25F5E15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57.57%</w:t>
            </w:r>
          </w:p>
        </w:tc>
      </w:tr>
      <w:tr w:rsidR="00E76498" w:rsidRPr="00DA3766" w14:paraId="5697C1A3" w14:textId="77777777" w:rsidTr="00F35D3D">
        <w:trPr>
          <w:trHeight w:val="397"/>
          <w:jc w:val="center"/>
        </w:trPr>
        <w:tc>
          <w:tcPr>
            <w:tcW w:w="918" w:type="pct"/>
            <w:tcMar>
              <w:top w:w="0" w:type="dxa"/>
              <w:bottom w:w="0" w:type="dxa"/>
            </w:tcMar>
            <w:vAlign w:val="center"/>
          </w:tcPr>
          <w:p w14:paraId="7FD7E1C8"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17FDA5E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2,283.73</w:t>
            </w:r>
          </w:p>
        </w:tc>
        <w:tc>
          <w:tcPr>
            <w:tcW w:w="1225" w:type="pct"/>
            <w:tcMar>
              <w:top w:w="0" w:type="dxa"/>
              <w:bottom w:w="0" w:type="dxa"/>
            </w:tcMar>
            <w:vAlign w:val="center"/>
          </w:tcPr>
          <w:p w14:paraId="78D2464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4,851.09</w:t>
            </w:r>
          </w:p>
        </w:tc>
        <w:tc>
          <w:tcPr>
            <w:tcW w:w="1633" w:type="pct"/>
            <w:tcMar>
              <w:top w:w="0" w:type="dxa"/>
              <w:bottom w:w="0" w:type="dxa"/>
            </w:tcMar>
            <w:vAlign w:val="center"/>
          </w:tcPr>
          <w:p w14:paraId="35DF67A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47.08%</w:t>
            </w:r>
          </w:p>
        </w:tc>
      </w:tr>
      <w:tr w:rsidR="00E76498" w:rsidRPr="00DA3766" w14:paraId="55287081" w14:textId="77777777" w:rsidTr="00F35D3D">
        <w:trPr>
          <w:trHeight w:val="397"/>
          <w:jc w:val="center"/>
        </w:trPr>
        <w:tc>
          <w:tcPr>
            <w:tcW w:w="918" w:type="pct"/>
            <w:tcMar>
              <w:top w:w="0" w:type="dxa"/>
              <w:bottom w:w="0" w:type="dxa"/>
            </w:tcMar>
            <w:vAlign w:val="center"/>
          </w:tcPr>
          <w:p w14:paraId="16EC79DC"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090BB92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2,423.54</w:t>
            </w:r>
          </w:p>
        </w:tc>
        <w:tc>
          <w:tcPr>
            <w:tcW w:w="1225" w:type="pct"/>
            <w:tcMar>
              <w:top w:w="0" w:type="dxa"/>
              <w:bottom w:w="0" w:type="dxa"/>
            </w:tcMar>
            <w:vAlign w:val="center"/>
          </w:tcPr>
          <w:p w14:paraId="21C9D00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3,945.23</w:t>
            </w:r>
          </w:p>
        </w:tc>
        <w:tc>
          <w:tcPr>
            <w:tcW w:w="1633" w:type="pct"/>
            <w:tcMar>
              <w:top w:w="0" w:type="dxa"/>
              <w:bottom w:w="0" w:type="dxa"/>
            </w:tcMar>
            <w:vAlign w:val="center"/>
          </w:tcPr>
          <w:p w14:paraId="563F4AE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61.43%</w:t>
            </w:r>
          </w:p>
        </w:tc>
      </w:tr>
      <w:tr w:rsidR="00E76498" w:rsidRPr="00DA3766" w14:paraId="72E6EDDA" w14:textId="77777777" w:rsidTr="00F35D3D">
        <w:trPr>
          <w:trHeight w:val="397"/>
          <w:jc w:val="center"/>
        </w:trPr>
        <w:tc>
          <w:tcPr>
            <w:tcW w:w="918" w:type="pct"/>
            <w:tcMar>
              <w:top w:w="0" w:type="dxa"/>
              <w:bottom w:w="0" w:type="dxa"/>
            </w:tcMar>
            <w:vAlign w:val="center"/>
          </w:tcPr>
          <w:p w14:paraId="0B70EBBE"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06109A9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2,889.64</w:t>
            </w:r>
          </w:p>
        </w:tc>
        <w:tc>
          <w:tcPr>
            <w:tcW w:w="1225" w:type="pct"/>
            <w:tcMar>
              <w:top w:w="0" w:type="dxa"/>
              <w:bottom w:w="0" w:type="dxa"/>
            </w:tcMar>
            <w:vAlign w:val="center"/>
          </w:tcPr>
          <w:p w14:paraId="4606452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4,838.66</w:t>
            </w:r>
          </w:p>
        </w:tc>
        <w:tc>
          <w:tcPr>
            <w:tcW w:w="1633" w:type="pct"/>
            <w:tcMar>
              <w:top w:w="0" w:type="dxa"/>
              <w:bottom w:w="0" w:type="dxa"/>
            </w:tcMar>
            <w:vAlign w:val="center"/>
          </w:tcPr>
          <w:p w14:paraId="7998B86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59.72%</w:t>
            </w:r>
          </w:p>
        </w:tc>
      </w:tr>
    </w:tbl>
    <w:p w14:paraId="203FCB71" w14:textId="77777777" w:rsidR="00E76498" w:rsidRPr="00DA3766" w:rsidRDefault="00E76498" w:rsidP="00E76498">
      <w:pPr>
        <w:pStyle w:val="005"/>
        <w:spacing w:before="120" w:after="120"/>
        <w:ind w:firstLine="480"/>
      </w:pPr>
      <w:r w:rsidRPr="00DA3766">
        <w:t>经核查，标的公司收入确认时点准确，符合《企业会计准则》相关规定。</w:t>
      </w:r>
    </w:p>
    <w:p w14:paraId="4A6C82A5"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3FDCD08E" w14:textId="77777777" w:rsidR="00E76498" w:rsidRPr="00DA3766" w:rsidRDefault="00E76498" w:rsidP="00E76498">
      <w:pPr>
        <w:pStyle w:val="005"/>
        <w:spacing w:before="120" w:after="120"/>
        <w:ind w:firstLine="480"/>
      </w:pPr>
      <w:r w:rsidRPr="00DA3766">
        <w:t>经核查，独立财务顾问认为：</w:t>
      </w:r>
    </w:p>
    <w:p w14:paraId="15399E8C"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标的公司提供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一体化解决方案经营情况良好，主要客户合作较为稳定；</w:t>
      </w:r>
    </w:p>
    <w:p w14:paraId="5E8414DC" w14:textId="77777777" w:rsidR="00E76498" w:rsidRPr="00DA3766" w:rsidRDefault="00E76498" w:rsidP="00E76498">
      <w:pPr>
        <w:pStyle w:val="005"/>
        <w:spacing w:before="120" w:after="120"/>
        <w:ind w:firstLine="480"/>
      </w:pPr>
      <w:bookmarkStart w:id="89" w:name="OLE_LINK50"/>
      <w:r>
        <w:rPr>
          <w:rFonts w:hint="eastAsia"/>
        </w:rPr>
        <w:t>（</w:t>
      </w:r>
      <w:r>
        <w:rPr>
          <w:rFonts w:hint="eastAsia"/>
        </w:rPr>
        <w:t>2</w:t>
      </w:r>
      <w:r>
        <w:rPr>
          <w:rFonts w:hint="eastAsia"/>
        </w:rPr>
        <w:t>）</w:t>
      </w:r>
      <w:r w:rsidRPr="00DA3766">
        <w:t>标的公司</w:t>
      </w:r>
      <w:bookmarkEnd w:id="89"/>
      <w:r w:rsidRPr="00DA3766">
        <w:t>SaaS</w:t>
      </w:r>
      <w:r w:rsidRPr="00DA3766">
        <w:t>云平台业务中各类细分业务的运营模式具有合理性，相关收入确认符合《企业会计准则》的有关规定；</w:t>
      </w:r>
    </w:p>
    <w:p w14:paraId="0C211803"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标的公司</w:t>
      </w:r>
      <w:r w:rsidRPr="00DA3766">
        <w:t>2024</w:t>
      </w:r>
      <w:r w:rsidRPr="00DA3766">
        <w:t>年</w:t>
      </w:r>
      <w:r w:rsidRPr="00DA3766">
        <w:t>SaaS</w:t>
      </w:r>
      <w:r w:rsidRPr="00DA3766">
        <w:t>云平台业务收入同比增长但云服务、通信服务采购金额同比下降具有合理性，标的公司报告期内</w:t>
      </w:r>
      <w:r w:rsidRPr="00DA3766">
        <w:t>SaaS</w:t>
      </w:r>
      <w:r w:rsidRPr="00DA3766">
        <w:t>云平台各类细分业务收入的变动具有合理性；</w:t>
      </w:r>
    </w:p>
    <w:p w14:paraId="6CA2E7A1"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标的公司报告期内</w:t>
      </w:r>
      <w:r w:rsidRPr="00DA3766">
        <w:t>SaaS</w:t>
      </w:r>
      <w:r w:rsidRPr="00DA3766">
        <w:t>云平台业务整体毛利率因业务结构变化有所下滑具有合理性，未来发生进一步大幅下滑的风险较小；</w:t>
      </w:r>
    </w:p>
    <w:p w14:paraId="409D02B3"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标的公司</w:t>
      </w:r>
      <w:r w:rsidRPr="00DA3766">
        <w:t>IoT</w:t>
      </w:r>
      <w:r w:rsidRPr="00DA3766">
        <w:t>智能硬件业务采用外协生产模式具有合理性，外协产品相关控制具备有效性，报告期内与外协供应商合作情况良好；</w:t>
      </w:r>
    </w:p>
    <w:p w14:paraId="627D6691" w14:textId="77777777" w:rsidR="00E76498" w:rsidRPr="00DA3766" w:rsidRDefault="00E76498" w:rsidP="00E76498">
      <w:pPr>
        <w:pStyle w:val="005"/>
        <w:spacing w:before="120" w:after="120"/>
        <w:ind w:firstLine="480"/>
      </w:pPr>
      <w:r>
        <w:rPr>
          <w:rFonts w:hint="eastAsia"/>
        </w:rPr>
        <w:lastRenderedPageBreak/>
        <w:t>（</w:t>
      </w:r>
      <w:r>
        <w:rPr>
          <w:rFonts w:hint="eastAsia"/>
        </w:rPr>
        <w:t>6</w:t>
      </w:r>
      <w:r>
        <w:rPr>
          <w:rFonts w:hint="eastAsia"/>
        </w:rPr>
        <w:t>）</w:t>
      </w:r>
      <w:r w:rsidRPr="00DA3766">
        <w:t>标的公司外协加工费定价具备公允性，相关成本确认具备完整性和准确性，符合《企业会计准则》的有关规定，标的公司报告期内</w:t>
      </w:r>
      <w:r w:rsidRPr="00DA3766">
        <w:t>IoT</w:t>
      </w:r>
      <w:r w:rsidRPr="00DA3766">
        <w:t>智能硬件业务收入、毛利率提升具有合理性；</w:t>
      </w:r>
    </w:p>
    <w:p w14:paraId="7FD4A4D6"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标的公司数字增值服务业务收入相关会计处理符合《企业会计准则》的有关规定；</w:t>
      </w:r>
    </w:p>
    <w:p w14:paraId="1BC48F9E"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标的公司</w:t>
      </w:r>
      <w:r w:rsidRPr="00DA3766">
        <w:t>2024</w:t>
      </w:r>
      <w:r w:rsidRPr="00DA3766">
        <w:t>年数字增值服务业务收入、毛利率增长具有合理性；</w:t>
      </w:r>
    </w:p>
    <w:p w14:paraId="5EC66D33"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标的公司报告期内综合毛利率高于同行业可比公司平均值具有合理性；</w:t>
      </w:r>
    </w:p>
    <w:p w14:paraId="7D581E55"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w:t>
      </w:r>
      <w:r w:rsidRPr="00DA3766">
        <w:t>标的公司报告期内销售费用率、研发费用率的变动具有合理性，对标的公司的业务获取、技术创新不存在重大不利影响，标的公司管理层、相关持股平台等相关股东增资入股或受让标的资产股权不构成股份支付，不存在通过低价入股替代支付费用的情形；</w:t>
      </w:r>
    </w:p>
    <w:p w14:paraId="389096CB" w14:textId="77777777" w:rsidR="00E76498" w:rsidRPr="00DA3766" w:rsidRDefault="00E76498" w:rsidP="00E76498">
      <w:pPr>
        <w:pStyle w:val="005"/>
        <w:spacing w:before="120" w:after="120"/>
        <w:ind w:firstLine="480"/>
      </w:pPr>
      <w:r>
        <w:rPr>
          <w:rFonts w:hint="eastAsia"/>
        </w:rPr>
        <w:t>（</w:t>
      </w:r>
      <w:r>
        <w:rPr>
          <w:rFonts w:hint="eastAsia"/>
        </w:rPr>
        <w:t>11</w:t>
      </w:r>
      <w:r>
        <w:rPr>
          <w:rFonts w:hint="eastAsia"/>
        </w:rPr>
        <w:t>）</w:t>
      </w:r>
      <w:r w:rsidRPr="00DA3766">
        <w:t>标的公司报告期内业绩波动具有合理性；</w:t>
      </w:r>
    </w:p>
    <w:p w14:paraId="1DF5C396" w14:textId="77777777" w:rsidR="00E76498" w:rsidRPr="00DA3766" w:rsidRDefault="00E76498" w:rsidP="00E76498">
      <w:pPr>
        <w:pStyle w:val="005"/>
        <w:spacing w:before="120" w:after="120"/>
        <w:ind w:firstLine="480"/>
      </w:pPr>
      <w:r>
        <w:rPr>
          <w:rFonts w:hint="eastAsia"/>
        </w:rPr>
        <w:t>（</w:t>
      </w:r>
      <w:r>
        <w:rPr>
          <w:rFonts w:hint="eastAsia"/>
        </w:rPr>
        <w:t>12</w:t>
      </w:r>
      <w:r>
        <w:rPr>
          <w:rFonts w:hint="eastAsia"/>
        </w:rPr>
        <w:t>）</w:t>
      </w:r>
      <w:r w:rsidRPr="00DA3766">
        <w:t>标的公司具有较强的持续经营能力，本次交易有利于增强上市公司的持续经营能力，符合《重组办法》第四十四条的有关规定；</w:t>
      </w:r>
    </w:p>
    <w:p w14:paraId="785D2329" w14:textId="77777777" w:rsidR="00E76498" w:rsidRPr="00DA3766" w:rsidRDefault="00E76498" w:rsidP="00E76498">
      <w:pPr>
        <w:pStyle w:val="005"/>
        <w:spacing w:before="120" w:after="120"/>
        <w:ind w:firstLine="480"/>
      </w:pPr>
      <w:r>
        <w:rPr>
          <w:rFonts w:hint="eastAsia"/>
        </w:rPr>
        <w:t>（</w:t>
      </w:r>
      <w:r>
        <w:rPr>
          <w:rFonts w:hint="eastAsia"/>
        </w:rPr>
        <w:t>13</w:t>
      </w:r>
      <w:r>
        <w:rPr>
          <w:rFonts w:hint="eastAsia"/>
        </w:rPr>
        <w:t>）</w:t>
      </w:r>
      <w:r w:rsidRPr="00DA3766">
        <w:t>标的公司向自然人客户销售具备必要性，主要自然人客户与标的公司不存在关联关系、潜在关联关系或其他利益安排；</w:t>
      </w:r>
    </w:p>
    <w:p w14:paraId="281ADBA6" w14:textId="77777777" w:rsidR="00E76498" w:rsidRPr="00DA3766" w:rsidRDefault="00E76498" w:rsidP="00E76498">
      <w:pPr>
        <w:pStyle w:val="005"/>
        <w:spacing w:before="120" w:after="120"/>
        <w:ind w:firstLine="480"/>
      </w:pPr>
      <w:r>
        <w:rPr>
          <w:rFonts w:hint="eastAsia"/>
        </w:rPr>
        <w:t>（</w:t>
      </w:r>
      <w:r>
        <w:rPr>
          <w:rFonts w:hint="eastAsia"/>
        </w:rPr>
        <w:t>14</w:t>
      </w:r>
      <w:r>
        <w:rPr>
          <w:rFonts w:hint="eastAsia"/>
        </w:rPr>
        <w:t>）</w:t>
      </w:r>
      <w:r w:rsidRPr="00DA3766">
        <w:t>标的公司报告期内客户与供应商重叠具备必要性、真实性，相关销售、采购交易占比相对较小，具备公允性；</w:t>
      </w:r>
    </w:p>
    <w:p w14:paraId="29693D9B" w14:textId="77777777" w:rsidR="00E76498" w:rsidRPr="00DA3766" w:rsidRDefault="00E76498" w:rsidP="00E76498">
      <w:pPr>
        <w:pStyle w:val="005"/>
        <w:spacing w:before="120" w:after="120"/>
        <w:ind w:firstLine="480"/>
      </w:pPr>
      <w:r>
        <w:rPr>
          <w:rFonts w:hint="eastAsia"/>
        </w:rPr>
        <w:t>（</w:t>
      </w:r>
      <w:r>
        <w:rPr>
          <w:rFonts w:hint="eastAsia"/>
        </w:rPr>
        <w:t>15</w:t>
      </w:r>
      <w:r>
        <w:rPr>
          <w:rFonts w:hint="eastAsia"/>
        </w:rPr>
        <w:t>）</w:t>
      </w:r>
      <w:r w:rsidRPr="00DA3766">
        <w:t>标的公司第三方回款具有商业合理性，金额占比相对较小，第三方回款的支付方与标的公司不存在关联关系及其他利益安排，对应收入具备真实性；</w:t>
      </w:r>
    </w:p>
    <w:p w14:paraId="456D3608" w14:textId="77777777" w:rsidR="00E76498" w:rsidRPr="00DA3766" w:rsidRDefault="00E76498" w:rsidP="00E76498">
      <w:pPr>
        <w:pStyle w:val="005"/>
        <w:spacing w:before="120" w:after="120"/>
        <w:ind w:firstLine="480"/>
      </w:pPr>
      <w:r>
        <w:rPr>
          <w:rFonts w:hint="eastAsia"/>
        </w:rPr>
        <w:t>（</w:t>
      </w:r>
      <w:r>
        <w:rPr>
          <w:rFonts w:hint="eastAsia"/>
        </w:rPr>
        <w:t>16</w:t>
      </w:r>
      <w:r>
        <w:rPr>
          <w:rFonts w:hint="eastAsia"/>
        </w:rPr>
        <w:t>）</w:t>
      </w:r>
      <w:r w:rsidRPr="00DA3766">
        <w:t>标的资产处置持有的科蝶信息、</w:t>
      </w:r>
      <w:r w:rsidRPr="00DA3766">
        <w:t>STARTHINGPTE.LTD.</w:t>
      </w:r>
      <w:r w:rsidRPr="00DA3766">
        <w:t>的股权具备公允性，该事项对标的公司财务数据及未来持续经营能力不存在重大不利影响；</w:t>
      </w:r>
    </w:p>
    <w:p w14:paraId="09BE98C4" w14:textId="77777777" w:rsidR="00E76498" w:rsidRDefault="00E76498" w:rsidP="00E76498">
      <w:pPr>
        <w:pStyle w:val="005"/>
        <w:spacing w:before="120" w:after="120"/>
        <w:ind w:firstLine="480"/>
      </w:pPr>
      <w:r>
        <w:rPr>
          <w:rFonts w:hint="eastAsia"/>
        </w:rPr>
        <w:t>（</w:t>
      </w:r>
      <w:r>
        <w:rPr>
          <w:rFonts w:hint="eastAsia"/>
        </w:rPr>
        <w:t>17</w:t>
      </w:r>
      <w:r>
        <w:rPr>
          <w:rFonts w:hint="eastAsia"/>
        </w:rPr>
        <w:t>）</w:t>
      </w:r>
      <w:r w:rsidRPr="00DA3766">
        <w:t>标的公司业绩具备真实性、准确性。</w:t>
      </w:r>
    </w:p>
    <w:p w14:paraId="6FF75218" w14:textId="77777777" w:rsidR="00E76498" w:rsidRPr="00DA3766" w:rsidRDefault="00E76498" w:rsidP="00E76498">
      <w:pPr>
        <w:pStyle w:val="003"/>
        <w:spacing w:before="120" w:after="120"/>
        <w:ind w:firstLine="482"/>
      </w:pPr>
      <w:r>
        <w:rPr>
          <w:rFonts w:hint="eastAsia"/>
        </w:rPr>
        <w:t>（二）会计师</w:t>
      </w:r>
      <w:r w:rsidRPr="00DA3766">
        <w:t>核查过程及核查意见</w:t>
      </w:r>
    </w:p>
    <w:p w14:paraId="7E155A13"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142D98BF" w14:textId="77777777" w:rsidR="00E76498" w:rsidRPr="00DA3766" w:rsidRDefault="00E76498" w:rsidP="00E76498">
      <w:pPr>
        <w:pStyle w:val="005"/>
        <w:spacing w:before="120" w:after="120"/>
        <w:ind w:firstLine="480"/>
      </w:pPr>
      <w:r w:rsidRPr="00DA3766">
        <w:t>针对前述事项，</w:t>
      </w:r>
      <w:r>
        <w:rPr>
          <w:rFonts w:hint="eastAsia"/>
        </w:rPr>
        <w:t>会计师</w:t>
      </w:r>
      <w:r w:rsidRPr="00DA3766">
        <w:t>主要实施了以下核查程序：</w:t>
      </w:r>
    </w:p>
    <w:p w14:paraId="34498505" w14:textId="77777777" w:rsidR="00E76498" w:rsidRPr="00DA3766" w:rsidRDefault="00E76498" w:rsidP="00E76498">
      <w:pPr>
        <w:pStyle w:val="005"/>
        <w:spacing w:before="120" w:after="120"/>
        <w:ind w:firstLine="480"/>
      </w:pPr>
      <w:r>
        <w:rPr>
          <w:rFonts w:hint="eastAsia"/>
        </w:rPr>
        <w:lastRenderedPageBreak/>
        <w:t>（</w:t>
      </w:r>
      <w:r>
        <w:rPr>
          <w:rFonts w:hint="eastAsia"/>
        </w:rPr>
        <w:t>1</w:t>
      </w:r>
      <w:r>
        <w:rPr>
          <w:rFonts w:hint="eastAsia"/>
        </w:rPr>
        <w:t>）</w:t>
      </w:r>
      <w:r w:rsidRPr="00DA3766">
        <w:t>了解标的公司相关内部控制制度，检查标的公司销售与收款循环等的相关内部控制；</w:t>
      </w:r>
    </w:p>
    <w:p w14:paraId="0380DC0C"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获取标的公司收入确认政策，与同行业可比公司进行对比，核查标的公司收入确认政策的合理性；</w:t>
      </w:r>
    </w:p>
    <w:p w14:paraId="018679ED"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对标的公司的收入执行穿行测试及细节测试，抽样检查与收入确认相关的支持性文件，包括销售合同或订单、发票、签收单及记账凭证等，核查收入的真实性和准确性，核查收入确认是否具备证据支持；</w:t>
      </w:r>
      <w:r w:rsidRPr="00DA3766">
        <w:t xml:space="preserve"> </w:t>
      </w:r>
    </w:p>
    <w:p w14:paraId="1F002A1A"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执行收入截止性测试，在资产负债表日前后标的公司确认的收入交易中选取样本，核查收入是否记录于恰当的会计期间；</w:t>
      </w:r>
    </w:p>
    <w:p w14:paraId="645BF957"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对标的公司主要客户进行访谈，了解主要客户基本情况、双方合作历史、主要交易内容、与标的公司是否存在关联关系等情况；</w:t>
      </w:r>
    </w:p>
    <w:p w14:paraId="37797867"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对标的公司主要客户销售情况执行函证程序，核查交易发生额及往来余额的准确性；</w:t>
      </w:r>
    </w:p>
    <w:p w14:paraId="4A0CD7E4"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对标的公司营业收入和毛利率的变动执行分析性程序，分析变动的合理性，识别是否存在重大或异常变动；</w:t>
      </w:r>
    </w:p>
    <w:p w14:paraId="69C322D0"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了解标的公司相关内部控制制度，检查标的公司采购与付款循环、生产与存货循环等的相关内部控制；</w:t>
      </w:r>
    </w:p>
    <w:p w14:paraId="7E1B6F5C"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获取标的公司成本核算政策，核查标的公司成本核算政策的合理性；</w:t>
      </w:r>
    </w:p>
    <w:p w14:paraId="7D8C088A"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w:t>
      </w:r>
      <w:r w:rsidRPr="00DA3766">
        <w:t>对标的公司的采购、成本执行穿行测试及细节测试，抽样检查与成本核算相关的支持性文件，包括采购合同或订单、发票、出入库单、成本台账及记账凭证等，核查成本的真实性和准确性；</w:t>
      </w:r>
      <w:r w:rsidRPr="00DA3766">
        <w:t xml:space="preserve"> </w:t>
      </w:r>
    </w:p>
    <w:p w14:paraId="00309A89" w14:textId="77777777" w:rsidR="00E76498" w:rsidRPr="00DA3766" w:rsidRDefault="00E76498" w:rsidP="00E76498">
      <w:pPr>
        <w:pStyle w:val="005"/>
        <w:spacing w:before="120" w:after="120"/>
        <w:ind w:firstLine="480"/>
      </w:pPr>
      <w:r>
        <w:rPr>
          <w:rFonts w:hint="eastAsia"/>
        </w:rPr>
        <w:t>（</w:t>
      </w:r>
      <w:r>
        <w:rPr>
          <w:rFonts w:hint="eastAsia"/>
        </w:rPr>
        <w:t>11</w:t>
      </w:r>
      <w:r>
        <w:rPr>
          <w:rFonts w:hint="eastAsia"/>
        </w:rPr>
        <w:t>）</w:t>
      </w:r>
      <w:r w:rsidRPr="00DA3766">
        <w:t>对标的公司主要供应商进行访谈，了解主要供应商基本情况、双方合作历史、主要交易内容、与标的公司是否存在关联关系等情况；</w:t>
      </w:r>
      <w:r w:rsidRPr="00DA3766">
        <w:t xml:space="preserve"> </w:t>
      </w:r>
    </w:p>
    <w:p w14:paraId="63A52BBF" w14:textId="77777777" w:rsidR="00E76498" w:rsidRPr="00DA3766" w:rsidRDefault="00E76498" w:rsidP="00E76498">
      <w:pPr>
        <w:pStyle w:val="005"/>
        <w:spacing w:before="120" w:after="120"/>
        <w:ind w:firstLine="480"/>
      </w:pPr>
      <w:r>
        <w:rPr>
          <w:rFonts w:hint="eastAsia"/>
        </w:rPr>
        <w:t>（</w:t>
      </w:r>
      <w:r>
        <w:rPr>
          <w:rFonts w:hint="eastAsia"/>
        </w:rPr>
        <w:t>12</w:t>
      </w:r>
      <w:r>
        <w:rPr>
          <w:rFonts w:hint="eastAsia"/>
        </w:rPr>
        <w:t>）</w:t>
      </w:r>
      <w:r w:rsidRPr="00DA3766">
        <w:t>对标的公司主要供应商采购情况执行函证程序，核查交易发生额及往来余额的准确性；</w:t>
      </w:r>
    </w:p>
    <w:p w14:paraId="528C1E25" w14:textId="77777777" w:rsidR="00E76498" w:rsidRPr="00DA3766" w:rsidRDefault="00E76498" w:rsidP="00E76498">
      <w:pPr>
        <w:pStyle w:val="005"/>
        <w:spacing w:before="120" w:after="120"/>
        <w:ind w:firstLine="480"/>
      </w:pPr>
      <w:r>
        <w:rPr>
          <w:rFonts w:hint="eastAsia"/>
        </w:rPr>
        <w:t>（</w:t>
      </w:r>
      <w:r>
        <w:rPr>
          <w:rFonts w:hint="eastAsia"/>
        </w:rPr>
        <w:t>13</w:t>
      </w:r>
      <w:r>
        <w:rPr>
          <w:rFonts w:hint="eastAsia"/>
        </w:rPr>
        <w:t>）</w:t>
      </w:r>
      <w:r w:rsidRPr="00DA3766">
        <w:t>对标的公司营业成本的变动执行分析性程序，分析变动的合理性，识别是否存在重大或异常变动；</w:t>
      </w:r>
    </w:p>
    <w:p w14:paraId="646D5EE9" w14:textId="77777777" w:rsidR="00E76498" w:rsidRPr="00DA3766" w:rsidRDefault="00E76498" w:rsidP="00E76498">
      <w:pPr>
        <w:pStyle w:val="005"/>
        <w:spacing w:before="120" w:after="120"/>
        <w:ind w:firstLine="480"/>
      </w:pPr>
      <w:r>
        <w:rPr>
          <w:rFonts w:hint="eastAsia"/>
        </w:rPr>
        <w:lastRenderedPageBreak/>
        <w:t>（</w:t>
      </w:r>
      <w:r>
        <w:rPr>
          <w:rFonts w:hint="eastAsia"/>
        </w:rPr>
        <w:t>14</w:t>
      </w:r>
      <w:r>
        <w:rPr>
          <w:rFonts w:hint="eastAsia"/>
        </w:rPr>
        <w:t>）</w:t>
      </w:r>
      <w:r w:rsidRPr="00DA3766">
        <w:t>对标的公司存货等资产实施监盘；</w:t>
      </w:r>
    </w:p>
    <w:p w14:paraId="52DEF8F2" w14:textId="77777777" w:rsidR="00E76498" w:rsidRPr="00DA3766" w:rsidRDefault="00E76498" w:rsidP="00E76498">
      <w:pPr>
        <w:pStyle w:val="005"/>
        <w:spacing w:before="120" w:after="120"/>
        <w:ind w:firstLine="480"/>
      </w:pPr>
      <w:r>
        <w:rPr>
          <w:rFonts w:hint="eastAsia"/>
        </w:rPr>
        <w:t>（</w:t>
      </w:r>
      <w:r>
        <w:rPr>
          <w:rFonts w:hint="eastAsia"/>
        </w:rPr>
        <w:t>15</w:t>
      </w:r>
      <w:r>
        <w:rPr>
          <w:rFonts w:hint="eastAsia"/>
        </w:rPr>
        <w:t>）</w:t>
      </w:r>
      <w:r w:rsidRPr="00DA3766">
        <w:t>了解标的公司费用管理相关内部控制制度，执行穿行测试检查标的公司相关内部控制；</w:t>
      </w:r>
    </w:p>
    <w:p w14:paraId="4F012FC2" w14:textId="77777777" w:rsidR="00E76498" w:rsidRPr="00DA3766" w:rsidRDefault="00E76498" w:rsidP="00E76498">
      <w:pPr>
        <w:pStyle w:val="005"/>
        <w:spacing w:before="120" w:after="120"/>
        <w:ind w:firstLine="480"/>
      </w:pPr>
      <w:r>
        <w:rPr>
          <w:rFonts w:hint="eastAsia"/>
        </w:rPr>
        <w:t>（</w:t>
      </w:r>
      <w:r>
        <w:rPr>
          <w:rFonts w:hint="eastAsia"/>
        </w:rPr>
        <w:t>16</w:t>
      </w:r>
      <w:r>
        <w:rPr>
          <w:rFonts w:hint="eastAsia"/>
        </w:rPr>
        <w:t>）</w:t>
      </w:r>
      <w:r w:rsidRPr="00DA3766">
        <w:t>获取标的公司期间费用明细表，对标的公司期间费用的变动执行分析性程序，分析变动的合理性，识别是否存在重大或异常变动；</w:t>
      </w:r>
    </w:p>
    <w:p w14:paraId="7B920921" w14:textId="77777777" w:rsidR="00E76498" w:rsidRPr="00DA3766" w:rsidRDefault="00E76498" w:rsidP="00E76498">
      <w:pPr>
        <w:pStyle w:val="005"/>
        <w:spacing w:before="120" w:after="120"/>
        <w:ind w:firstLine="480"/>
      </w:pPr>
      <w:r>
        <w:rPr>
          <w:rFonts w:hint="eastAsia"/>
        </w:rPr>
        <w:t>（</w:t>
      </w:r>
      <w:r>
        <w:rPr>
          <w:rFonts w:hint="eastAsia"/>
        </w:rPr>
        <w:t>17</w:t>
      </w:r>
      <w:r>
        <w:rPr>
          <w:rFonts w:hint="eastAsia"/>
        </w:rPr>
        <w:t>）</w:t>
      </w:r>
      <w:r w:rsidRPr="00DA3766">
        <w:t>检查大额期间费用支出的记账凭证及附件，核查相关支出是否合理、审批手续是否健全、费用分类是否恰当；</w:t>
      </w:r>
    </w:p>
    <w:p w14:paraId="2C752728" w14:textId="77777777" w:rsidR="00E76498" w:rsidRPr="00DA3766" w:rsidRDefault="00E76498" w:rsidP="00E76498">
      <w:pPr>
        <w:pStyle w:val="005"/>
        <w:spacing w:before="120" w:after="120"/>
        <w:ind w:firstLine="480"/>
      </w:pPr>
      <w:r>
        <w:rPr>
          <w:rFonts w:hint="eastAsia"/>
        </w:rPr>
        <w:t>（</w:t>
      </w:r>
      <w:r>
        <w:rPr>
          <w:rFonts w:hint="eastAsia"/>
        </w:rPr>
        <w:t>18</w:t>
      </w:r>
      <w:r>
        <w:rPr>
          <w:rFonts w:hint="eastAsia"/>
        </w:rPr>
        <w:t>）</w:t>
      </w:r>
      <w:r w:rsidRPr="00DA3766">
        <w:t>执行期间费用截止性测试，在资产负债表日前后标的公司确认的期间费用支出中选取样本，核查期间费用是否记录于恰当的会计期间；</w:t>
      </w:r>
    </w:p>
    <w:p w14:paraId="256C003A" w14:textId="77777777" w:rsidR="00E76498" w:rsidRPr="00DA3766" w:rsidRDefault="00E76498" w:rsidP="00E76498">
      <w:pPr>
        <w:pStyle w:val="005"/>
        <w:spacing w:before="120" w:after="120"/>
        <w:ind w:firstLine="480"/>
      </w:pPr>
      <w:r>
        <w:rPr>
          <w:rFonts w:hint="eastAsia"/>
        </w:rPr>
        <w:t>（</w:t>
      </w:r>
      <w:r>
        <w:rPr>
          <w:rFonts w:hint="eastAsia"/>
        </w:rPr>
        <w:t>19</w:t>
      </w:r>
      <w:r>
        <w:rPr>
          <w:rFonts w:hint="eastAsia"/>
        </w:rPr>
        <w:t>）</w:t>
      </w:r>
      <w:r w:rsidRPr="00DA3766">
        <w:t>查阅标的公司财务报告，对标的公司其他损益类科目的变动执行分析性程序，分析变动的合理性，识别是否存在重大或异常变动；</w:t>
      </w:r>
    </w:p>
    <w:p w14:paraId="3B516A9E" w14:textId="77777777" w:rsidR="00E76498" w:rsidRPr="00DA3766" w:rsidRDefault="00E76498" w:rsidP="00E76498">
      <w:pPr>
        <w:pStyle w:val="005"/>
        <w:spacing w:before="120" w:after="120"/>
        <w:ind w:firstLine="480"/>
      </w:pPr>
      <w:r>
        <w:rPr>
          <w:rFonts w:hint="eastAsia"/>
        </w:rPr>
        <w:t>（</w:t>
      </w:r>
      <w:r>
        <w:rPr>
          <w:rFonts w:hint="eastAsia"/>
        </w:rPr>
        <w:t>20</w:t>
      </w:r>
      <w:r>
        <w:rPr>
          <w:rFonts w:hint="eastAsia"/>
        </w:rPr>
        <w:t>）</w:t>
      </w:r>
      <w:r w:rsidRPr="00DA3766">
        <w:t>比对标的公司客户名单与供应商名单、销售明细与采购明细，检查客户与供应商重叠情况，了解相关客户和供应商基本情况、双方合作历史、主要交易内容、与标的公司是否存在关联关系等情况；</w:t>
      </w:r>
    </w:p>
    <w:p w14:paraId="3D73F60E" w14:textId="77777777" w:rsidR="00E76498" w:rsidRPr="00DA3766" w:rsidRDefault="00E76498" w:rsidP="00E76498">
      <w:pPr>
        <w:pStyle w:val="005"/>
        <w:spacing w:before="120" w:after="120"/>
        <w:ind w:firstLine="480"/>
      </w:pPr>
      <w:r>
        <w:rPr>
          <w:rFonts w:hint="eastAsia"/>
        </w:rPr>
        <w:t>（</w:t>
      </w:r>
      <w:r>
        <w:rPr>
          <w:rFonts w:hint="eastAsia"/>
        </w:rPr>
        <w:t>21</w:t>
      </w:r>
      <w:r>
        <w:rPr>
          <w:rFonts w:hint="eastAsia"/>
        </w:rPr>
        <w:t>）</w:t>
      </w:r>
      <w:r w:rsidRPr="00DA3766">
        <w:t>参考《监管规则适用指引</w:t>
      </w:r>
      <w:r w:rsidRPr="00DA3766">
        <w:t>——</w:t>
      </w:r>
      <w:r w:rsidRPr="00DA3766">
        <w:t>发行类第</w:t>
      </w:r>
      <w:r w:rsidRPr="00DA3766">
        <w:t>5</w:t>
      </w:r>
      <w:r w:rsidRPr="00DA3766">
        <w:t>号》</w:t>
      </w:r>
      <w:r w:rsidRPr="00DA3766">
        <w:t>5-11</w:t>
      </w:r>
      <w:r w:rsidRPr="00DA3766">
        <w:t>、</w:t>
      </w:r>
      <w:r w:rsidRPr="00DA3766">
        <w:t>5-13</w:t>
      </w:r>
      <w:r w:rsidRPr="00DA3766">
        <w:t>及</w:t>
      </w:r>
      <w:r w:rsidRPr="00DA3766">
        <w:t>5-14</w:t>
      </w:r>
      <w:r w:rsidRPr="00DA3766">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rsidRPr="00DA3766">
        <w:t>IP</w:t>
      </w:r>
      <w:r w:rsidRPr="00DA3766">
        <w:t>异常消费、消费时间分布异常等异常情形，是否存在刷单、自充值等虚假交易情况，系统收款或交易金额与第三方支付渠道交易金额是否一致：</w:t>
      </w:r>
    </w:p>
    <w:p w14:paraId="24B35BF1" w14:textId="77777777" w:rsidR="00E76498" w:rsidRPr="00DA3766" w:rsidRDefault="00E76498" w:rsidP="00E76498">
      <w:pPr>
        <w:pStyle w:val="005"/>
        <w:spacing w:before="120" w:after="120"/>
        <w:ind w:firstLine="480"/>
        <w:rPr>
          <w:bCs/>
        </w:rPr>
      </w:pPr>
      <w:r w:rsidRPr="00DA3766">
        <w:rPr>
          <w:bCs/>
        </w:rPr>
        <w:t>1</w:t>
      </w:r>
      <w:r w:rsidRPr="00DA3766">
        <w:rPr>
          <w:bCs/>
        </w:rPr>
        <w:t>）标的公司业绩真实性核查情况</w:t>
      </w:r>
    </w:p>
    <w:p w14:paraId="0FDAF2C3" w14:textId="77777777" w:rsidR="00E76498" w:rsidRPr="00DA3766" w:rsidRDefault="00E76498" w:rsidP="00E76498">
      <w:pPr>
        <w:pStyle w:val="005"/>
        <w:spacing w:before="120" w:after="120"/>
        <w:ind w:firstLine="480"/>
        <w:rPr>
          <w:bCs/>
        </w:rPr>
      </w:pPr>
      <w:r w:rsidRPr="00DA3766">
        <w:rPr>
          <w:rFonts w:ascii="宋体" w:hAnsi="宋体" w:cs="宋体" w:hint="eastAsia"/>
          <w:bCs/>
        </w:rPr>
        <w:t>①</w:t>
      </w:r>
      <w:r w:rsidRPr="00DA3766">
        <w:rPr>
          <w:bCs/>
        </w:rPr>
        <w:t>核查范围、方法</w:t>
      </w:r>
    </w:p>
    <w:p w14:paraId="5D9FDDE2" w14:textId="77777777" w:rsidR="00E76498" w:rsidRPr="00DA3766" w:rsidRDefault="00E76498" w:rsidP="00E76498">
      <w:pPr>
        <w:pStyle w:val="005"/>
        <w:spacing w:before="120" w:after="120"/>
        <w:ind w:firstLine="480"/>
      </w:pPr>
      <w:r>
        <w:rPr>
          <w:rFonts w:hint="eastAsia"/>
        </w:rPr>
        <w:t>会计师</w:t>
      </w:r>
      <w:r w:rsidRPr="00DA3766">
        <w:t>本次核查的范围为标的公司报告期内营业收入真实性、成本费用完整性等；本次核查的方法包括但不限于检查、函证、盘点、访谈、分析性程序等。</w:t>
      </w:r>
    </w:p>
    <w:p w14:paraId="59100609" w14:textId="77777777" w:rsidR="00E76498" w:rsidRPr="00DA3766" w:rsidRDefault="00E76498" w:rsidP="00E76498">
      <w:pPr>
        <w:pStyle w:val="005"/>
        <w:spacing w:before="120" w:after="120"/>
        <w:ind w:firstLine="480"/>
        <w:rPr>
          <w:bCs/>
        </w:rPr>
      </w:pPr>
      <w:r w:rsidRPr="00DA3766">
        <w:rPr>
          <w:rFonts w:ascii="宋体" w:hAnsi="宋体" w:cs="宋体" w:hint="eastAsia"/>
          <w:bCs/>
        </w:rPr>
        <w:lastRenderedPageBreak/>
        <w:t>②</w:t>
      </w:r>
      <w:r w:rsidRPr="00DA3766">
        <w:rPr>
          <w:bCs/>
        </w:rPr>
        <w:t>报告期内营业收入核查</w:t>
      </w:r>
    </w:p>
    <w:p w14:paraId="56C4666D" w14:textId="77777777" w:rsidR="00E76498" w:rsidRPr="00DA3766" w:rsidRDefault="00E76498" w:rsidP="00E76498">
      <w:pPr>
        <w:pStyle w:val="005"/>
        <w:spacing w:before="120" w:after="120"/>
        <w:ind w:firstLine="480"/>
      </w:pPr>
      <w:r>
        <w:rPr>
          <w:rFonts w:hint="eastAsia"/>
        </w:rPr>
        <w:t>会计师</w:t>
      </w:r>
      <w:r w:rsidRPr="00DA3766">
        <w:t>关于报告期内标的公司营业收入的具体核查情况如下：</w:t>
      </w:r>
    </w:p>
    <w:p w14:paraId="479A57A9" w14:textId="77777777" w:rsidR="00E76498" w:rsidRPr="00DA3766" w:rsidRDefault="00E76498" w:rsidP="00E76498">
      <w:pPr>
        <w:pStyle w:val="005"/>
        <w:spacing w:before="120" w:after="120"/>
        <w:ind w:firstLine="480"/>
      </w:pPr>
      <w:r w:rsidRPr="00DA3766">
        <w:t>A</w:t>
      </w:r>
      <w:r w:rsidRPr="00DA3766">
        <w:t>、了解标的公司相关内部控制制度，检查标的公司销售与收款循环等的相关内部控制；</w:t>
      </w:r>
    </w:p>
    <w:p w14:paraId="0721D619" w14:textId="77777777" w:rsidR="00E76498" w:rsidRPr="00DA3766" w:rsidRDefault="00E76498" w:rsidP="00E76498">
      <w:pPr>
        <w:pStyle w:val="005"/>
        <w:spacing w:before="120" w:after="120"/>
        <w:ind w:firstLine="480"/>
      </w:pPr>
      <w:r w:rsidRPr="00DA3766">
        <w:t>B</w:t>
      </w:r>
      <w:r w:rsidRPr="00DA3766">
        <w:t>、获取标的公司收入确认政策，与同行业可比公司进行对比，核查标的</w:t>
      </w:r>
      <w:r w:rsidRPr="00DA3766">
        <w:t xml:space="preserve"> </w:t>
      </w:r>
      <w:r w:rsidRPr="00DA3766">
        <w:t>公司收入确认政策的合理性；</w:t>
      </w:r>
    </w:p>
    <w:p w14:paraId="381F3F8B" w14:textId="77777777" w:rsidR="00E76498" w:rsidRPr="00DA3766" w:rsidRDefault="00E76498" w:rsidP="00E76498">
      <w:pPr>
        <w:pStyle w:val="005"/>
        <w:spacing w:before="120" w:after="120"/>
        <w:ind w:firstLine="480"/>
      </w:pPr>
      <w:r w:rsidRPr="00DA3766">
        <w:t>C</w:t>
      </w:r>
      <w:r w:rsidRPr="00DA3766">
        <w:t>、对标的公司的收入执行穿行测试及细节测试，抽样检查与收入确认相关的支持性文件，包括销售合同或订单、发票、签收单及记账凭证等，核查收入的真实性和准确性，核查收入确认是否具备证据支持；</w:t>
      </w:r>
      <w:r w:rsidRPr="00DA3766">
        <w:t xml:space="preserve"> </w:t>
      </w:r>
    </w:p>
    <w:p w14:paraId="21D595C2" w14:textId="77777777" w:rsidR="00E76498" w:rsidRPr="00DA3766" w:rsidRDefault="00E76498" w:rsidP="00E76498">
      <w:pPr>
        <w:pStyle w:val="005"/>
        <w:spacing w:before="120" w:after="120"/>
        <w:ind w:firstLine="480"/>
        <w:rPr>
          <w:bCs/>
        </w:rPr>
      </w:pPr>
      <w:r w:rsidRPr="00DA3766">
        <w:rPr>
          <w:bCs/>
        </w:rPr>
        <w:t>D</w:t>
      </w:r>
      <w:r w:rsidRPr="00DA3766">
        <w:rPr>
          <w:bCs/>
        </w:rPr>
        <w:t>、执行收入截止性测试，在资产负债表日前后标的公司确认的收入交易中选取样本，核查收入是否记录于恰当的会计期间；</w:t>
      </w:r>
    </w:p>
    <w:p w14:paraId="19DEFA49" w14:textId="77777777" w:rsidR="00E76498" w:rsidRPr="00DA3766" w:rsidRDefault="00E76498" w:rsidP="00E76498">
      <w:pPr>
        <w:pStyle w:val="005"/>
        <w:spacing w:before="120" w:after="120"/>
        <w:ind w:firstLine="480"/>
        <w:rPr>
          <w:bCs/>
        </w:rPr>
      </w:pPr>
      <w:r w:rsidRPr="00DA3766">
        <w:rPr>
          <w:bCs/>
        </w:rPr>
        <w:t>E</w:t>
      </w:r>
      <w:r w:rsidRPr="00DA3766">
        <w:rPr>
          <w:bCs/>
        </w:rPr>
        <w:t>、对标的公司主要客户进行访谈，了解主要客户基本情况、双方合作历史、主要交易内容、与标的公司是否存在关联关系等情况；</w:t>
      </w:r>
      <w:r w:rsidRPr="00DA3766">
        <w:rPr>
          <w:bCs/>
        </w:rPr>
        <w:t xml:space="preserve"> </w:t>
      </w:r>
    </w:p>
    <w:p w14:paraId="1A348EF3" w14:textId="77777777" w:rsidR="00E76498" w:rsidRPr="00DA3766" w:rsidRDefault="00E76498" w:rsidP="00E76498">
      <w:pPr>
        <w:pStyle w:val="005"/>
        <w:spacing w:before="120" w:after="120"/>
        <w:ind w:firstLine="480"/>
        <w:rPr>
          <w:bCs/>
        </w:rPr>
      </w:pPr>
      <w:r w:rsidRPr="00DA3766">
        <w:rPr>
          <w:bCs/>
        </w:rPr>
        <w:t>F</w:t>
      </w:r>
      <w:r w:rsidRPr="00DA3766">
        <w:rPr>
          <w:bCs/>
        </w:rPr>
        <w:t>、对标的公司主要客户销售情况执行函证程序，核查交易发生额及往来余额的准确性；</w:t>
      </w:r>
    </w:p>
    <w:p w14:paraId="6D5CBE3E" w14:textId="77777777" w:rsidR="00E76498" w:rsidRPr="00DA3766" w:rsidRDefault="00E76498" w:rsidP="00E76498">
      <w:pPr>
        <w:pStyle w:val="005"/>
        <w:spacing w:before="120" w:after="120"/>
        <w:ind w:firstLine="480"/>
        <w:rPr>
          <w:bCs/>
        </w:rPr>
      </w:pPr>
      <w:r w:rsidRPr="00DA3766">
        <w:rPr>
          <w:bCs/>
        </w:rPr>
        <w:t>G</w:t>
      </w:r>
      <w:r w:rsidRPr="00DA3766">
        <w:rPr>
          <w:bCs/>
        </w:rPr>
        <w:t>、对标的公司营业收入和毛利率的变动执行分析性程序，分析变动的合理性，识别是否存在重大或异常变动。</w:t>
      </w:r>
    </w:p>
    <w:p w14:paraId="19FB32AF" w14:textId="77777777" w:rsidR="00E76498" w:rsidRPr="00DA3766" w:rsidRDefault="00E76498" w:rsidP="00E76498">
      <w:pPr>
        <w:pStyle w:val="005"/>
        <w:spacing w:before="120" w:after="120"/>
        <w:ind w:firstLine="480"/>
        <w:rPr>
          <w:bCs/>
        </w:rPr>
      </w:pPr>
      <w:r w:rsidRPr="00DA3766">
        <w:rPr>
          <w:rFonts w:ascii="宋体" w:hAnsi="宋体" w:cs="宋体" w:hint="eastAsia"/>
          <w:bCs/>
        </w:rPr>
        <w:t>③</w:t>
      </w:r>
      <w:r w:rsidRPr="00DA3766">
        <w:rPr>
          <w:bCs/>
        </w:rPr>
        <w:t>报告期内营业成本核查</w:t>
      </w:r>
    </w:p>
    <w:p w14:paraId="54D41540" w14:textId="77777777" w:rsidR="00E76498" w:rsidRPr="00DA3766" w:rsidRDefault="00E76498" w:rsidP="00E76498">
      <w:pPr>
        <w:pStyle w:val="005"/>
        <w:spacing w:before="120" w:after="120"/>
        <w:ind w:firstLine="480"/>
        <w:rPr>
          <w:bCs/>
        </w:rPr>
      </w:pPr>
      <w:r>
        <w:rPr>
          <w:rFonts w:hint="eastAsia"/>
        </w:rPr>
        <w:t>会计师</w:t>
      </w:r>
      <w:r w:rsidRPr="00DA3766">
        <w:rPr>
          <w:bCs/>
        </w:rPr>
        <w:t>关于报告期内标的公司营业成本的具体核查情况如下：</w:t>
      </w:r>
    </w:p>
    <w:p w14:paraId="6740227F" w14:textId="77777777" w:rsidR="00E76498" w:rsidRPr="00DA3766" w:rsidRDefault="00E76498" w:rsidP="00E76498">
      <w:pPr>
        <w:pStyle w:val="005"/>
        <w:spacing w:before="120" w:after="120"/>
        <w:ind w:firstLine="480"/>
        <w:rPr>
          <w:bCs/>
        </w:rPr>
      </w:pPr>
      <w:r w:rsidRPr="00DA3766">
        <w:rPr>
          <w:bCs/>
        </w:rPr>
        <w:t>A</w:t>
      </w:r>
      <w:r w:rsidRPr="00DA3766">
        <w:rPr>
          <w:bCs/>
        </w:rPr>
        <w:t>、了解标的公司相关内部控制制度，检查标的公司采购与付款循环、生产与存货循环等的相关内部控制；</w:t>
      </w:r>
    </w:p>
    <w:p w14:paraId="227851B5" w14:textId="77777777" w:rsidR="00E76498" w:rsidRPr="00DA3766" w:rsidRDefault="00E76498" w:rsidP="00E76498">
      <w:pPr>
        <w:pStyle w:val="005"/>
        <w:spacing w:before="120" w:after="120"/>
        <w:ind w:firstLine="480"/>
        <w:rPr>
          <w:bCs/>
        </w:rPr>
      </w:pPr>
      <w:r w:rsidRPr="00DA3766">
        <w:rPr>
          <w:bCs/>
        </w:rPr>
        <w:t>B</w:t>
      </w:r>
      <w:r w:rsidRPr="00DA3766">
        <w:rPr>
          <w:bCs/>
        </w:rPr>
        <w:t>、获取标的公司成本核算政策，核查标的公司成本核算政策的合理性；</w:t>
      </w:r>
    </w:p>
    <w:p w14:paraId="7CE351FC" w14:textId="77777777" w:rsidR="00E76498" w:rsidRPr="00DA3766" w:rsidRDefault="00E76498" w:rsidP="00E76498">
      <w:pPr>
        <w:pStyle w:val="005"/>
        <w:spacing w:before="120" w:after="120"/>
        <w:ind w:firstLine="480"/>
        <w:rPr>
          <w:bCs/>
        </w:rPr>
      </w:pPr>
      <w:r w:rsidRPr="00DA3766">
        <w:rPr>
          <w:bCs/>
        </w:rPr>
        <w:t>C</w:t>
      </w:r>
      <w:r w:rsidRPr="00DA3766">
        <w:rPr>
          <w:bCs/>
        </w:rPr>
        <w:t>、对标的公司的采购、成本执行穿行测试及细节测试，抽样检查与成本核算相关的支持性文件，包括采购合同或订单、发票、出入库单、成本台账及记账凭证等，核查成本的真实性和准确性；</w:t>
      </w:r>
      <w:r w:rsidRPr="00DA3766">
        <w:rPr>
          <w:bCs/>
        </w:rPr>
        <w:t xml:space="preserve"> </w:t>
      </w:r>
    </w:p>
    <w:p w14:paraId="37CD2A75" w14:textId="77777777" w:rsidR="00E76498" w:rsidRPr="00DA3766" w:rsidRDefault="00E76498" w:rsidP="00E76498">
      <w:pPr>
        <w:pStyle w:val="005"/>
        <w:spacing w:before="120" w:after="120"/>
        <w:ind w:firstLine="480"/>
        <w:rPr>
          <w:bCs/>
        </w:rPr>
      </w:pPr>
      <w:r w:rsidRPr="00DA3766">
        <w:rPr>
          <w:bCs/>
        </w:rPr>
        <w:t>D</w:t>
      </w:r>
      <w:r w:rsidRPr="00DA3766">
        <w:rPr>
          <w:bCs/>
        </w:rPr>
        <w:t>、对标的公司主要供应商进行访谈，了解主要供应商基本情况、双方合作</w:t>
      </w:r>
      <w:r w:rsidRPr="00DA3766">
        <w:rPr>
          <w:bCs/>
        </w:rPr>
        <w:lastRenderedPageBreak/>
        <w:t>历史、主要交易内容、与标的公司是否存在关联关系等情况；</w:t>
      </w:r>
      <w:r w:rsidRPr="00DA3766">
        <w:rPr>
          <w:bCs/>
        </w:rPr>
        <w:t xml:space="preserve"> </w:t>
      </w:r>
    </w:p>
    <w:p w14:paraId="54E2925C" w14:textId="77777777" w:rsidR="00E76498" w:rsidRPr="00DA3766" w:rsidRDefault="00E76498" w:rsidP="00E76498">
      <w:pPr>
        <w:pStyle w:val="005"/>
        <w:spacing w:before="120" w:after="120"/>
        <w:ind w:firstLine="480"/>
        <w:rPr>
          <w:bCs/>
        </w:rPr>
      </w:pPr>
      <w:r w:rsidRPr="00DA3766">
        <w:rPr>
          <w:bCs/>
        </w:rPr>
        <w:t>E</w:t>
      </w:r>
      <w:r w:rsidRPr="00DA3766">
        <w:rPr>
          <w:bCs/>
        </w:rPr>
        <w:t>、对标的公司主要供应商采购情况执行函证程序，核查交易发生额及往来余额的准确性；</w:t>
      </w:r>
    </w:p>
    <w:p w14:paraId="1315B4AF" w14:textId="77777777" w:rsidR="00E76498" w:rsidRPr="00DA3766" w:rsidRDefault="00E76498" w:rsidP="00E76498">
      <w:pPr>
        <w:pStyle w:val="005"/>
        <w:spacing w:before="120" w:after="120"/>
        <w:ind w:firstLine="480"/>
      </w:pPr>
      <w:r w:rsidRPr="00DA3766">
        <w:t>F</w:t>
      </w:r>
      <w:r w:rsidRPr="00DA3766">
        <w:t>、对标的公司营业成本的变动执行分析性程序，分析变动的合理性，识别是否存在重大或异常变动；</w:t>
      </w:r>
    </w:p>
    <w:p w14:paraId="42C14835" w14:textId="77777777" w:rsidR="00E76498" w:rsidRPr="00DA3766" w:rsidRDefault="00E76498" w:rsidP="00E76498">
      <w:pPr>
        <w:pStyle w:val="005"/>
        <w:spacing w:before="120" w:after="120"/>
        <w:ind w:firstLine="480"/>
      </w:pPr>
      <w:r w:rsidRPr="00DA3766">
        <w:t>G</w:t>
      </w:r>
      <w:r w:rsidRPr="00DA3766">
        <w:t>、对标的公司存货等资产实施监盘。</w:t>
      </w:r>
    </w:p>
    <w:p w14:paraId="0BFC00A9" w14:textId="77777777" w:rsidR="00E76498" w:rsidRPr="00DA3766" w:rsidRDefault="00E76498" w:rsidP="00E76498">
      <w:pPr>
        <w:pStyle w:val="005"/>
        <w:spacing w:before="120" w:after="120"/>
        <w:ind w:firstLine="480"/>
        <w:rPr>
          <w:bCs/>
        </w:rPr>
      </w:pPr>
      <w:r w:rsidRPr="00DA3766">
        <w:rPr>
          <w:rFonts w:ascii="宋体" w:hAnsi="宋体" w:cs="宋体" w:hint="eastAsia"/>
          <w:bCs/>
        </w:rPr>
        <w:t>④</w:t>
      </w:r>
      <w:r w:rsidRPr="00DA3766">
        <w:rPr>
          <w:bCs/>
        </w:rPr>
        <w:t>关于报告期内自然人客户、设备厂商、运营商、终端设备核查</w:t>
      </w:r>
    </w:p>
    <w:p w14:paraId="5DB1F9FB" w14:textId="77777777" w:rsidR="00E76498" w:rsidRPr="00DA3766" w:rsidRDefault="00E76498" w:rsidP="00E76498">
      <w:pPr>
        <w:pStyle w:val="005"/>
        <w:spacing w:before="120" w:after="120"/>
        <w:ind w:firstLine="480"/>
      </w:pPr>
      <w:r>
        <w:rPr>
          <w:rFonts w:hint="eastAsia"/>
        </w:rPr>
        <w:t>会计师</w:t>
      </w:r>
      <w:r w:rsidRPr="00DA3766">
        <w:t>关于报告期内标的公司的自然人客户、设备厂商、运营商、终端设备核查情况如下：</w:t>
      </w:r>
    </w:p>
    <w:p w14:paraId="0FD000EE" w14:textId="77777777" w:rsidR="00E76498" w:rsidRPr="00DA3766" w:rsidRDefault="00E76498" w:rsidP="00E76498">
      <w:pPr>
        <w:pStyle w:val="005"/>
        <w:spacing w:before="120" w:after="120"/>
        <w:ind w:firstLine="480"/>
      </w:pPr>
      <w:r w:rsidRPr="00DA3766">
        <w:t>A</w:t>
      </w:r>
      <w:r w:rsidRPr="00DA3766">
        <w:t>、了解和评价公司与收入确认相关的关键内部控制的设计和运行的有效性；</w:t>
      </w:r>
    </w:p>
    <w:p w14:paraId="39C06FC5" w14:textId="77777777" w:rsidR="00E76498" w:rsidRPr="00DA3766" w:rsidRDefault="00E76498" w:rsidP="00E76498">
      <w:pPr>
        <w:pStyle w:val="005"/>
        <w:spacing w:before="120" w:after="120"/>
        <w:ind w:firstLine="480"/>
      </w:pPr>
      <w:r w:rsidRPr="00DA3766">
        <w:t>B</w:t>
      </w:r>
      <w:r w:rsidRPr="00DA3766">
        <w:t>、了解线上、线下交易模式，检查与客户的主要合同条款、结算方式，评价公司收入确认会计政策是否符合企业会计准则要求；</w:t>
      </w:r>
    </w:p>
    <w:p w14:paraId="268CB315" w14:textId="77777777" w:rsidR="00E76498" w:rsidRPr="00DA3766" w:rsidRDefault="00E76498" w:rsidP="00E76498">
      <w:pPr>
        <w:pStyle w:val="005"/>
        <w:spacing w:before="120" w:after="120"/>
        <w:ind w:firstLine="480"/>
      </w:pPr>
      <w:r w:rsidRPr="00DA3766">
        <w:t>C</w:t>
      </w:r>
      <w:r w:rsidRPr="00DA3766">
        <w:t>、对收入及毛利率进行分析性复核，对于收入和毛利率分月、分年进行分析性复核，比较月度之间、年度之间的波动是否异常；</w:t>
      </w:r>
    </w:p>
    <w:p w14:paraId="7EBEF049" w14:textId="77777777" w:rsidR="00E76498" w:rsidRPr="00DA3766" w:rsidRDefault="00E76498" w:rsidP="00E76498">
      <w:pPr>
        <w:pStyle w:val="005"/>
        <w:spacing w:before="120" w:after="120"/>
        <w:ind w:firstLine="480"/>
      </w:pPr>
      <w:r w:rsidRPr="00DA3766">
        <w:t>D</w:t>
      </w:r>
      <w:r w:rsidRPr="00DA3766">
        <w:t>、对报告期内记录的收入交易选取样本，核对销售合同、订单、出库单、发票、客户签收单、物流信息、报关单（外销）、提单（外销）等，检查已确认收入的真实性；</w:t>
      </w:r>
    </w:p>
    <w:p w14:paraId="7E15218B" w14:textId="77777777" w:rsidR="00E76498" w:rsidRPr="00DA3766" w:rsidRDefault="00E76498" w:rsidP="00E76498">
      <w:pPr>
        <w:pStyle w:val="005"/>
        <w:spacing w:before="120" w:after="120"/>
        <w:ind w:firstLine="480"/>
      </w:pPr>
      <w:r w:rsidRPr="00DA3766">
        <w:t>E</w:t>
      </w:r>
      <w:r w:rsidRPr="00DA3766">
        <w:t>、根据客户的性质及重要性，选取样本进行现场走访或视频访谈，了解交易的商业背景，核实交易真实性等；</w:t>
      </w:r>
    </w:p>
    <w:p w14:paraId="0BB4C99C" w14:textId="77777777" w:rsidR="00E76498" w:rsidRPr="00DA3766" w:rsidRDefault="00E76498" w:rsidP="00E76498">
      <w:pPr>
        <w:pStyle w:val="005"/>
        <w:spacing w:before="120" w:after="120"/>
        <w:ind w:firstLine="480"/>
      </w:pPr>
      <w:r w:rsidRPr="00DA3766">
        <w:t>F</w:t>
      </w:r>
      <w:r w:rsidRPr="00DA3766">
        <w:t>、根据客户交易的性质和重要性，抽取样本执行函证程序以确认报告期内交易金额和往来余额的准确性；</w:t>
      </w:r>
    </w:p>
    <w:p w14:paraId="31A71FBE" w14:textId="77777777" w:rsidR="00E76498" w:rsidRPr="00DA3766" w:rsidRDefault="00E76498" w:rsidP="00E76498">
      <w:pPr>
        <w:pStyle w:val="005"/>
        <w:spacing w:before="120" w:after="120"/>
        <w:ind w:firstLine="480"/>
      </w:pPr>
      <w:r w:rsidRPr="00DA3766">
        <w:t>G</w:t>
      </w:r>
      <w:r w:rsidRPr="00DA3766">
        <w:t>、检查销售回款的银行进账单，关注进账单位、金额与账面记录是否一致，有无异常；</w:t>
      </w:r>
    </w:p>
    <w:p w14:paraId="73798D18" w14:textId="77777777" w:rsidR="00E76498" w:rsidRPr="00DA3766" w:rsidRDefault="00E76498" w:rsidP="00E76498">
      <w:pPr>
        <w:pStyle w:val="005"/>
        <w:spacing w:before="120" w:after="120"/>
        <w:ind w:firstLine="480"/>
      </w:pPr>
      <w:r w:rsidRPr="00DA3766">
        <w:t>H</w:t>
      </w:r>
      <w:r w:rsidRPr="00DA3766">
        <w:t>、进行截止性测试，就资产负债表日前后记录的收入交易，选取样本，检查出库单、发票、客户签收单、物流信息等，以评价收入是否被记录于恰当的会计期间；</w:t>
      </w:r>
    </w:p>
    <w:p w14:paraId="1926C017" w14:textId="77777777" w:rsidR="00E76498" w:rsidRPr="00DA3766" w:rsidRDefault="00E76498" w:rsidP="00E76498">
      <w:pPr>
        <w:pStyle w:val="005"/>
        <w:spacing w:before="120" w:after="120"/>
        <w:ind w:firstLine="480"/>
      </w:pPr>
      <w:r w:rsidRPr="00DA3766">
        <w:lastRenderedPageBreak/>
        <w:t>I</w:t>
      </w:r>
      <w:r w:rsidRPr="00DA3766">
        <w:t>、利用</w:t>
      </w:r>
      <w:r w:rsidRPr="00DA3766">
        <w:t>IT</w:t>
      </w:r>
      <w:r w:rsidRPr="00DA3766">
        <w:t>专家工作，对标的公司信息系统进行测试，包括对业务系统执行穿行测试，对营运数据进行分析性复核，关于自然人、运营商交易情况以及终端设备的在线情况进行检查；</w:t>
      </w:r>
    </w:p>
    <w:p w14:paraId="7EA3FB42" w14:textId="77777777" w:rsidR="00E76498" w:rsidRPr="00DA3766" w:rsidRDefault="00E76498" w:rsidP="00E76498">
      <w:pPr>
        <w:pStyle w:val="005"/>
        <w:spacing w:before="120" w:after="120"/>
        <w:ind w:firstLine="480"/>
      </w:pPr>
      <w:r w:rsidRPr="00DA3766">
        <w:t>J</w:t>
      </w:r>
      <w:r w:rsidRPr="00DA3766">
        <w:t>、项目组针对标的公司的终端设备进行实地观察，并确认设备的实际使用情况。</w:t>
      </w:r>
    </w:p>
    <w:p w14:paraId="73EB0910" w14:textId="77777777" w:rsidR="00E76498" w:rsidRPr="00DA3766" w:rsidRDefault="00E76498" w:rsidP="00E76498">
      <w:pPr>
        <w:widowControl w:val="0"/>
        <w:spacing w:beforeLines="0" w:before="0" w:afterLines="0" w:after="0"/>
        <w:ind w:firstLine="480"/>
        <w:jc w:val="both"/>
        <w:rPr>
          <w:rFonts w:ascii="Times New Roman" w:hAnsi="Times New Roman" w:cs="Times New Roman"/>
          <w:bCs/>
          <w:kern w:val="2"/>
        </w:rPr>
      </w:pPr>
      <w:r w:rsidRPr="00DA3766">
        <w:rPr>
          <w:rFonts w:hint="eastAsia"/>
          <w:bCs/>
          <w:kern w:val="2"/>
        </w:rPr>
        <w:t>⑤</w:t>
      </w:r>
      <w:r w:rsidRPr="00DA3766">
        <w:rPr>
          <w:rFonts w:ascii="Times New Roman" w:hAnsi="Times New Roman" w:cs="Times New Roman"/>
          <w:bCs/>
          <w:kern w:val="2"/>
        </w:rPr>
        <w:t>报告期内期间费用核查</w:t>
      </w:r>
    </w:p>
    <w:p w14:paraId="1AC78ED8" w14:textId="77777777" w:rsidR="00E76498" w:rsidRPr="00DA3766" w:rsidRDefault="00E76498" w:rsidP="00E76498">
      <w:pPr>
        <w:pStyle w:val="005"/>
        <w:spacing w:before="120" w:after="120"/>
        <w:ind w:firstLine="480"/>
      </w:pPr>
      <w:r>
        <w:rPr>
          <w:rFonts w:hint="eastAsia"/>
        </w:rPr>
        <w:t>会计师</w:t>
      </w:r>
      <w:r w:rsidRPr="00DA3766">
        <w:t>关于报告期内标的公司期间费用的具体核查情况如下：</w:t>
      </w:r>
    </w:p>
    <w:p w14:paraId="74BFBAD3" w14:textId="77777777" w:rsidR="00E76498" w:rsidRPr="00DA3766" w:rsidRDefault="00E76498" w:rsidP="00E76498">
      <w:pPr>
        <w:pStyle w:val="005"/>
        <w:spacing w:before="120" w:after="120"/>
        <w:ind w:firstLine="480"/>
      </w:pPr>
      <w:r w:rsidRPr="00DA3766">
        <w:t>A</w:t>
      </w:r>
      <w:r w:rsidRPr="00DA3766">
        <w:t>、了解标的公司相关内部控制制度，检查标的公司相关内部控制；</w:t>
      </w:r>
    </w:p>
    <w:p w14:paraId="7A6F1FFE" w14:textId="77777777" w:rsidR="00E76498" w:rsidRPr="00DA3766" w:rsidRDefault="00E76498" w:rsidP="00E76498">
      <w:pPr>
        <w:pStyle w:val="005"/>
        <w:spacing w:before="120" w:after="120"/>
        <w:ind w:firstLine="480"/>
      </w:pPr>
      <w:r w:rsidRPr="00DA3766">
        <w:t>B</w:t>
      </w:r>
      <w:r w:rsidRPr="00DA3766">
        <w:t>、获取标的公司期间费用明细表，对标的公司期间费用的变动执行分析性程序，分析变动的合理性，识别是否存在重大或异常变动；</w:t>
      </w:r>
    </w:p>
    <w:p w14:paraId="142B507B" w14:textId="77777777" w:rsidR="00E76498" w:rsidRPr="00DA3766" w:rsidRDefault="00E76498" w:rsidP="00E76498">
      <w:pPr>
        <w:pStyle w:val="005"/>
        <w:spacing w:before="120" w:after="120"/>
        <w:ind w:firstLine="480"/>
      </w:pPr>
      <w:r w:rsidRPr="00DA3766">
        <w:t>C</w:t>
      </w:r>
      <w:r w:rsidRPr="00DA3766">
        <w:t>、检查大额期间费用支出的记账凭证及附件，核查相关支出是否合理、审批手续是否健全、费用分类是否恰当；</w:t>
      </w:r>
    </w:p>
    <w:p w14:paraId="5CBB463D" w14:textId="77777777" w:rsidR="00E76498" w:rsidRPr="00DA3766" w:rsidRDefault="00E76498" w:rsidP="00E76498">
      <w:pPr>
        <w:pStyle w:val="005"/>
        <w:spacing w:before="120" w:after="120"/>
        <w:ind w:firstLine="480"/>
      </w:pPr>
      <w:r w:rsidRPr="00DA3766">
        <w:t>D</w:t>
      </w:r>
      <w:r w:rsidRPr="00DA3766">
        <w:t>、执行期间费用截止性测试，在资产负债表日前后标的公司确认的期间费用支出中选取样本，核查期间费用是否记录于恰当的会计期间。</w:t>
      </w:r>
    </w:p>
    <w:p w14:paraId="17827DE9" w14:textId="77777777" w:rsidR="00E76498" w:rsidRPr="00DA3766" w:rsidRDefault="00E76498" w:rsidP="00E76498">
      <w:pPr>
        <w:pStyle w:val="005"/>
        <w:spacing w:before="120" w:after="120"/>
        <w:ind w:firstLine="480"/>
      </w:pPr>
      <w:r w:rsidRPr="00DA3766">
        <w:rPr>
          <w:rFonts w:ascii="宋体" w:hAnsi="宋体" w:cs="宋体" w:hint="eastAsia"/>
        </w:rPr>
        <w:t>⑤</w:t>
      </w:r>
      <w:r w:rsidRPr="00DA3766">
        <w:t>核查意见</w:t>
      </w:r>
    </w:p>
    <w:p w14:paraId="04250EC4" w14:textId="77777777" w:rsidR="00E76498" w:rsidRPr="00DA3766" w:rsidRDefault="00E76498" w:rsidP="00E76498">
      <w:pPr>
        <w:pStyle w:val="005"/>
        <w:spacing w:before="120" w:after="120"/>
        <w:ind w:firstLine="480"/>
      </w:pPr>
      <w:r w:rsidRPr="00DA3766">
        <w:t>报告期内，标的公司对自然人客户、智能自助设备厂家和运营商客户、终端设备的销售具备真实性，交易规模具备合理性，成本与费用具备完整性。</w:t>
      </w:r>
    </w:p>
    <w:p w14:paraId="1CB434BF" w14:textId="77777777" w:rsidR="00E76498" w:rsidRPr="00DA3766" w:rsidRDefault="00E76498" w:rsidP="00E76498">
      <w:pPr>
        <w:pStyle w:val="005"/>
        <w:spacing w:before="120" w:after="120"/>
        <w:ind w:firstLine="480"/>
      </w:pPr>
      <w:r w:rsidRPr="00DA3766">
        <w:t>2</w:t>
      </w:r>
      <w:r w:rsidRPr="00DA3766">
        <w:t>）第三方回款核查情况</w:t>
      </w:r>
    </w:p>
    <w:p w14:paraId="48583810"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hint="eastAsia"/>
          <w:kern w:val="2"/>
        </w:rPr>
        <w:t>①</w:t>
      </w:r>
      <w:r w:rsidRPr="00DA3766">
        <w:rPr>
          <w:rFonts w:ascii="Times New Roman" w:hAnsi="Times New Roman" w:cs="Times New Roman"/>
          <w:kern w:val="2"/>
        </w:rPr>
        <w:t>核查程序</w:t>
      </w:r>
    </w:p>
    <w:p w14:paraId="7B6B8BE2"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A</w:t>
      </w:r>
      <w:r w:rsidRPr="00DA3766">
        <w:rPr>
          <w:rFonts w:ascii="Times New Roman" w:hAnsi="Times New Roman" w:cs="Times New Roman"/>
          <w:kern w:val="2"/>
        </w:rPr>
        <w:t>、查阅报告期内标的公司与第三方回款相关的销售明细账和银行流水明细；根据报告期内公司第三方回款统计记录的全部明细记录，核对代付金额的准确性及付款方和委托方之间的关系；</w:t>
      </w:r>
    </w:p>
    <w:p w14:paraId="67E267A4"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B</w:t>
      </w:r>
      <w:r w:rsidRPr="00DA3766">
        <w:rPr>
          <w:rFonts w:ascii="Times New Roman" w:hAnsi="Times New Roman" w:cs="Times New Roman"/>
          <w:kern w:val="2"/>
        </w:rPr>
        <w:t>、标的公司第三方回款相应的合同、物流单、签收单等资料；对于属于同一控制下企业代付情形，查看企查查进行核验；对于属于其他关系代付情形，了解客户与代付方关系。</w:t>
      </w:r>
    </w:p>
    <w:p w14:paraId="73AEF93C"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hint="eastAsia"/>
          <w:kern w:val="2"/>
        </w:rPr>
        <w:t>②</w:t>
      </w:r>
      <w:r w:rsidRPr="00DA3766">
        <w:rPr>
          <w:rFonts w:ascii="Times New Roman" w:hAnsi="Times New Roman" w:cs="Times New Roman"/>
          <w:kern w:val="2"/>
        </w:rPr>
        <w:t>核查意见</w:t>
      </w:r>
    </w:p>
    <w:p w14:paraId="1A9C59E7" w14:textId="77777777" w:rsidR="00E76498" w:rsidRPr="00DA3766" w:rsidRDefault="00E76498" w:rsidP="00E76498">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lastRenderedPageBreak/>
        <w:t>标的公司第三方回款具备合理性。标的公司及其相关人员与代付方不存在关联关系或其他利益安排。</w:t>
      </w:r>
    </w:p>
    <w:p w14:paraId="7B31A3FE" w14:textId="77777777" w:rsidR="00E76498" w:rsidRPr="000C4294" w:rsidRDefault="00E76498" w:rsidP="00E76498">
      <w:pPr>
        <w:widowControl w:val="0"/>
        <w:spacing w:before="120" w:after="120"/>
        <w:ind w:firstLine="480"/>
        <w:jc w:val="both"/>
        <w:rPr>
          <w:rFonts w:ascii="Times New Roman" w:hAnsi="Times New Roman" w:cs="Times New Roman"/>
          <w:bCs/>
          <w:kern w:val="2"/>
          <w:szCs w:val="22"/>
        </w:rPr>
      </w:pPr>
      <w:r w:rsidRPr="000C4294">
        <w:rPr>
          <w:rFonts w:ascii="Times New Roman" w:hAnsi="Times New Roman" w:cs="Times New Roman"/>
          <w:bCs/>
          <w:kern w:val="2"/>
          <w:szCs w:val="22"/>
        </w:rPr>
        <w:t>（</w:t>
      </w:r>
      <w:r w:rsidRPr="000C4294">
        <w:rPr>
          <w:rFonts w:ascii="Times New Roman" w:hAnsi="Times New Roman" w:cs="Times New Roman"/>
          <w:bCs/>
          <w:kern w:val="2"/>
          <w:szCs w:val="22"/>
        </w:rPr>
        <w:t>3</w:t>
      </w:r>
      <w:r w:rsidRPr="000C4294">
        <w:rPr>
          <w:rFonts w:ascii="Times New Roman" w:hAnsi="Times New Roman" w:cs="Times New Roman"/>
          <w:bCs/>
          <w:kern w:val="2"/>
          <w:szCs w:val="22"/>
        </w:rPr>
        <w:t>）报告期客户数量和单用户贡献变动及合理性，终端设备数量和单设备支付笔数、交易流水规模变动及合理性，新增客户地域及消费金额分布及合理性，是否存在单个终端客户大额、异常消费、相同</w:t>
      </w:r>
      <w:r w:rsidRPr="000C4294">
        <w:rPr>
          <w:rFonts w:ascii="Times New Roman" w:hAnsi="Times New Roman" w:cs="Times New Roman"/>
          <w:bCs/>
          <w:kern w:val="2"/>
          <w:szCs w:val="22"/>
        </w:rPr>
        <w:t>IP</w:t>
      </w:r>
      <w:r w:rsidRPr="000C4294">
        <w:rPr>
          <w:rFonts w:ascii="Times New Roman" w:hAnsi="Times New Roman" w:cs="Times New Roman"/>
          <w:bCs/>
          <w:kern w:val="2"/>
          <w:szCs w:val="22"/>
        </w:rPr>
        <w:t>异常消费、消费时间分布异常等异常情形，是否存在刷单、自充值等虚假交易情况，系统收款或交易金额与第三方支付渠道交易金额是否一致</w:t>
      </w:r>
    </w:p>
    <w:p w14:paraId="3A6D4681"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①</w:t>
      </w:r>
      <w:r w:rsidRPr="00DA3766">
        <w:rPr>
          <w:rFonts w:ascii="Times New Roman" w:hAnsi="Times New Roman" w:cs="Times New Roman"/>
          <w:kern w:val="2"/>
          <w:szCs w:val="22"/>
        </w:rPr>
        <w:t>标的公司业务数据情况</w:t>
      </w:r>
    </w:p>
    <w:p w14:paraId="05DD9A96"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系统接入的终端设备对应的支付笔数、交易流水规模逐渐上升，与标的公司业务规模持续拓展趋势一致。随着标的公司不断开拓市场，提升自身市场占有率，投放设备数量亦不断增长，进而导致单设备支付笔数有所下降，具有合理性。</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年上半年单用户贡献金额小幅下降，主要系标的公司业务应用场景主要为智慧生活、智慧零售及智慧出行等领域，上述应用场景的消费需求通常在暑假、国庆等集中于下半年的大型节日中更为旺盛所致。</w:t>
      </w:r>
    </w:p>
    <w:p w14:paraId="2180106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综上，报告期内，标的公司客户数量和单用户贡献变动具备合理性，终端设备数量和单设备支付笔数、交易流水规模变动具备合理性。</w:t>
      </w:r>
    </w:p>
    <w:p w14:paraId="490159AA"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②</w:t>
      </w:r>
      <w:r w:rsidRPr="00DA3766">
        <w:rPr>
          <w:rFonts w:ascii="Times New Roman" w:hAnsi="Times New Roman" w:cs="Times New Roman"/>
          <w:kern w:val="2"/>
          <w:szCs w:val="22"/>
        </w:rPr>
        <w:t>标的公司新增客户地域情况</w:t>
      </w:r>
    </w:p>
    <w:p w14:paraId="53D9B555"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报告期内，标的公司新增客户的前五大省份及对应的消费金额情况如下：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26"/>
        <w:gridCol w:w="1559"/>
        <w:gridCol w:w="2347"/>
        <w:gridCol w:w="2880"/>
      </w:tblGrid>
      <w:tr w:rsidR="00E76498" w:rsidRPr="00DA3766" w14:paraId="5A93D4BE" w14:textId="77777777" w:rsidTr="00F35D3D">
        <w:trPr>
          <w:trHeight w:val="397"/>
          <w:tblHeader/>
          <w:jc w:val="center"/>
        </w:trPr>
        <w:tc>
          <w:tcPr>
            <w:tcW w:w="1526" w:type="dxa"/>
            <w:shd w:val="clear" w:color="auto" w:fill="FFFFFF"/>
            <w:vAlign w:val="center"/>
          </w:tcPr>
          <w:p w14:paraId="620E7144"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区间</w:t>
            </w:r>
          </w:p>
        </w:tc>
        <w:tc>
          <w:tcPr>
            <w:tcW w:w="1559" w:type="dxa"/>
            <w:shd w:val="clear" w:color="auto" w:fill="FFFFFF"/>
            <w:vAlign w:val="center"/>
          </w:tcPr>
          <w:p w14:paraId="5F1C336A"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省份</w:t>
            </w:r>
          </w:p>
        </w:tc>
        <w:tc>
          <w:tcPr>
            <w:tcW w:w="2347" w:type="dxa"/>
            <w:shd w:val="clear" w:color="auto" w:fill="FFFFFF"/>
            <w:vAlign w:val="center"/>
          </w:tcPr>
          <w:p w14:paraId="57ED510F"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新增支付用户数（万人）</w:t>
            </w:r>
          </w:p>
        </w:tc>
        <w:tc>
          <w:tcPr>
            <w:tcW w:w="2880" w:type="dxa"/>
            <w:shd w:val="clear" w:color="auto" w:fill="FFFFFF"/>
            <w:vAlign w:val="center"/>
          </w:tcPr>
          <w:p w14:paraId="464B8756"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新增支付用户对应支付流水（万元）</w:t>
            </w:r>
          </w:p>
        </w:tc>
      </w:tr>
      <w:tr w:rsidR="00E76498" w:rsidRPr="00DA3766" w14:paraId="3A709B6B" w14:textId="77777777" w:rsidTr="00F35D3D">
        <w:trPr>
          <w:trHeight w:val="397"/>
          <w:jc w:val="center"/>
        </w:trPr>
        <w:tc>
          <w:tcPr>
            <w:tcW w:w="1526" w:type="dxa"/>
            <w:vMerge w:val="restart"/>
            <w:shd w:val="solid" w:color="FFFFFF" w:fill="FFFFFF"/>
            <w:vAlign w:val="center"/>
            <w:hideMark/>
          </w:tcPr>
          <w:p w14:paraId="74556971"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0BBB0DE3"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22107E6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1,137.32</w:t>
            </w:r>
          </w:p>
        </w:tc>
        <w:tc>
          <w:tcPr>
            <w:tcW w:w="2880" w:type="dxa"/>
            <w:shd w:val="solid" w:color="FFFFFF" w:fill="FFFFFF"/>
            <w:vAlign w:val="center"/>
            <w:hideMark/>
          </w:tcPr>
          <w:p w14:paraId="6DCF07F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35,310.18</w:t>
            </w:r>
          </w:p>
        </w:tc>
      </w:tr>
      <w:tr w:rsidR="00E76498" w:rsidRPr="00DA3766" w14:paraId="174A3DB5" w14:textId="77777777" w:rsidTr="00F35D3D">
        <w:trPr>
          <w:trHeight w:val="397"/>
          <w:jc w:val="center"/>
        </w:trPr>
        <w:tc>
          <w:tcPr>
            <w:tcW w:w="1526" w:type="dxa"/>
            <w:vMerge/>
            <w:shd w:val="solid" w:color="FFFFFF" w:fill="FFFFFF"/>
            <w:vAlign w:val="center"/>
            <w:hideMark/>
          </w:tcPr>
          <w:p w14:paraId="0D071CE2"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4EBC8BD"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4480F52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596.04</w:t>
            </w:r>
          </w:p>
        </w:tc>
        <w:tc>
          <w:tcPr>
            <w:tcW w:w="2880" w:type="dxa"/>
            <w:shd w:val="solid" w:color="FFFFFF" w:fill="FFFFFF"/>
            <w:vAlign w:val="center"/>
            <w:hideMark/>
          </w:tcPr>
          <w:p w14:paraId="224A4BC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17,431.87</w:t>
            </w:r>
          </w:p>
        </w:tc>
      </w:tr>
      <w:tr w:rsidR="00E76498" w:rsidRPr="00DA3766" w14:paraId="50CD5E1F" w14:textId="77777777" w:rsidTr="00F35D3D">
        <w:trPr>
          <w:trHeight w:val="397"/>
          <w:jc w:val="center"/>
        </w:trPr>
        <w:tc>
          <w:tcPr>
            <w:tcW w:w="1526" w:type="dxa"/>
            <w:vMerge/>
            <w:shd w:val="solid" w:color="FFFFFF" w:fill="FFFFFF"/>
            <w:vAlign w:val="center"/>
            <w:hideMark/>
          </w:tcPr>
          <w:p w14:paraId="162DFA82"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CF01814"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21D8A2B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570.07</w:t>
            </w:r>
          </w:p>
        </w:tc>
        <w:tc>
          <w:tcPr>
            <w:tcW w:w="2880" w:type="dxa"/>
            <w:shd w:val="solid" w:color="FFFFFF" w:fill="FFFFFF"/>
            <w:vAlign w:val="center"/>
            <w:hideMark/>
          </w:tcPr>
          <w:p w14:paraId="0EE70C3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17,560.55</w:t>
            </w:r>
          </w:p>
        </w:tc>
      </w:tr>
      <w:tr w:rsidR="00E76498" w:rsidRPr="00DA3766" w14:paraId="3388A6DC" w14:textId="77777777" w:rsidTr="00F35D3D">
        <w:trPr>
          <w:trHeight w:val="397"/>
          <w:jc w:val="center"/>
        </w:trPr>
        <w:tc>
          <w:tcPr>
            <w:tcW w:w="1526" w:type="dxa"/>
            <w:vMerge/>
            <w:shd w:val="solid" w:color="FFFFFF" w:fill="FFFFFF"/>
            <w:vAlign w:val="center"/>
            <w:hideMark/>
          </w:tcPr>
          <w:p w14:paraId="71A09C8E"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39A2F6DC"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3BE538C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451.48</w:t>
            </w:r>
          </w:p>
        </w:tc>
        <w:tc>
          <w:tcPr>
            <w:tcW w:w="2880" w:type="dxa"/>
            <w:shd w:val="solid" w:color="FFFFFF" w:fill="FFFFFF"/>
            <w:vAlign w:val="center"/>
            <w:hideMark/>
          </w:tcPr>
          <w:p w14:paraId="63BF0DF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11,149.95</w:t>
            </w:r>
          </w:p>
        </w:tc>
      </w:tr>
      <w:tr w:rsidR="00E76498" w:rsidRPr="00DA3766" w14:paraId="495913EA" w14:textId="77777777" w:rsidTr="00F35D3D">
        <w:trPr>
          <w:trHeight w:val="397"/>
          <w:jc w:val="center"/>
        </w:trPr>
        <w:tc>
          <w:tcPr>
            <w:tcW w:w="1526" w:type="dxa"/>
            <w:vMerge/>
            <w:shd w:val="solid" w:color="FFFFFF" w:fill="FFFFFF"/>
            <w:vAlign w:val="center"/>
            <w:hideMark/>
          </w:tcPr>
          <w:p w14:paraId="1C761ABE"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9ECB62C"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0915BD4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419.61</w:t>
            </w:r>
          </w:p>
        </w:tc>
        <w:tc>
          <w:tcPr>
            <w:tcW w:w="2880" w:type="dxa"/>
            <w:shd w:val="solid" w:color="FFFFFF" w:fill="FFFFFF"/>
            <w:vAlign w:val="center"/>
            <w:hideMark/>
          </w:tcPr>
          <w:p w14:paraId="220C34F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9,973.69</w:t>
            </w:r>
          </w:p>
        </w:tc>
      </w:tr>
      <w:tr w:rsidR="00E76498" w:rsidRPr="00DA3766" w14:paraId="64EB9B58" w14:textId="77777777" w:rsidTr="00F35D3D">
        <w:trPr>
          <w:trHeight w:val="397"/>
          <w:jc w:val="center"/>
        </w:trPr>
        <w:tc>
          <w:tcPr>
            <w:tcW w:w="1526" w:type="dxa"/>
            <w:vMerge w:val="restart"/>
            <w:shd w:val="solid" w:color="FFFFFF" w:fill="FFFFFF"/>
            <w:vAlign w:val="center"/>
            <w:hideMark/>
          </w:tcPr>
          <w:p w14:paraId="795DE194"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21A3E859"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2815624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934.68</w:t>
            </w:r>
          </w:p>
        </w:tc>
        <w:tc>
          <w:tcPr>
            <w:tcW w:w="2880" w:type="dxa"/>
            <w:shd w:val="solid" w:color="FFFFFF" w:fill="FFFFFF"/>
            <w:vAlign w:val="center"/>
            <w:hideMark/>
          </w:tcPr>
          <w:p w14:paraId="5768A76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27,766.73</w:t>
            </w:r>
          </w:p>
        </w:tc>
      </w:tr>
      <w:tr w:rsidR="00E76498" w:rsidRPr="00DA3766" w14:paraId="47E75F79" w14:textId="77777777" w:rsidTr="00F35D3D">
        <w:trPr>
          <w:trHeight w:val="397"/>
          <w:jc w:val="center"/>
        </w:trPr>
        <w:tc>
          <w:tcPr>
            <w:tcW w:w="1526" w:type="dxa"/>
            <w:vMerge/>
            <w:shd w:val="solid" w:color="FFFFFF" w:fill="FFFFFF"/>
            <w:vAlign w:val="center"/>
            <w:hideMark/>
          </w:tcPr>
          <w:p w14:paraId="3DB37941"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293F76E0"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02C0351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473.67</w:t>
            </w:r>
          </w:p>
        </w:tc>
        <w:tc>
          <w:tcPr>
            <w:tcW w:w="2880" w:type="dxa"/>
            <w:shd w:val="solid" w:color="FFFFFF" w:fill="FFFFFF"/>
            <w:vAlign w:val="center"/>
            <w:hideMark/>
          </w:tcPr>
          <w:p w14:paraId="22C0577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12,133.26</w:t>
            </w:r>
          </w:p>
        </w:tc>
      </w:tr>
      <w:tr w:rsidR="00E76498" w:rsidRPr="00DA3766" w14:paraId="6837B9E2" w14:textId="77777777" w:rsidTr="00F35D3D">
        <w:trPr>
          <w:trHeight w:val="397"/>
          <w:jc w:val="center"/>
        </w:trPr>
        <w:tc>
          <w:tcPr>
            <w:tcW w:w="1526" w:type="dxa"/>
            <w:vMerge/>
            <w:shd w:val="solid" w:color="FFFFFF" w:fill="FFFFFF"/>
            <w:vAlign w:val="center"/>
            <w:hideMark/>
          </w:tcPr>
          <w:p w14:paraId="12467223"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33955FA3"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0482CF8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466.52</w:t>
            </w:r>
          </w:p>
        </w:tc>
        <w:tc>
          <w:tcPr>
            <w:tcW w:w="2880" w:type="dxa"/>
            <w:shd w:val="solid" w:color="FFFFFF" w:fill="FFFFFF"/>
            <w:vAlign w:val="center"/>
            <w:hideMark/>
          </w:tcPr>
          <w:p w14:paraId="2960235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12,496.28</w:t>
            </w:r>
          </w:p>
        </w:tc>
      </w:tr>
      <w:tr w:rsidR="00E76498" w:rsidRPr="00DA3766" w14:paraId="418041D0" w14:textId="77777777" w:rsidTr="00F35D3D">
        <w:trPr>
          <w:trHeight w:val="397"/>
          <w:jc w:val="center"/>
        </w:trPr>
        <w:tc>
          <w:tcPr>
            <w:tcW w:w="1526" w:type="dxa"/>
            <w:vMerge/>
            <w:shd w:val="solid" w:color="FFFFFF" w:fill="FFFFFF"/>
            <w:vAlign w:val="center"/>
            <w:hideMark/>
          </w:tcPr>
          <w:p w14:paraId="3CE2FCAD"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B045010"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1F80602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382.20</w:t>
            </w:r>
          </w:p>
        </w:tc>
        <w:tc>
          <w:tcPr>
            <w:tcW w:w="2880" w:type="dxa"/>
            <w:shd w:val="solid" w:color="FFFFFF" w:fill="FFFFFF"/>
            <w:vAlign w:val="center"/>
            <w:hideMark/>
          </w:tcPr>
          <w:p w14:paraId="1AF4EEF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9,192.69</w:t>
            </w:r>
          </w:p>
        </w:tc>
      </w:tr>
      <w:tr w:rsidR="00E76498" w:rsidRPr="00DA3766" w14:paraId="17189A58" w14:textId="77777777" w:rsidTr="00F35D3D">
        <w:trPr>
          <w:trHeight w:val="397"/>
          <w:jc w:val="center"/>
        </w:trPr>
        <w:tc>
          <w:tcPr>
            <w:tcW w:w="1526" w:type="dxa"/>
            <w:vMerge/>
            <w:shd w:val="solid" w:color="FFFFFF" w:fill="FFFFFF"/>
            <w:vAlign w:val="center"/>
            <w:hideMark/>
          </w:tcPr>
          <w:p w14:paraId="7069985C"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1E06EC6C"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0AA8AD6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362.97</w:t>
            </w:r>
          </w:p>
        </w:tc>
        <w:tc>
          <w:tcPr>
            <w:tcW w:w="2880" w:type="dxa"/>
            <w:shd w:val="solid" w:color="FFFFFF" w:fill="FFFFFF"/>
            <w:vAlign w:val="center"/>
            <w:hideMark/>
          </w:tcPr>
          <w:p w14:paraId="0410E47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8,800.60</w:t>
            </w:r>
          </w:p>
        </w:tc>
      </w:tr>
      <w:tr w:rsidR="00E76498" w:rsidRPr="00DA3766" w14:paraId="3BBFCCC4" w14:textId="77777777" w:rsidTr="00F35D3D">
        <w:trPr>
          <w:trHeight w:val="397"/>
          <w:jc w:val="center"/>
        </w:trPr>
        <w:tc>
          <w:tcPr>
            <w:tcW w:w="1526" w:type="dxa"/>
            <w:vMerge w:val="restart"/>
            <w:shd w:val="solid" w:color="FFFFFF" w:fill="FFFFFF"/>
            <w:vAlign w:val="center"/>
            <w:hideMark/>
          </w:tcPr>
          <w:p w14:paraId="25E5ECE6"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2025</w:t>
            </w:r>
            <w:r w:rsidRPr="00DA3766">
              <w:rPr>
                <w:rFonts w:ascii="Times New Roman" w:hAnsi="Times New Roman" w:cs="Times New Roman"/>
                <w:color w:val="000000"/>
                <w:kern w:val="2"/>
                <w:sz w:val="21"/>
                <w:szCs w:val="21"/>
              </w:rPr>
              <w:t>年</w:t>
            </w:r>
            <w:r w:rsidRPr="00DA3766">
              <w:rPr>
                <w:rFonts w:ascii="Times New Roman" w:hAnsi="Times New Roman" w:cs="Times New Roman"/>
                <w:color w:val="000000"/>
                <w:kern w:val="2"/>
                <w:sz w:val="21"/>
                <w:szCs w:val="21"/>
              </w:rPr>
              <w:t>1-6</w:t>
            </w:r>
            <w:r w:rsidRPr="00DA3766">
              <w:rPr>
                <w:rFonts w:ascii="Times New Roman" w:hAnsi="Times New Roman" w:cs="Times New Roman"/>
                <w:color w:val="000000"/>
                <w:kern w:val="2"/>
                <w:sz w:val="21"/>
                <w:szCs w:val="21"/>
              </w:rPr>
              <w:t>月</w:t>
            </w:r>
          </w:p>
        </w:tc>
        <w:tc>
          <w:tcPr>
            <w:tcW w:w="1559" w:type="dxa"/>
            <w:shd w:val="solid" w:color="FFFFFF" w:fill="FFFFFF"/>
            <w:vAlign w:val="center"/>
            <w:hideMark/>
          </w:tcPr>
          <w:p w14:paraId="00BDFF9C"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1403C52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394.20</w:t>
            </w:r>
          </w:p>
        </w:tc>
        <w:tc>
          <w:tcPr>
            <w:tcW w:w="2880" w:type="dxa"/>
            <w:shd w:val="solid" w:color="FFFFFF" w:fill="FFFFFF"/>
            <w:vAlign w:val="center"/>
            <w:hideMark/>
          </w:tcPr>
          <w:p w14:paraId="6FAF864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9,471.74</w:t>
            </w:r>
          </w:p>
        </w:tc>
      </w:tr>
      <w:tr w:rsidR="00E76498" w:rsidRPr="00DA3766" w14:paraId="0DDAA7D7" w14:textId="77777777" w:rsidTr="00F35D3D">
        <w:trPr>
          <w:trHeight w:val="397"/>
          <w:jc w:val="center"/>
        </w:trPr>
        <w:tc>
          <w:tcPr>
            <w:tcW w:w="1526" w:type="dxa"/>
            <w:vMerge/>
            <w:shd w:val="solid" w:color="FFFFFF" w:fill="FFFFFF"/>
            <w:vAlign w:val="center"/>
          </w:tcPr>
          <w:p w14:paraId="481F5172"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4845EDF"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153896C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239.42</w:t>
            </w:r>
          </w:p>
        </w:tc>
        <w:tc>
          <w:tcPr>
            <w:tcW w:w="2880" w:type="dxa"/>
            <w:shd w:val="solid" w:color="FFFFFF" w:fill="FFFFFF"/>
            <w:vAlign w:val="center"/>
            <w:hideMark/>
          </w:tcPr>
          <w:p w14:paraId="36FC732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4,824.25</w:t>
            </w:r>
          </w:p>
        </w:tc>
      </w:tr>
      <w:tr w:rsidR="00E76498" w:rsidRPr="00DA3766" w14:paraId="2480CC62" w14:textId="77777777" w:rsidTr="00F35D3D">
        <w:trPr>
          <w:trHeight w:val="397"/>
          <w:jc w:val="center"/>
        </w:trPr>
        <w:tc>
          <w:tcPr>
            <w:tcW w:w="1526" w:type="dxa"/>
            <w:vMerge/>
            <w:shd w:val="solid" w:color="FFFFFF" w:fill="FFFFFF"/>
            <w:vAlign w:val="center"/>
          </w:tcPr>
          <w:p w14:paraId="1865A293"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0E1A8F1D"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2BF0F75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204.82</w:t>
            </w:r>
          </w:p>
        </w:tc>
        <w:tc>
          <w:tcPr>
            <w:tcW w:w="2880" w:type="dxa"/>
            <w:shd w:val="solid" w:color="FFFFFF" w:fill="FFFFFF"/>
            <w:vAlign w:val="center"/>
            <w:hideMark/>
          </w:tcPr>
          <w:p w14:paraId="564EB4F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4,354.16</w:t>
            </w:r>
          </w:p>
        </w:tc>
      </w:tr>
      <w:tr w:rsidR="00E76498" w:rsidRPr="00DA3766" w14:paraId="55F16941" w14:textId="77777777" w:rsidTr="00F35D3D">
        <w:trPr>
          <w:trHeight w:val="397"/>
          <w:jc w:val="center"/>
        </w:trPr>
        <w:tc>
          <w:tcPr>
            <w:tcW w:w="1526" w:type="dxa"/>
            <w:vMerge/>
            <w:shd w:val="solid" w:color="FFFFFF" w:fill="FFFFFF"/>
            <w:vAlign w:val="center"/>
          </w:tcPr>
          <w:p w14:paraId="7C2D99F9"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C78E582"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4509966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158.93</w:t>
            </w:r>
          </w:p>
        </w:tc>
        <w:tc>
          <w:tcPr>
            <w:tcW w:w="2880" w:type="dxa"/>
            <w:shd w:val="solid" w:color="FFFFFF" w:fill="FFFFFF"/>
            <w:vAlign w:val="center"/>
            <w:hideMark/>
          </w:tcPr>
          <w:p w14:paraId="1BDBAFB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3,283.10</w:t>
            </w:r>
          </w:p>
        </w:tc>
      </w:tr>
      <w:tr w:rsidR="00E76498" w:rsidRPr="00DA3766" w14:paraId="1C056D32" w14:textId="77777777" w:rsidTr="00F35D3D">
        <w:trPr>
          <w:trHeight w:val="397"/>
          <w:jc w:val="center"/>
        </w:trPr>
        <w:tc>
          <w:tcPr>
            <w:tcW w:w="1526" w:type="dxa"/>
            <w:vMerge/>
            <w:shd w:val="solid" w:color="FFFFFF" w:fill="FFFFFF"/>
            <w:vAlign w:val="center"/>
          </w:tcPr>
          <w:p w14:paraId="295FD807"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5CEF503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63E55FB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155.57</w:t>
            </w:r>
          </w:p>
        </w:tc>
        <w:tc>
          <w:tcPr>
            <w:tcW w:w="2880" w:type="dxa"/>
            <w:shd w:val="solid" w:color="FFFFFF" w:fill="FFFFFF"/>
            <w:vAlign w:val="center"/>
            <w:hideMark/>
          </w:tcPr>
          <w:p w14:paraId="7195D47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3,717.52</w:t>
            </w:r>
          </w:p>
        </w:tc>
      </w:tr>
    </w:tbl>
    <w:p w14:paraId="173ACA0B" w14:textId="77777777" w:rsidR="00E76498" w:rsidRPr="00DA3766" w:rsidRDefault="00E76498" w:rsidP="00E76498">
      <w:pPr>
        <w:pStyle w:val="005"/>
        <w:spacing w:before="120" w:after="120"/>
        <w:ind w:firstLine="480"/>
      </w:pPr>
      <w:r w:rsidRPr="00DA3766">
        <w:t>报告期内，标的公司各期新增支付用户集中于经济较发达的省份（如广东省、江苏省、浙江省等）及人口基数较大的省份（如山东省、河南省等），具有合理性。</w:t>
      </w:r>
    </w:p>
    <w:p w14:paraId="4565C849"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③</w:t>
      </w:r>
      <w:r w:rsidRPr="00DA3766">
        <w:rPr>
          <w:rFonts w:ascii="Times New Roman" w:hAnsi="Times New Roman" w:cs="Times New Roman"/>
          <w:kern w:val="2"/>
          <w:szCs w:val="22"/>
        </w:rPr>
        <w:t>标的公司新增客户消费金额按区间分布情况</w:t>
      </w:r>
    </w:p>
    <w:p w14:paraId="6CC16C83" w14:textId="77777777" w:rsidR="00E76498" w:rsidRPr="00DA3766" w:rsidRDefault="00E76498" w:rsidP="00E76498">
      <w:pPr>
        <w:pStyle w:val="005"/>
        <w:spacing w:before="120" w:after="120"/>
        <w:ind w:firstLine="480"/>
      </w:pPr>
      <w:r w:rsidRPr="00DA3766">
        <w:t>报告期各期，新增用户消费金额按区间划分情况如下：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60"/>
        <w:gridCol w:w="1417"/>
        <w:gridCol w:w="1418"/>
        <w:gridCol w:w="1134"/>
        <w:gridCol w:w="1984"/>
        <w:gridCol w:w="992"/>
      </w:tblGrid>
      <w:tr w:rsidR="00E76498" w:rsidRPr="00DA3766" w14:paraId="035242F4" w14:textId="77777777" w:rsidTr="00F35D3D">
        <w:trPr>
          <w:trHeight w:val="397"/>
          <w:tblHeader/>
          <w:jc w:val="center"/>
        </w:trPr>
        <w:tc>
          <w:tcPr>
            <w:tcW w:w="1560" w:type="dxa"/>
            <w:shd w:val="clear" w:color="auto" w:fill="FFFFFF"/>
            <w:vAlign w:val="center"/>
            <w:hideMark/>
          </w:tcPr>
          <w:p w14:paraId="536CCF2E"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年度</w:t>
            </w:r>
          </w:p>
        </w:tc>
        <w:tc>
          <w:tcPr>
            <w:tcW w:w="1417" w:type="dxa"/>
            <w:shd w:val="clear" w:color="auto" w:fill="FFFFFF"/>
            <w:vAlign w:val="center"/>
            <w:hideMark/>
          </w:tcPr>
          <w:p w14:paraId="1054FFA4"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消费区间（元）</w:t>
            </w:r>
          </w:p>
        </w:tc>
        <w:tc>
          <w:tcPr>
            <w:tcW w:w="1418" w:type="dxa"/>
            <w:shd w:val="clear" w:color="auto" w:fill="FFFFFF"/>
            <w:vAlign w:val="center"/>
            <w:hideMark/>
          </w:tcPr>
          <w:p w14:paraId="27DFE795"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新增支付用户数（万人）</w:t>
            </w:r>
          </w:p>
        </w:tc>
        <w:tc>
          <w:tcPr>
            <w:tcW w:w="1134" w:type="dxa"/>
            <w:shd w:val="clear" w:color="auto" w:fill="FFFFFF"/>
            <w:vAlign w:val="center"/>
            <w:hideMark/>
          </w:tcPr>
          <w:p w14:paraId="53C41106"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c>
          <w:tcPr>
            <w:tcW w:w="1984" w:type="dxa"/>
            <w:shd w:val="clear" w:color="auto" w:fill="FFFFFF"/>
            <w:vAlign w:val="center"/>
            <w:hideMark/>
          </w:tcPr>
          <w:p w14:paraId="23CE017A"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新增支付用户对应支付流水（万元）</w:t>
            </w:r>
          </w:p>
        </w:tc>
        <w:tc>
          <w:tcPr>
            <w:tcW w:w="992" w:type="dxa"/>
            <w:shd w:val="clear" w:color="auto" w:fill="FFFFFF"/>
            <w:vAlign w:val="center"/>
            <w:hideMark/>
          </w:tcPr>
          <w:p w14:paraId="311B672F" w14:textId="77777777" w:rsidR="00E76498" w:rsidRPr="00DA3766" w:rsidRDefault="00E76498" w:rsidP="00F35D3D">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r>
      <w:tr w:rsidR="00E76498" w:rsidRPr="00DA3766" w14:paraId="5C93A330" w14:textId="77777777" w:rsidTr="00F35D3D">
        <w:trPr>
          <w:trHeight w:val="397"/>
          <w:jc w:val="center"/>
        </w:trPr>
        <w:tc>
          <w:tcPr>
            <w:tcW w:w="1560" w:type="dxa"/>
            <w:vMerge w:val="restart"/>
            <w:shd w:val="solid" w:color="FFFFFF" w:fill="FFFFFF"/>
            <w:vAlign w:val="center"/>
            <w:hideMark/>
          </w:tcPr>
          <w:p w14:paraId="05DF4C0F"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62757E84"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50837F1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7,582.06</w:t>
            </w:r>
          </w:p>
        </w:tc>
        <w:tc>
          <w:tcPr>
            <w:tcW w:w="1134" w:type="dxa"/>
            <w:shd w:val="solid" w:color="FFFFFF" w:fill="FFFFFF"/>
            <w:vAlign w:val="center"/>
            <w:hideMark/>
          </w:tcPr>
          <w:p w14:paraId="5FAF442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96.48%</w:t>
            </w:r>
          </w:p>
        </w:tc>
        <w:tc>
          <w:tcPr>
            <w:tcW w:w="1984" w:type="dxa"/>
            <w:shd w:val="solid" w:color="FFFFFF" w:fill="FFFFFF"/>
            <w:vAlign w:val="center"/>
            <w:hideMark/>
          </w:tcPr>
          <w:p w14:paraId="61D7AD1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155,517.00</w:t>
            </w:r>
          </w:p>
        </w:tc>
        <w:tc>
          <w:tcPr>
            <w:tcW w:w="992" w:type="dxa"/>
            <w:shd w:val="solid" w:color="FFFFFF" w:fill="FFFFFF"/>
            <w:vAlign w:val="center"/>
            <w:hideMark/>
          </w:tcPr>
          <w:p w14:paraId="2A1757E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73.12%</w:t>
            </w:r>
          </w:p>
        </w:tc>
      </w:tr>
      <w:tr w:rsidR="00E76498" w:rsidRPr="00DA3766" w14:paraId="00B2CAD3" w14:textId="77777777" w:rsidTr="00F35D3D">
        <w:trPr>
          <w:trHeight w:val="397"/>
          <w:jc w:val="center"/>
        </w:trPr>
        <w:tc>
          <w:tcPr>
            <w:tcW w:w="1560" w:type="dxa"/>
            <w:vMerge/>
            <w:shd w:val="solid" w:color="FFFFFF" w:fill="FFFFFF"/>
            <w:vAlign w:val="center"/>
            <w:hideMark/>
          </w:tcPr>
          <w:p w14:paraId="26E84EB7"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92099FF"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32C0AB7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266.84</w:t>
            </w:r>
          </w:p>
        </w:tc>
        <w:tc>
          <w:tcPr>
            <w:tcW w:w="1134" w:type="dxa"/>
            <w:shd w:val="solid" w:color="FFFFFF" w:fill="FFFFFF"/>
            <w:vAlign w:val="center"/>
            <w:hideMark/>
          </w:tcPr>
          <w:p w14:paraId="247F00A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3.40%</w:t>
            </w:r>
          </w:p>
        </w:tc>
        <w:tc>
          <w:tcPr>
            <w:tcW w:w="1984" w:type="dxa"/>
            <w:shd w:val="solid" w:color="FFFFFF" w:fill="FFFFFF"/>
            <w:vAlign w:val="center"/>
            <w:hideMark/>
          </w:tcPr>
          <w:p w14:paraId="3748A2E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46,499.99</w:t>
            </w:r>
          </w:p>
        </w:tc>
        <w:tc>
          <w:tcPr>
            <w:tcW w:w="992" w:type="dxa"/>
            <w:shd w:val="solid" w:color="FFFFFF" w:fill="FFFFFF"/>
            <w:vAlign w:val="center"/>
            <w:hideMark/>
          </w:tcPr>
          <w:p w14:paraId="789ED73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21.86%</w:t>
            </w:r>
          </w:p>
        </w:tc>
      </w:tr>
      <w:tr w:rsidR="00E76498" w:rsidRPr="00DA3766" w14:paraId="388A0CFA" w14:textId="77777777" w:rsidTr="00F35D3D">
        <w:trPr>
          <w:trHeight w:val="397"/>
          <w:jc w:val="center"/>
        </w:trPr>
        <w:tc>
          <w:tcPr>
            <w:tcW w:w="1560" w:type="dxa"/>
            <w:vMerge/>
            <w:shd w:val="solid" w:color="FFFFFF" w:fill="FFFFFF"/>
            <w:vAlign w:val="center"/>
            <w:hideMark/>
          </w:tcPr>
          <w:p w14:paraId="661BA78A"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4DF73D63"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20FAE59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7.69</w:t>
            </w:r>
          </w:p>
        </w:tc>
        <w:tc>
          <w:tcPr>
            <w:tcW w:w="1134" w:type="dxa"/>
            <w:shd w:val="solid" w:color="FFFFFF" w:fill="FFFFFF"/>
            <w:vAlign w:val="center"/>
            <w:hideMark/>
          </w:tcPr>
          <w:p w14:paraId="5447B26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0.10%</w:t>
            </w:r>
          </w:p>
        </w:tc>
        <w:tc>
          <w:tcPr>
            <w:tcW w:w="1984" w:type="dxa"/>
            <w:shd w:val="solid" w:color="FFFFFF" w:fill="FFFFFF"/>
            <w:vAlign w:val="center"/>
            <w:hideMark/>
          </w:tcPr>
          <w:p w14:paraId="5D9397E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5,137.97</w:t>
            </w:r>
          </w:p>
        </w:tc>
        <w:tc>
          <w:tcPr>
            <w:tcW w:w="992" w:type="dxa"/>
            <w:shd w:val="solid" w:color="FFFFFF" w:fill="FFFFFF"/>
            <w:vAlign w:val="center"/>
            <w:hideMark/>
          </w:tcPr>
          <w:p w14:paraId="0237FA4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2.42%</w:t>
            </w:r>
          </w:p>
        </w:tc>
      </w:tr>
      <w:tr w:rsidR="00E76498" w:rsidRPr="00DA3766" w14:paraId="6224E0BA" w14:textId="77777777" w:rsidTr="00F35D3D">
        <w:trPr>
          <w:trHeight w:val="397"/>
          <w:jc w:val="center"/>
        </w:trPr>
        <w:tc>
          <w:tcPr>
            <w:tcW w:w="1560" w:type="dxa"/>
            <w:vMerge/>
            <w:shd w:val="solid" w:color="FFFFFF" w:fill="FFFFFF"/>
            <w:vAlign w:val="center"/>
          </w:tcPr>
          <w:p w14:paraId="2320A4B9"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365C05C7"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0356827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2.41</w:t>
            </w:r>
          </w:p>
        </w:tc>
        <w:tc>
          <w:tcPr>
            <w:tcW w:w="1134" w:type="dxa"/>
            <w:shd w:val="solid" w:color="FFFFFF" w:fill="FFFFFF"/>
            <w:vAlign w:val="center"/>
          </w:tcPr>
          <w:p w14:paraId="28D769D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0.03%</w:t>
            </w:r>
          </w:p>
        </w:tc>
        <w:tc>
          <w:tcPr>
            <w:tcW w:w="1984" w:type="dxa"/>
            <w:shd w:val="solid" w:color="FFFFFF" w:fill="FFFFFF"/>
            <w:vAlign w:val="center"/>
          </w:tcPr>
          <w:p w14:paraId="6B0444C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5,528.41</w:t>
            </w:r>
          </w:p>
        </w:tc>
        <w:tc>
          <w:tcPr>
            <w:tcW w:w="992" w:type="dxa"/>
            <w:shd w:val="solid" w:color="FFFFFF" w:fill="FFFFFF"/>
            <w:vAlign w:val="center"/>
          </w:tcPr>
          <w:p w14:paraId="1DD07BA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E76498" w:rsidRPr="00DA3766" w14:paraId="189949B7" w14:textId="77777777" w:rsidTr="00F35D3D">
        <w:trPr>
          <w:trHeight w:val="397"/>
          <w:jc w:val="center"/>
        </w:trPr>
        <w:tc>
          <w:tcPr>
            <w:tcW w:w="1560" w:type="dxa"/>
            <w:vMerge/>
            <w:shd w:val="solid" w:color="FFFFFF" w:fill="FFFFFF"/>
            <w:vAlign w:val="center"/>
            <w:hideMark/>
          </w:tcPr>
          <w:p w14:paraId="3BCE33B6"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70A2956C"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284B34F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7,859.01</w:t>
            </w:r>
          </w:p>
        </w:tc>
        <w:tc>
          <w:tcPr>
            <w:tcW w:w="1134" w:type="dxa"/>
            <w:shd w:val="solid" w:color="FFFFFF" w:fill="FFFFFF"/>
            <w:vAlign w:val="center"/>
            <w:hideMark/>
          </w:tcPr>
          <w:p w14:paraId="683AB9D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2FF796F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212,683.37</w:t>
            </w:r>
          </w:p>
        </w:tc>
        <w:tc>
          <w:tcPr>
            <w:tcW w:w="992" w:type="dxa"/>
            <w:shd w:val="solid" w:color="FFFFFF" w:fill="FFFFFF"/>
            <w:vAlign w:val="center"/>
            <w:hideMark/>
          </w:tcPr>
          <w:p w14:paraId="4866535F"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E76498" w:rsidRPr="00DA3766" w14:paraId="208E4FF9" w14:textId="77777777" w:rsidTr="00F35D3D">
        <w:trPr>
          <w:trHeight w:val="397"/>
          <w:jc w:val="center"/>
        </w:trPr>
        <w:tc>
          <w:tcPr>
            <w:tcW w:w="1560" w:type="dxa"/>
            <w:vMerge w:val="restart"/>
            <w:shd w:val="solid" w:color="FFFFFF" w:fill="FFFFFF"/>
            <w:vAlign w:val="center"/>
            <w:hideMark/>
          </w:tcPr>
          <w:p w14:paraId="4BADC207"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63F96A7F"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72776FD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6,366.88</w:t>
            </w:r>
          </w:p>
        </w:tc>
        <w:tc>
          <w:tcPr>
            <w:tcW w:w="1134" w:type="dxa"/>
            <w:shd w:val="solid" w:color="FFFFFF" w:fill="FFFFFF"/>
            <w:vAlign w:val="center"/>
            <w:hideMark/>
          </w:tcPr>
          <w:p w14:paraId="6B096B0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96.97%</w:t>
            </w:r>
          </w:p>
        </w:tc>
        <w:tc>
          <w:tcPr>
            <w:tcW w:w="1984" w:type="dxa"/>
            <w:shd w:val="solid" w:color="FFFFFF" w:fill="FFFFFF"/>
            <w:vAlign w:val="center"/>
            <w:hideMark/>
          </w:tcPr>
          <w:p w14:paraId="635CF8E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127,149.83</w:t>
            </w:r>
          </w:p>
        </w:tc>
        <w:tc>
          <w:tcPr>
            <w:tcW w:w="992" w:type="dxa"/>
            <w:shd w:val="solid" w:color="FFFFFF" w:fill="FFFFFF"/>
            <w:vAlign w:val="center"/>
            <w:hideMark/>
          </w:tcPr>
          <w:p w14:paraId="00C4FF9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75.84%</w:t>
            </w:r>
          </w:p>
        </w:tc>
      </w:tr>
      <w:tr w:rsidR="00E76498" w:rsidRPr="00DA3766" w14:paraId="1662CABF" w14:textId="77777777" w:rsidTr="00F35D3D">
        <w:trPr>
          <w:trHeight w:val="397"/>
          <w:jc w:val="center"/>
        </w:trPr>
        <w:tc>
          <w:tcPr>
            <w:tcW w:w="1560" w:type="dxa"/>
            <w:vMerge/>
            <w:shd w:val="solid" w:color="FFFFFF" w:fill="FFFFFF"/>
            <w:vAlign w:val="center"/>
            <w:hideMark/>
          </w:tcPr>
          <w:p w14:paraId="0E9ED090"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7DB3DFC4"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789C5447"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192.54</w:t>
            </w:r>
          </w:p>
        </w:tc>
        <w:tc>
          <w:tcPr>
            <w:tcW w:w="1134" w:type="dxa"/>
            <w:shd w:val="solid" w:color="FFFFFF" w:fill="FFFFFF"/>
            <w:vAlign w:val="center"/>
            <w:hideMark/>
          </w:tcPr>
          <w:p w14:paraId="205A29F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2.93%</w:t>
            </w:r>
          </w:p>
        </w:tc>
        <w:tc>
          <w:tcPr>
            <w:tcW w:w="1984" w:type="dxa"/>
            <w:shd w:val="solid" w:color="FFFFFF" w:fill="FFFFFF"/>
            <w:vAlign w:val="center"/>
            <w:hideMark/>
          </w:tcPr>
          <w:p w14:paraId="3E07F00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32,950.97</w:t>
            </w:r>
          </w:p>
        </w:tc>
        <w:tc>
          <w:tcPr>
            <w:tcW w:w="992" w:type="dxa"/>
            <w:shd w:val="solid" w:color="FFFFFF" w:fill="FFFFFF"/>
            <w:vAlign w:val="center"/>
            <w:hideMark/>
          </w:tcPr>
          <w:p w14:paraId="518FD81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19.65%</w:t>
            </w:r>
          </w:p>
        </w:tc>
      </w:tr>
      <w:tr w:rsidR="00E76498" w:rsidRPr="00DA3766" w14:paraId="5D0F960F" w14:textId="77777777" w:rsidTr="00F35D3D">
        <w:trPr>
          <w:trHeight w:val="397"/>
          <w:jc w:val="center"/>
        </w:trPr>
        <w:tc>
          <w:tcPr>
            <w:tcW w:w="1560" w:type="dxa"/>
            <w:vMerge/>
            <w:shd w:val="solid" w:color="FFFFFF" w:fill="FFFFFF"/>
            <w:vAlign w:val="center"/>
            <w:hideMark/>
          </w:tcPr>
          <w:p w14:paraId="6708BEAD"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5587E304"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591CE71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4.79</w:t>
            </w:r>
          </w:p>
        </w:tc>
        <w:tc>
          <w:tcPr>
            <w:tcW w:w="1134" w:type="dxa"/>
            <w:shd w:val="solid" w:color="FFFFFF" w:fill="FFFFFF"/>
            <w:vAlign w:val="center"/>
            <w:hideMark/>
          </w:tcPr>
          <w:p w14:paraId="44D9767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0.07%</w:t>
            </w:r>
          </w:p>
        </w:tc>
        <w:tc>
          <w:tcPr>
            <w:tcW w:w="1984" w:type="dxa"/>
            <w:shd w:val="solid" w:color="FFFFFF" w:fill="FFFFFF"/>
            <w:vAlign w:val="center"/>
            <w:hideMark/>
          </w:tcPr>
          <w:p w14:paraId="65A3177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3,195.03</w:t>
            </w:r>
          </w:p>
        </w:tc>
        <w:tc>
          <w:tcPr>
            <w:tcW w:w="992" w:type="dxa"/>
            <w:shd w:val="solid" w:color="FFFFFF" w:fill="FFFFFF"/>
            <w:vAlign w:val="center"/>
            <w:hideMark/>
          </w:tcPr>
          <w:p w14:paraId="3CC7EE5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1.91%</w:t>
            </w:r>
          </w:p>
        </w:tc>
      </w:tr>
      <w:tr w:rsidR="00E76498" w:rsidRPr="00DA3766" w14:paraId="6856288C" w14:textId="77777777" w:rsidTr="00F35D3D">
        <w:trPr>
          <w:trHeight w:val="397"/>
          <w:jc w:val="center"/>
        </w:trPr>
        <w:tc>
          <w:tcPr>
            <w:tcW w:w="1560" w:type="dxa"/>
            <w:vMerge/>
            <w:shd w:val="solid" w:color="FFFFFF" w:fill="FFFFFF"/>
            <w:vAlign w:val="center"/>
          </w:tcPr>
          <w:p w14:paraId="39FCB376"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2E7D92EE"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227A7ED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1.59</w:t>
            </w:r>
          </w:p>
        </w:tc>
        <w:tc>
          <w:tcPr>
            <w:tcW w:w="1134" w:type="dxa"/>
            <w:shd w:val="solid" w:color="FFFFFF" w:fill="FFFFFF"/>
            <w:vAlign w:val="center"/>
          </w:tcPr>
          <w:p w14:paraId="5061CC4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52E6EAD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4,366.36</w:t>
            </w:r>
          </w:p>
        </w:tc>
        <w:tc>
          <w:tcPr>
            <w:tcW w:w="992" w:type="dxa"/>
            <w:shd w:val="solid" w:color="FFFFFF" w:fill="FFFFFF"/>
            <w:vAlign w:val="center"/>
          </w:tcPr>
          <w:p w14:paraId="7FCCA15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E76498" w:rsidRPr="00DA3766" w14:paraId="4EA294A6" w14:textId="77777777" w:rsidTr="00F35D3D">
        <w:trPr>
          <w:trHeight w:val="397"/>
          <w:jc w:val="center"/>
        </w:trPr>
        <w:tc>
          <w:tcPr>
            <w:tcW w:w="1560" w:type="dxa"/>
            <w:vMerge/>
            <w:shd w:val="solid" w:color="FFFFFF" w:fill="FFFFFF"/>
            <w:vAlign w:val="center"/>
            <w:hideMark/>
          </w:tcPr>
          <w:p w14:paraId="4C5E67A3"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5CBABDD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0310E07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6,565.80</w:t>
            </w:r>
          </w:p>
        </w:tc>
        <w:tc>
          <w:tcPr>
            <w:tcW w:w="1134" w:type="dxa"/>
            <w:shd w:val="solid" w:color="FFFFFF" w:fill="FFFFFF"/>
            <w:vAlign w:val="center"/>
            <w:hideMark/>
          </w:tcPr>
          <w:p w14:paraId="397FA0B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7044D5B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167,662.19</w:t>
            </w:r>
          </w:p>
        </w:tc>
        <w:tc>
          <w:tcPr>
            <w:tcW w:w="992" w:type="dxa"/>
            <w:shd w:val="solid" w:color="FFFFFF" w:fill="FFFFFF"/>
            <w:vAlign w:val="center"/>
            <w:hideMark/>
          </w:tcPr>
          <w:p w14:paraId="1BC77A1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E76498" w:rsidRPr="00DA3766" w14:paraId="45316DC5" w14:textId="77777777" w:rsidTr="00F35D3D">
        <w:trPr>
          <w:trHeight w:val="397"/>
          <w:jc w:val="center"/>
        </w:trPr>
        <w:tc>
          <w:tcPr>
            <w:tcW w:w="1560" w:type="dxa"/>
            <w:vMerge w:val="restart"/>
            <w:shd w:val="solid" w:color="FFFFFF" w:fill="FFFFFF"/>
            <w:vAlign w:val="center"/>
            <w:hideMark/>
          </w:tcPr>
          <w:p w14:paraId="4E2D802B" w14:textId="77777777" w:rsidR="00E76498" w:rsidRPr="00DA3766" w:rsidRDefault="00E76498" w:rsidP="00F35D3D">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2025</w:t>
            </w:r>
            <w:r w:rsidRPr="00DA3766">
              <w:rPr>
                <w:rFonts w:ascii="Times New Roman" w:hAnsi="Times New Roman" w:cs="Times New Roman"/>
                <w:color w:val="000000"/>
                <w:kern w:val="2"/>
                <w:sz w:val="21"/>
                <w:szCs w:val="21"/>
              </w:rPr>
              <w:t>年</w:t>
            </w:r>
            <w:r w:rsidRPr="00DA3766">
              <w:rPr>
                <w:rFonts w:ascii="Times New Roman" w:hAnsi="Times New Roman" w:cs="Times New Roman"/>
                <w:color w:val="000000"/>
                <w:kern w:val="2"/>
                <w:sz w:val="21"/>
                <w:szCs w:val="21"/>
              </w:rPr>
              <w:t>1-6</w:t>
            </w:r>
            <w:r w:rsidRPr="00DA3766">
              <w:rPr>
                <w:rFonts w:ascii="Times New Roman" w:hAnsi="Times New Roman" w:cs="Times New Roman"/>
                <w:color w:val="000000"/>
                <w:kern w:val="2"/>
                <w:sz w:val="21"/>
                <w:szCs w:val="21"/>
              </w:rPr>
              <w:t>月</w:t>
            </w:r>
          </w:p>
        </w:tc>
        <w:tc>
          <w:tcPr>
            <w:tcW w:w="1417" w:type="dxa"/>
            <w:shd w:val="solid" w:color="FFFFFF" w:fill="FFFFFF"/>
            <w:vAlign w:val="center"/>
            <w:hideMark/>
          </w:tcPr>
          <w:p w14:paraId="429ABF9F"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45B613F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2,835.72</w:t>
            </w:r>
          </w:p>
        </w:tc>
        <w:tc>
          <w:tcPr>
            <w:tcW w:w="1134" w:type="dxa"/>
            <w:shd w:val="solid" w:color="FFFFFF" w:fill="FFFFFF"/>
            <w:vAlign w:val="center"/>
            <w:hideMark/>
          </w:tcPr>
          <w:p w14:paraId="75290FCB"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98.11%</w:t>
            </w:r>
          </w:p>
        </w:tc>
        <w:tc>
          <w:tcPr>
            <w:tcW w:w="1984" w:type="dxa"/>
            <w:shd w:val="solid" w:color="FFFFFF" w:fill="FFFFFF"/>
            <w:vAlign w:val="center"/>
            <w:hideMark/>
          </w:tcPr>
          <w:p w14:paraId="434FE4D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51,914.21</w:t>
            </w:r>
          </w:p>
        </w:tc>
        <w:tc>
          <w:tcPr>
            <w:tcW w:w="992" w:type="dxa"/>
            <w:shd w:val="solid" w:color="FFFFFF" w:fill="FFFFFF"/>
            <w:vAlign w:val="center"/>
            <w:hideMark/>
          </w:tcPr>
          <w:p w14:paraId="6B0BF7E1"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82.50%</w:t>
            </w:r>
          </w:p>
        </w:tc>
      </w:tr>
      <w:tr w:rsidR="00E76498" w:rsidRPr="00DA3766" w14:paraId="15E6DECB" w14:textId="77777777" w:rsidTr="00F35D3D">
        <w:trPr>
          <w:trHeight w:val="397"/>
          <w:jc w:val="center"/>
        </w:trPr>
        <w:tc>
          <w:tcPr>
            <w:tcW w:w="1560" w:type="dxa"/>
            <w:vMerge/>
            <w:shd w:val="solid" w:color="FFFFFF" w:fill="FFFFFF"/>
            <w:vAlign w:val="center"/>
            <w:hideMark/>
          </w:tcPr>
          <w:p w14:paraId="144D024D"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695DEE61"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538EF819"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52.94</w:t>
            </w:r>
          </w:p>
        </w:tc>
        <w:tc>
          <w:tcPr>
            <w:tcW w:w="1134" w:type="dxa"/>
            <w:shd w:val="solid" w:color="FFFFFF" w:fill="FFFFFF"/>
            <w:vAlign w:val="center"/>
            <w:hideMark/>
          </w:tcPr>
          <w:p w14:paraId="2ED0B06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1.83%</w:t>
            </w:r>
          </w:p>
        </w:tc>
        <w:tc>
          <w:tcPr>
            <w:tcW w:w="1984" w:type="dxa"/>
            <w:shd w:val="solid" w:color="FFFFFF" w:fill="FFFFFF"/>
            <w:vAlign w:val="center"/>
            <w:hideMark/>
          </w:tcPr>
          <w:p w14:paraId="170C005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8,873.60</w:t>
            </w:r>
          </w:p>
        </w:tc>
        <w:tc>
          <w:tcPr>
            <w:tcW w:w="992" w:type="dxa"/>
            <w:shd w:val="solid" w:color="FFFFFF" w:fill="FFFFFF"/>
            <w:vAlign w:val="center"/>
            <w:hideMark/>
          </w:tcPr>
          <w:p w14:paraId="4274CCF0"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14.10%</w:t>
            </w:r>
          </w:p>
        </w:tc>
      </w:tr>
      <w:tr w:rsidR="00E76498" w:rsidRPr="00DA3766" w14:paraId="442ADA7B" w14:textId="77777777" w:rsidTr="00F35D3D">
        <w:trPr>
          <w:trHeight w:val="397"/>
          <w:jc w:val="center"/>
        </w:trPr>
        <w:tc>
          <w:tcPr>
            <w:tcW w:w="1560" w:type="dxa"/>
            <w:vMerge/>
            <w:shd w:val="solid" w:color="FFFFFF" w:fill="FFFFFF"/>
            <w:vAlign w:val="center"/>
            <w:hideMark/>
          </w:tcPr>
          <w:p w14:paraId="54FDCFC9"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28193B25"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6AFECE3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1.17</w:t>
            </w:r>
          </w:p>
        </w:tc>
        <w:tc>
          <w:tcPr>
            <w:tcW w:w="1134" w:type="dxa"/>
            <w:shd w:val="solid" w:color="FFFFFF" w:fill="FFFFFF"/>
            <w:vAlign w:val="center"/>
            <w:hideMark/>
          </w:tcPr>
          <w:p w14:paraId="4C39CA4E"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0.04%</w:t>
            </w:r>
          </w:p>
        </w:tc>
        <w:tc>
          <w:tcPr>
            <w:tcW w:w="1984" w:type="dxa"/>
            <w:shd w:val="solid" w:color="FFFFFF" w:fill="FFFFFF"/>
            <w:vAlign w:val="center"/>
            <w:hideMark/>
          </w:tcPr>
          <w:p w14:paraId="6012E056"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788.22</w:t>
            </w:r>
          </w:p>
        </w:tc>
        <w:tc>
          <w:tcPr>
            <w:tcW w:w="992" w:type="dxa"/>
            <w:shd w:val="solid" w:color="FFFFFF" w:fill="FFFFFF"/>
            <w:vAlign w:val="center"/>
            <w:hideMark/>
          </w:tcPr>
          <w:p w14:paraId="4F352074"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1.25%</w:t>
            </w:r>
          </w:p>
        </w:tc>
      </w:tr>
      <w:tr w:rsidR="00E76498" w:rsidRPr="00DA3766" w14:paraId="6CE3956C" w14:textId="77777777" w:rsidTr="00F35D3D">
        <w:trPr>
          <w:trHeight w:val="397"/>
          <w:jc w:val="center"/>
        </w:trPr>
        <w:tc>
          <w:tcPr>
            <w:tcW w:w="1560" w:type="dxa"/>
            <w:vMerge/>
            <w:shd w:val="solid" w:color="FFFFFF" w:fill="FFFFFF"/>
            <w:vAlign w:val="center"/>
          </w:tcPr>
          <w:p w14:paraId="3B0C8071"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69A84E22"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78CA5B72"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0.47</w:t>
            </w:r>
          </w:p>
        </w:tc>
        <w:tc>
          <w:tcPr>
            <w:tcW w:w="1134" w:type="dxa"/>
            <w:shd w:val="solid" w:color="FFFFFF" w:fill="FFFFFF"/>
            <w:vAlign w:val="center"/>
          </w:tcPr>
          <w:p w14:paraId="0623103D"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0A32B65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1,353.42</w:t>
            </w:r>
          </w:p>
        </w:tc>
        <w:tc>
          <w:tcPr>
            <w:tcW w:w="992" w:type="dxa"/>
            <w:shd w:val="solid" w:color="FFFFFF" w:fill="FFFFFF"/>
            <w:vAlign w:val="center"/>
          </w:tcPr>
          <w:p w14:paraId="5689508A"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2.15%</w:t>
            </w:r>
          </w:p>
        </w:tc>
      </w:tr>
      <w:tr w:rsidR="00E76498" w:rsidRPr="00DA3766" w14:paraId="73D9AC04" w14:textId="77777777" w:rsidTr="00F35D3D">
        <w:trPr>
          <w:trHeight w:val="397"/>
          <w:jc w:val="center"/>
        </w:trPr>
        <w:tc>
          <w:tcPr>
            <w:tcW w:w="1560" w:type="dxa"/>
            <w:vMerge/>
            <w:shd w:val="solid" w:color="FFFFFF" w:fill="FFFFFF"/>
            <w:vAlign w:val="center"/>
            <w:hideMark/>
          </w:tcPr>
          <w:p w14:paraId="71E84186" w14:textId="77777777" w:rsidR="00E76498" w:rsidRPr="00DA3766" w:rsidRDefault="00E76498" w:rsidP="00F35D3D">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7626A418" w14:textId="77777777" w:rsidR="00E76498" w:rsidRPr="00DA3766" w:rsidRDefault="00E76498" w:rsidP="00F35D3D">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437214A5"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2,890.30</w:t>
            </w:r>
          </w:p>
        </w:tc>
        <w:tc>
          <w:tcPr>
            <w:tcW w:w="1134" w:type="dxa"/>
            <w:shd w:val="solid" w:color="FFFFFF" w:fill="FFFFFF"/>
            <w:vAlign w:val="center"/>
            <w:hideMark/>
          </w:tcPr>
          <w:p w14:paraId="0A8ED563"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249CE97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62,929.45</w:t>
            </w:r>
          </w:p>
        </w:tc>
        <w:tc>
          <w:tcPr>
            <w:tcW w:w="992" w:type="dxa"/>
            <w:shd w:val="solid" w:color="FFFFFF" w:fill="FFFFFF"/>
            <w:vAlign w:val="center"/>
            <w:hideMark/>
          </w:tcPr>
          <w:p w14:paraId="32B56468" w14:textId="77777777" w:rsidR="00E76498" w:rsidRPr="00DA3766" w:rsidRDefault="00E76498" w:rsidP="00F35D3D">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bl>
    <w:p w14:paraId="00A9052D" w14:textId="77777777" w:rsidR="00E76498" w:rsidRPr="00DA3766" w:rsidRDefault="00E76498" w:rsidP="00E76498">
      <w:pPr>
        <w:pStyle w:val="005"/>
        <w:spacing w:before="120" w:after="120"/>
        <w:ind w:firstLine="480"/>
      </w:pPr>
      <w:r w:rsidRPr="00DA3766">
        <w:t>由上表可知，报告期各期新增支付用户中消费金额大于</w:t>
      </w:r>
      <w:r w:rsidRPr="00DA3766">
        <w:t>1000</w:t>
      </w:r>
      <w:r w:rsidRPr="00DA3766">
        <w:t>元的占比极小，分别为</w:t>
      </w:r>
      <w:r w:rsidRPr="00DA3766">
        <w:t>0.03%</w:t>
      </w:r>
      <w:r w:rsidRPr="00DA3766">
        <w:t>、</w:t>
      </w:r>
      <w:r w:rsidRPr="00DA3766">
        <w:t>0.02%</w:t>
      </w:r>
      <w:r w:rsidRPr="00DA3766">
        <w:t>及</w:t>
      </w:r>
      <w:r w:rsidRPr="00DA3766">
        <w:t>0.02%</w:t>
      </w:r>
      <w:r w:rsidRPr="00DA3766">
        <w:t>，新增支付用户消费金额大于</w:t>
      </w:r>
      <w:r w:rsidRPr="00DA3766">
        <w:t>1000</w:t>
      </w:r>
      <w:r w:rsidRPr="00DA3766">
        <w:t>元的流水总额</w:t>
      </w:r>
      <w:r w:rsidRPr="00DA3766">
        <w:lastRenderedPageBreak/>
        <w:t>占比亦较小，分别为</w:t>
      </w:r>
      <w:r w:rsidRPr="00DA3766">
        <w:t>2.60%</w:t>
      </w:r>
      <w:r w:rsidRPr="00DA3766">
        <w:t>、</w:t>
      </w:r>
      <w:r w:rsidRPr="00DA3766">
        <w:t>2.60%</w:t>
      </w:r>
      <w:r w:rsidRPr="00DA3766">
        <w:t>及</w:t>
      </w:r>
      <w:r w:rsidRPr="00DA3766">
        <w:t>2.15%</w:t>
      </w:r>
      <w:r w:rsidRPr="00DA3766">
        <w:t>。因此，报告期内不存在标的公司经营业绩产生重大影响的单个终端客户大额、异常消费、相同</w:t>
      </w:r>
      <w:r w:rsidRPr="00DA3766">
        <w:t>IP</w:t>
      </w:r>
      <w:r w:rsidRPr="00DA3766">
        <w:t>异常消费、消费时间分布异常等异常情形，不存在刷单、自充值等虚假交易情况，并利用</w:t>
      </w:r>
      <w:r w:rsidRPr="00DA3766">
        <w:t>IT</w:t>
      </w:r>
      <w:r w:rsidRPr="00DA3766">
        <w:t>专家工作，对用户注册、充值、消费及对应后台数据库执行了穿行测试，实际流程与业务描述一致，且相关数据具有一致性。并检查了线上数据的管理情况，并对设备在线数等部分数据进行分析，确认标的公司信息系统的业务数据具备真实性、及时性和准确性，关键控制环节的执行情况。此外，报告期各月末标的公司均对收单外包服务机构针对月内交易流水金额进行对账确认，并对差异进行核对确认。因此，系统收款或交易金额与第三方支付渠道交易金额不存在重大差异。</w:t>
      </w:r>
    </w:p>
    <w:p w14:paraId="6F383C3A" w14:textId="77777777" w:rsidR="00E76498" w:rsidRPr="000C4294" w:rsidRDefault="00E76498" w:rsidP="00E76498">
      <w:pPr>
        <w:pStyle w:val="005"/>
        <w:spacing w:before="120" w:after="120"/>
        <w:ind w:firstLine="480"/>
        <w:rPr>
          <w:bCs/>
        </w:rPr>
      </w:pPr>
      <w:r>
        <w:rPr>
          <w:rFonts w:hint="eastAsia"/>
          <w:bCs/>
        </w:rPr>
        <w:t>（</w:t>
      </w:r>
      <w:r>
        <w:rPr>
          <w:rFonts w:hint="eastAsia"/>
          <w:bCs/>
        </w:rPr>
        <w:t>22</w:t>
      </w:r>
      <w:r>
        <w:rPr>
          <w:rFonts w:hint="eastAsia"/>
          <w:bCs/>
        </w:rPr>
        <w:t>）</w:t>
      </w:r>
      <w:r w:rsidRPr="000C4294">
        <w:rPr>
          <w:bCs/>
        </w:rPr>
        <w:t>详细说明对收入截止性测试的具体执行情况，包括样本选取方法、核查过程、核查比例、核查依据及核查结论，标的资产收入确认时点是否准确：</w:t>
      </w:r>
    </w:p>
    <w:p w14:paraId="5B6B75B4" w14:textId="77777777" w:rsidR="00E76498" w:rsidRPr="00DA3766" w:rsidRDefault="00E76498" w:rsidP="00E76498">
      <w:pPr>
        <w:pStyle w:val="005"/>
        <w:spacing w:before="120" w:after="120"/>
        <w:ind w:firstLine="480"/>
      </w:pPr>
      <w:r w:rsidRPr="00DA3766">
        <w:t>会计师对报告期各期资产负债表日前后</w:t>
      </w:r>
      <w:r w:rsidRPr="00DA3766">
        <w:t>1</w:t>
      </w:r>
      <w:r w:rsidRPr="00DA3766">
        <w:t>个月确认收入的合同执行截止性测试，具体测试方法如下：</w:t>
      </w:r>
    </w:p>
    <w:p w14:paraId="448F70B4" w14:textId="77777777" w:rsidR="00E76498" w:rsidRPr="000C4294" w:rsidRDefault="00E76498" w:rsidP="00E76498">
      <w:pPr>
        <w:pStyle w:val="005"/>
        <w:spacing w:before="120" w:after="120"/>
        <w:ind w:firstLine="480"/>
        <w:rPr>
          <w:bCs/>
        </w:rPr>
      </w:pPr>
      <w:r w:rsidRPr="000C4294">
        <w:rPr>
          <w:bCs/>
        </w:rPr>
        <w:t>1</w:t>
      </w:r>
      <w:r w:rsidRPr="000C4294">
        <w:rPr>
          <w:bCs/>
        </w:rPr>
        <w:t>）针对</w:t>
      </w:r>
      <w:r w:rsidRPr="000C4294">
        <w:rPr>
          <w:bCs/>
        </w:rPr>
        <w:t>IoT</w:t>
      </w:r>
      <w:r w:rsidRPr="000C4294">
        <w:rPr>
          <w:bCs/>
        </w:rPr>
        <w:t>智能硬件样本的选取方法</w:t>
      </w:r>
    </w:p>
    <w:p w14:paraId="4DE37BF6" w14:textId="77777777" w:rsidR="00E76498" w:rsidRPr="00DA3766" w:rsidRDefault="00E76498" w:rsidP="00E76498">
      <w:pPr>
        <w:pStyle w:val="005"/>
        <w:spacing w:before="120" w:after="120"/>
        <w:ind w:firstLine="480"/>
      </w:pPr>
      <w:r w:rsidRPr="00DA3766">
        <w:t>由于标的公司的产品主要通过顺丰等快递公司进行运输，产品一般</w:t>
      </w:r>
      <w:r w:rsidRPr="00DA3766">
        <w:t>1-3</w:t>
      </w:r>
      <w:r w:rsidRPr="00DA3766">
        <w:t>天即可送达客户指定的收货地点，因此对报告期各期资产负债表日前后</w:t>
      </w:r>
      <w:r w:rsidRPr="00DA3766">
        <w:t>15</w:t>
      </w:r>
      <w:r w:rsidRPr="00DA3766">
        <w:t>天的发货和收入确认明细，执行专门的截止性测试，检查相关的销售合同、出库单据、物流记录、验收单据等关键支持性单据，确认销售收入的真实性以及是否记录在恰当的会计期间。</w:t>
      </w:r>
    </w:p>
    <w:p w14:paraId="2B176CA7" w14:textId="77777777" w:rsidR="00E76498" w:rsidRPr="000C4294" w:rsidRDefault="00E76498" w:rsidP="00E76498">
      <w:pPr>
        <w:pStyle w:val="005"/>
        <w:spacing w:before="120" w:after="120"/>
        <w:ind w:firstLine="480"/>
        <w:rPr>
          <w:bCs/>
        </w:rPr>
      </w:pPr>
      <w:r w:rsidRPr="000C4294">
        <w:rPr>
          <w:bCs/>
        </w:rPr>
        <w:lastRenderedPageBreak/>
        <w:t>2</w:t>
      </w:r>
      <w:r w:rsidRPr="000C4294">
        <w:rPr>
          <w:bCs/>
        </w:rPr>
        <w:t>）针对</w:t>
      </w:r>
      <w:r w:rsidRPr="000C4294">
        <w:rPr>
          <w:bCs/>
        </w:rPr>
        <w:t>SaaS</w:t>
      </w:r>
      <w:r w:rsidRPr="000C4294">
        <w:rPr>
          <w:bCs/>
        </w:rPr>
        <w:t>云平台及数字营销服务样本的选取方法</w:t>
      </w:r>
    </w:p>
    <w:p w14:paraId="3CB005CE" w14:textId="77777777" w:rsidR="00E76498" w:rsidRPr="00DA3766" w:rsidRDefault="00E76498" w:rsidP="00E76498">
      <w:pPr>
        <w:pStyle w:val="005"/>
        <w:spacing w:before="120" w:after="120"/>
        <w:ind w:firstLine="480"/>
      </w:pPr>
      <w:r w:rsidRPr="00DA3766">
        <w:t>由于标的单位业务种类较多，且相关业务的回款为</w:t>
      </w:r>
      <w:r w:rsidRPr="00DA3766">
        <w:t>T+1</w:t>
      </w:r>
      <w:r w:rsidRPr="00DA3766">
        <w:t>模式，故会计师根据重要性原则以及业务特征，以收入金额大于</w:t>
      </w:r>
      <w:r w:rsidRPr="00DA3766">
        <w:t>10</w:t>
      </w:r>
      <w:r w:rsidRPr="00DA3766">
        <w:t>万元以上为抽样标准，执行截止性测试，检查相关的银行流水、后台</w:t>
      </w:r>
      <w:r w:rsidRPr="00DA3766">
        <w:t>IT</w:t>
      </w:r>
      <w:r w:rsidRPr="00DA3766">
        <w:t>数据等关键支持性单据，确认是否存在提前或延迟确认收入的情况。</w:t>
      </w:r>
    </w:p>
    <w:p w14:paraId="47DB8016" w14:textId="77777777" w:rsidR="00E76498" w:rsidRPr="00DA3766" w:rsidRDefault="00E76498" w:rsidP="00E76498">
      <w:pPr>
        <w:pStyle w:val="005"/>
        <w:spacing w:before="120" w:after="120"/>
        <w:ind w:firstLine="480"/>
      </w:pPr>
      <w:r w:rsidRPr="00DA3766">
        <w:t>各期测试情况具体如下：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2089"/>
        <w:gridCol w:w="2089"/>
        <w:gridCol w:w="2784"/>
      </w:tblGrid>
      <w:tr w:rsidR="00E76498" w:rsidRPr="00DA3766" w14:paraId="6A2A0223" w14:textId="77777777" w:rsidTr="00F35D3D">
        <w:trPr>
          <w:trHeight w:val="397"/>
          <w:jc w:val="center"/>
        </w:trPr>
        <w:tc>
          <w:tcPr>
            <w:tcW w:w="918" w:type="pct"/>
            <w:tcMar>
              <w:top w:w="0" w:type="dxa"/>
              <w:bottom w:w="0" w:type="dxa"/>
            </w:tcMar>
            <w:vAlign w:val="center"/>
          </w:tcPr>
          <w:p w14:paraId="4ACD9413"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月份</w:t>
            </w:r>
          </w:p>
        </w:tc>
        <w:tc>
          <w:tcPr>
            <w:tcW w:w="1225" w:type="pct"/>
            <w:tcMar>
              <w:top w:w="0" w:type="dxa"/>
              <w:bottom w:w="0" w:type="dxa"/>
            </w:tcMar>
            <w:vAlign w:val="center"/>
          </w:tcPr>
          <w:p w14:paraId="4BB66CB3"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样本金额（万元）</w:t>
            </w:r>
          </w:p>
        </w:tc>
        <w:tc>
          <w:tcPr>
            <w:tcW w:w="1225" w:type="pct"/>
            <w:tcMar>
              <w:top w:w="0" w:type="dxa"/>
              <w:bottom w:w="0" w:type="dxa"/>
            </w:tcMar>
            <w:vAlign w:val="center"/>
          </w:tcPr>
          <w:p w14:paraId="3074FA07"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总体金额（万元）</w:t>
            </w:r>
          </w:p>
        </w:tc>
        <w:tc>
          <w:tcPr>
            <w:tcW w:w="1633" w:type="pct"/>
            <w:tcMar>
              <w:top w:w="0" w:type="dxa"/>
              <w:bottom w:w="0" w:type="dxa"/>
            </w:tcMar>
            <w:vAlign w:val="center"/>
          </w:tcPr>
          <w:p w14:paraId="12A8A0B5"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样本金额占总体金额比例</w:t>
            </w:r>
          </w:p>
        </w:tc>
      </w:tr>
      <w:tr w:rsidR="00E76498" w:rsidRPr="00DA3766" w14:paraId="09699017" w14:textId="77777777" w:rsidTr="00F35D3D">
        <w:trPr>
          <w:trHeight w:val="397"/>
          <w:jc w:val="center"/>
        </w:trPr>
        <w:tc>
          <w:tcPr>
            <w:tcW w:w="918" w:type="pct"/>
            <w:tcMar>
              <w:top w:w="0" w:type="dxa"/>
              <w:bottom w:w="0" w:type="dxa"/>
            </w:tcMar>
            <w:vAlign w:val="center"/>
          </w:tcPr>
          <w:p w14:paraId="68A0F65E"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0218657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1,735.89</w:t>
            </w:r>
          </w:p>
        </w:tc>
        <w:tc>
          <w:tcPr>
            <w:tcW w:w="1225" w:type="pct"/>
            <w:tcMar>
              <w:top w:w="0" w:type="dxa"/>
              <w:bottom w:w="0" w:type="dxa"/>
            </w:tcMar>
            <w:vAlign w:val="center"/>
          </w:tcPr>
          <w:p w14:paraId="7CF86C1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2,526.48</w:t>
            </w:r>
          </w:p>
        </w:tc>
        <w:tc>
          <w:tcPr>
            <w:tcW w:w="1633" w:type="pct"/>
            <w:tcMar>
              <w:top w:w="0" w:type="dxa"/>
              <w:bottom w:w="0" w:type="dxa"/>
            </w:tcMar>
            <w:vAlign w:val="center"/>
          </w:tcPr>
          <w:p w14:paraId="6158094C"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68.71%</w:t>
            </w:r>
          </w:p>
        </w:tc>
      </w:tr>
      <w:tr w:rsidR="00E76498" w:rsidRPr="00DA3766" w14:paraId="65B3BE71" w14:textId="77777777" w:rsidTr="00F35D3D">
        <w:trPr>
          <w:trHeight w:val="397"/>
          <w:jc w:val="center"/>
        </w:trPr>
        <w:tc>
          <w:tcPr>
            <w:tcW w:w="918" w:type="pct"/>
            <w:tcMar>
              <w:top w:w="0" w:type="dxa"/>
              <w:bottom w:w="0" w:type="dxa"/>
            </w:tcMar>
            <w:vAlign w:val="center"/>
          </w:tcPr>
          <w:p w14:paraId="31C96FEA"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17D7284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2,021.58</w:t>
            </w:r>
          </w:p>
        </w:tc>
        <w:tc>
          <w:tcPr>
            <w:tcW w:w="1225" w:type="pct"/>
            <w:tcMar>
              <w:top w:w="0" w:type="dxa"/>
              <w:bottom w:w="0" w:type="dxa"/>
            </w:tcMar>
            <w:vAlign w:val="center"/>
          </w:tcPr>
          <w:p w14:paraId="3430A4C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4,024.39</w:t>
            </w:r>
          </w:p>
        </w:tc>
        <w:tc>
          <w:tcPr>
            <w:tcW w:w="1633" w:type="pct"/>
            <w:tcMar>
              <w:top w:w="0" w:type="dxa"/>
              <w:bottom w:w="0" w:type="dxa"/>
            </w:tcMar>
            <w:vAlign w:val="center"/>
          </w:tcPr>
          <w:p w14:paraId="492D30B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50.23%</w:t>
            </w:r>
          </w:p>
        </w:tc>
      </w:tr>
      <w:tr w:rsidR="00E76498" w:rsidRPr="00DA3766" w14:paraId="67863C1F" w14:textId="77777777" w:rsidTr="00F35D3D">
        <w:trPr>
          <w:trHeight w:val="397"/>
          <w:jc w:val="center"/>
        </w:trPr>
        <w:tc>
          <w:tcPr>
            <w:tcW w:w="918" w:type="pct"/>
            <w:tcMar>
              <w:top w:w="0" w:type="dxa"/>
              <w:bottom w:w="0" w:type="dxa"/>
            </w:tcMar>
            <w:vAlign w:val="center"/>
          </w:tcPr>
          <w:p w14:paraId="3B9DD196"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307E4DD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2,027.53</w:t>
            </w:r>
          </w:p>
        </w:tc>
        <w:tc>
          <w:tcPr>
            <w:tcW w:w="1225" w:type="pct"/>
            <w:tcMar>
              <w:top w:w="0" w:type="dxa"/>
              <w:bottom w:w="0" w:type="dxa"/>
            </w:tcMar>
            <w:vAlign w:val="center"/>
          </w:tcPr>
          <w:p w14:paraId="787D35F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3,521.79</w:t>
            </w:r>
          </w:p>
        </w:tc>
        <w:tc>
          <w:tcPr>
            <w:tcW w:w="1633" w:type="pct"/>
            <w:tcMar>
              <w:top w:w="0" w:type="dxa"/>
              <w:bottom w:w="0" w:type="dxa"/>
            </w:tcMar>
            <w:vAlign w:val="center"/>
          </w:tcPr>
          <w:p w14:paraId="768BAD5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57.57%</w:t>
            </w:r>
          </w:p>
        </w:tc>
      </w:tr>
      <w:tr w:rsidR="00E76498" w:rsidRPr="00DA3766" w14:paraId="6159527C" w14:textId="77777777" w:rsidTr="00F35D3D">
        <w:trPr>
          <w:trHeight w:val="397"/>
          <w:jc w:val="center"/>
        </w:trPr>
        <w:tc>
          <w:tcPr>
            <w:tcW w:w="918" w:type="pct"/>
            <w:tcMar>
              <w:top w:w="0" w:type="dxa"/>
              <w:bottom w:w="0" w:type="dxa"/>
            </w:tcMar>
            <w:vAlign w:val="center"/>
          </w:tcPr>
          <w:p w14:paraId="23BD56C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31B761F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2,283.73</w:t>
            </w:r>
          </w:p>
        </w:tc>
        <w:tc>
          <w:tcPr>
            <w:tcW w:w="1225" w:type="pct"/>
            <w:tcMar>
              <w:top w:w="0" w:type="dxa"/>
              <w:bottom w:w="0" w:type="dxa"/>
            </w:tcMar>
            <w:vAlign w:val="center"/>
          </w:tcPr>
          <w:p w14:paraId="63353D3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4,851.09</w:t>
            </w:r>
          </w:p>
        </w:tc>
        <w:tc>
          <w:tcPr>
            <w:tcW w:w="1633" w:type="pct"/>
            <w:tcMar>
              <w:top w:w="0" w:type="dxa"/>
              <w:bottom w:w="0" w:type="dxa"/>
            </w:tcMar>
            <w:vAlign w:val="center"/>
          </w:tcPr>
          <w:p w14:paraId="0C7AE2B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47.08%</w:t>
            </w:r>
          </w:p>
        </w:tc>
      </w:tr>
      <w:tr w:rsidR="00E76498" w:rsidRPr="00DA3766" w14:paraId="37B20A89" w14:textId="77777777" w:rsidTr="00F35D3D">
        <w:trPr>
          <w:trHeight w:val="397"/>
          <w:jc w:val="center"/>
        </w:trPr>
        <w:tc>
          <w:tcPr>
            <w:tcW w:w="918" w:type="pct"/>
            <w:tcMar>
              <w:top w:w="0" w:type="dxa"/>
              <w:bottom w:w="0" w:type="dxa"/>
            </w:tcMar>
            <w:vAlign w:val="center"/>
          </w:tcPr>
          <w:p w14:paraId="3ABE597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337B95E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2,423.54</w:t>
            </w:r>
          </w:p>
        </w:tc>
        <w:tc>
          <w:tcPr>
            <w:tcW w:w="1225" w:type="pct"/>
            <w:tcMar>
              <w:top w:w="0" w:type="dxa"/>
              <w:bottom w:w="0" w:type="dxa"/>
            </w:tcMar>
            <w:vAlign w:val="center"/>
          </w:tcPr>
          <w:p w14:paraId="2731BC8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3,945.23</w:t>
            </w:r>
          </w:p>
        </w:tc>
        <w:tc>
          <w:tcPr>
            <w:tcW w:w="1633" w:type="pct"/>
            <w:tcMar>
              <w:top w:w="0" w:type="dxa"/>
              <w:bottom w:w="0" w:type="dxa"/>
            </w:tcMar>
            <w:vAlign w:val="center"/>
          </w:tcPr>
          <w:p w14:paraId="3A1AF83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61.43%</w:t>
            </w:r>
          </w:p>
        </w:tc>
      </w:tr>
      <w:tr w:rsidR="00E76498" w:rsidRPr="00DA3766" w14:paraId="64445651" w14:textId="77777777" w:rsidTr="00F35D3D">
        <w:trPr>
          <w:trHeight w:val="397"/>
          <w:jc w:val="center"/>
        </w:trPr>
        <w:tc>
          <w:tcPr>
            <w:tcW w:w="918" w:type="pct"/>
            <w:tcMar>
              <w:top w:w="0" w:type="dxa"/>
              <w:bottom w:w="0" w:type="dxa"/>
            </w:tcMar>
            <w:vAlign w:val="center"/>
          </w:tcPr>
          <w:p w14:paraId="444B037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0CD0899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2,889.64</w:t>
            </w:r>
          </w:p>
        </w:tc>
        <w:tc>
          <w:tcPr>
            <w:tcW w:w="1225" w:type="pct"/>
            <w:tcMar>
              <w:top w:w="0" w:type="dxa"/>
              <w:bottom w:w="0" w:type="dxa"/>
            </w:tcMar>
            <w:vAlign w:val="center"/>
          </w:tcPr>
          <w:p w14:paraId="373BBA9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4,838.66</w:t>
            </w:r>
          </w:p>
        </w:tc>
        <w:tc>
          <w:tcPr>
            <w:tcW w:w="1633" w:type="pct"/>
            <w:tcMar>
              <w:top w:w="0" w:type="dxa"/>
              <w:bottom w:w="0" w:type="dxa"/>
            </w:tcMar>
            <w:vAlign w:val="center"/>
          </w:tcPr>
          <w:p w14:paraId="09718D3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59.72%</w:t>
            </w:r>
          </w:p>
        </w:tc>
      </w:tr>
    </w:tbl>
    <w:p w14:paraId="2CB0569D" w14:textId="77777777" w:rsidR="00E76498" w:rsidRDefault="00E76498" w:rsidP="00E76498">
      <w:pPr>
        <w:pStyle w:val="005"/>
        <w:spacing w:before="120" w:after="120"/>
        <w:ind w:firstLine="480"/>
      </w:pPr>
      <w:r w:rsidRPr="00DA3766">
        <w:t>经核查，标的公司收入确认时点准确，符合《企业会计准则》相关规定。</w:t>
      </w:r>
    </w:p>
    <w:p w14:paraId="03F7A22D" w14:textId="77777777" w:rsidR="00E76498" w:rsidRDefault="00E76498" w:rsidP="00E76498">
      <w:pPr>
        <w:pStyle w:val="004"/>
        <w:spacing w:before="120" w:after="120"/>
        <w:ind w:firstLine="482"/>
      </w:pPr>
      <w:r>
        <w:rPr>
          <w:rFonts w:hint="eastAsia"/>
        </w:rPr>
        <w:t>2</w:t>
      </w:r>
      <w:r>
        <w:rPr>
          <w:rFonts w:hint="eastAsia"/>
        </w:rPr>
        <w:t>、核查意见</w:t>
      </w:r>
    </w:p>
    <w:p w14:paraId="4E15435B" w14:textId="77777777" w:rsidR="00E76498" w:rsidRDefault="00E76498" w:rsidP="00E76498">
      <w:pPr>
        <w:pStyle w:val="005"/>
        <w:spacing w:before="120" w:after="120"/>
        <w:ind w:firstLine="480"/>
      </w:pPr>
      <w:r>
        <w:rPr>
          <w:rFonts w:hint="eastAsia"/>
        </w:rPr>
        <w:t>经核查，会计师认为：</w:t>
      </w:r>
    </w:p>
    <w:p w14:paraId="20C5DDF1" w14:textId="77777777" w:rsidR="00E76498" w:rsidRDefault="00E76498" w:rsidP="00E76498">
      <w:pPr>
        <w:pStyle w:val="005"/>
        <w:spacing w:before="120" w:after="120"/>
        <w:ind w:firstLine="480"/>
      </w:pPr>
      <w:r>
        <w:rPr>
          <w:rFonts w:hint="eastAsia"/>
        </w:rPr>
        <w:t>（</w:t>
      </w:r>
      <w:r>
        <w:rPr>
          <w:rFonts w:hint="eastAsia"/>
        </w:rPr>
        <w:t>1</w:t>
      </w:r>
      <w:r>
        <w:rPr>
          <w:rFonts w:hint="eastAsia"/>
        </w:rPr>
        <w:t>）标的公司提供“</w:t>
      </w:r>
      <w:r>
        <w:rPr>
          <w:rFonts w:hint="eastAsia"/>
        </w:rPr>
        <w:t>IoT</w:t>
      </w:r>
      <w:r>
        <w:rPr>
          <w:rFonts w:hint="eastAsia"/>
        </w:rPr>
        <w:t>智能硬件</w:t>
      </w:r>
      <w:r>
        <w:rPr>
          <w:rFonts w:hint="eastAsia"/>
        </w:rPr>
        <w:t>+SaaS</w:t>
      </w:r>
      <w:r>
        <w:rPr>
          <w:rFonts w:hint="eastAsia"/>
        </w:rPr>
        <w:t>云平台”一体化解决方案经营情况良好，主要客户合作较为稳定；</w:t>
      </w:r>
    </w:p>
    <w:p w14:paraId="61E01EE5" w14:textId="77777777" w:rsidR="00E76498" w:rsidRDefault="00E76498" w:rsidP="00E76498">
      <w:pPr>
        <w:pStyle w:val="005"/>
        <w:spacing w:before="120" w:after="120"/>
        <w:ind w:firstLine="480"/>
      </w:pPr>
      <w:r>
        <w:rPr>
          <w:rFonts w:hint="eastAsia"/>
        </w:rPr>
        <w:t>（</w:t>
      </w:r>
      <w:r>
        <w:rPr>
          <w:rFonts w:hint="eastAsia"/>
        </w:rPr>
        <w:t>2</w:t>
      </w:r>
      <w:r>
        <w:rPr>
          <w:rFonts w:hint="eastAsia"/>
        </w:rPr>
        <w:t>）标的公司</w:t>
      </w:r>
      <w:r>
        <w:rPr>
          <w:rFonts w:hint="eastAsia"/>
        </w:rPr>
        <w:t>SaaS</w:t>
      </w:r>
      <w:r>
        <w:rPr>
          <w:rFonts w:hint="eastAsia"/>
        </w:rPr>
        <w:t>云平台业务中各类细分业务的运营模式具有合理性，相关收入确认符合《企业会计准则》的有关规定；</w:t>
      </w:r>
    </w:p>
    <w:p w14:paraId="6E0E27CE" w14:textId="77777777" w:rsidR="00E76498" w:rsidRDefault="00E76498" w:rsidP="00E76498">
      <w:pPr>
        <w:pStyle w:val="005"/>
        <w:spacing w:before="120" w:after="120"/>
        <w:ind w:firstLine="480"/>
      </w:pPr>
      <w:r>
        <w:rPr>
          <w:rFonts w:hint="eastAsia"/>
        </w:rPr>
        <w:t>（</w:t>
      </w:r>
      <w:r>
        <w:rPr>
          <w:rFonts w:hint="eastAsia"/>
        </w:rPr>
        <w:t>3</w:t>
      </w:r>
      <w:r>
        <w:rPr>
          <w:rFonts w:hint="eastAsia"/>
        </w:rPr>
        <w:t>）标的公司</w:t>
      </w:r>
      <w:r>
        <w:rPr>
          <w:rFonts w:hint="eastAsia"/>
        </w:rPr>
        <w:t>2024</w:t>
      </w:r>
      <w:r>
        <w:rPr>
          <w:rFonts w:hint="eastAsia"/>
        </w:rPr>
        <w:t>年</w:t>
      </w:r>
      <w:r>
        <w:rPr>
          <w:rFonts w:hint="eastAsia"/>
        </w:rPr>
        <w:t>SaaS</w:t>
      </w:r>
      <w:r>
        <w:rPr>
          <w:rFonts w:hint="eastAsia"/>
        </w:rPr>
        <w:t>云平台业务收入同比增长但云服务、通信服务采购金额同比下降具有合理性，标的公司报告期内</w:t>
      </w:r>
      <w:r>
        <w:rPr>
          <w:rFonts w:hint="eastAsia"/>
        </w:rPr>
        <w:t>SaaS</w:t>
      </w:r>
      <w:r>
        <w:rPr>
          <w:rFonts w:hint="eastAsia"/>
        </w:rPr>
        <w:t>云平台各类细分业务收入的变动具有合理性；</w:t>
      </w:r>
    </w:p>
    <w:p w14:paraId="301A0A44" w14:textId="77777777" w:rsidR="00E76498" w:rsidRDefault="00E76498" w:rsidP="00E76498">
      <w:pPr>
        <w:pStyle w:val="005"/>
        <w:spacing w:before="120" w:after="120"/>
        <w:ind w:firstLine="480"/>
      </w:pPr>
      <w:r>
        <w:rPr>
          <w:rFonts w:hint="eastAsia"/>
        </w:rPr>
        <w:t>（</w:t>
      </w:r>
      <w:r>
        <w:rPr>
          <w:rFonts w:hint="eastAsia"/>
        </w:rPr>
        <w:t>4</w:t>
      </w:r>
      <w:r>
        <w:rPr>
          <w:rFonts w:hint="eastAsia"/>
        </w:rPr>
        <w:t>）标的公司报告期内</w:t>
      </w:r>
      <w:r>
        <w:rPr>
          <w:rFonts w:hint="eastAsia"/>
        </w:rPr>
        <w:t>SaaS</w:t>
      </w:r>
      <w:r>
        <w:rPr>
          <w:rFonts w:hint="eastAsia"/>
        </w:rPr>
        <w:t>云平台业务整体毛利率因业务结构变化有所下滑具有合理性，未来发生进一步大幅下滑的风险较小；</w:t>
      </w:r>
    </w:p>
    <w:p w14:paraId="72089310" w14:textId="77777777" w:rsidR="00E76498" w:rsidRDefault="00E76498" w:rsidP="00E76498">
      <w:pPr>
        <w:pStyle w:val="005"/>
        <w:spacing w:before="120" w:after="120"/>
        <w:ind w:firstLine="480"/>
      </w:pPr>
      <w:r>
        <w:rPr>
          <w:rFonts w:hint="eastAsia"/>
        </w:rPr>
        <w:t>（</w:t>
      </w:r>
      <w:r>
        <w:rPr>
          <w:rFonts w:hint="eastAsia"/>
        </w:rPr>
        <w:t>5</w:t>
      </w:r>
      <w:r>
        <w:rPr>
          <w:rFonts w:hint="eastAsia"/>
        </w:rPr>
        <w:t>）标的公司</w:t>
      </w:r>
      <w:r>
        <w:rPr>
          <w:rFonts w:hint="eastAsia"/>
        </w:rPr>
        <w:t>IoT</w:t>
      </w:r>
      <w:r>
        <w:rPr>
          <w:rFonts w:hint="eastAsia"/>
        </w:rPr>
        <w:t>智能硬件业务采用外协生产模式具有合理性，外协产品相关控制具备有效性，报告期内与外协供应商合作情况良好；</w:t>
      </w:r>
    </w:p>
    <w:p w14:paraId="4DFECE23" w14:textId="77777777" w:rsidR="00E76498" w:rsidRDefault="00E76498" w:rsidP="00E76498">
      <w:pPr>
        <w:pStyle w:val="005"/>
        <w:spacing w:before="120" w:after="120"/>
        <w:ind w:firstLine="480"/>
      </w:pPr>
      <w:r>
        <w:rPr>
          <w:rFonts w:hint="eastAsia"/>
        </w:rPr>
        <w:lastRenderedPageBreak/>
        <w:t>（</w:t>
      </w:r>
      <w:r>
        <w:rPr>
          <w:rFonts w:hint="eastAsia"/>
        </w:rPr>
        <w:t>6</w:t>
      </w:r>
      <w:r>
        <w:rPr>
          <w:rFonts w:hint="eastAsia"/>
        </w:rPr>
        <w:t>）标的公司外协加工费定价具备公允性，相关成本确认具备完整性和准确性，符合《企业会计准则》的有关规定，标的公司报告期内</w:t>
      </w:r>
      <w:r>
        <w:rPr>
          <w:rFonts w:hint="eastAsia"/>
        </w:rPr>
        <w:t>IoT</w:t>
      </w:r>
      <w:r>
        <w:rPr>
          <w:rFonts w:hint="eastAsia"/>
        </w:rPr>
        <w:t>智能硬件业务收入、毛利率提升具有合理性；</w:t>
      </w:r>
    </w:p>
    <w:p w14:paraId="43370256" w14:textId="77777777" w:rsidR="00E76498" w:rsidRDefault="00E76498" w:rsidP="00E76498">
      <w:pPr>
        <w:pStyle w:val="005"/>
        <w:spacing w:before="120" w:after="120"/>
        <w:ind w:firstLine="480"/>
      </w:pPr>
      <w:r>
        <w:rPr>
          <w:rFonts w:hint="eastAsia"/>
        </w:rPr>
        <w:t>（</w:t>
      </w:r>
      <w:r>
        <w:rPr>
          <w:rFonts w:hint="eastAsia"/>
        </w:rPr>
        <w:t>7</w:t>
      </w:r>
      <w:r>
        <w:rPr>
          <w:rFonts w:hint="eastAsia"/>
        </w:rPr>
        <w:t>）标的公司数字增值服务业务收入相关会计处理符合《企业会计准则》的有关规定；</w:t>
      </w:r>
    </w:p>
    <w:p w14:paraId="30616D1E" w14:textId="77777777" w:rsidR="00E76498" w:rsidRDefault="00E76498" w:rsidP="00E76498">
      <w:pPr>
        <w:pStyle w:val="005"/>
        <w:spacing w:before="120" w:after="120"/>
        <w:ind w:firstLine="480"/>
      </w:pPr>
      <w:r>
        <w:rPr>
          <w:rFonts w:hint="eastAsia"/>
        </w:rPr>
        <w:t>（</w:t>
      </w:r>
      <w:r>
        <w:rPr>
          <w:rFonts w:hint="eastAsia"/>
        </w:rPr>
        <w:t>8</w:t>
      </w:r>
      <w:r>
        <w:rPr>
          <w:rFonts w:hint="eastAsia"/>
        </w:rPr>
        <w:t>）标的公司</w:t>
      </w:r>
      <w:r>
        <w:rPr>
          <w:rFonts w:hint="eastAsia"/>
        </w:rPr>
        <w:t>2024</w:t>
      </w:r>
      <w:r>
        <w:rPr>
          <w:rFonts w:hint="eastAsia"/>
        </w:rPr>
        <w:t>年数字增值服务业务收入、毛利率增长具有合理性；</w:t>
      </w:r>
    </w:p>
    <w:p w14:paraId="24A3E381" w14:textId="77777777" w:rsidR="00E76498" w:rsidRDefault="00E76498" w:rsidP="00E76498">
      <w:pPr>
        <w:pStyle w:val="005"/>
        <w:spacing w:before="120" w:after="120"/>
        <w:ind w:firstLine="480"/>
      </w:pPr>
      <w:r>
        <w:rPr>
          <w:rFonts w:hint="eastAsia"/>
        </w:rPr>
        <w:t>（</w:t>
      </w:r>
      <w:r>
        <w:rPr>
          <w:rFonts w:hint="eastAsia"/>
        </w:rPr>
        <w:t>9</w:t>
      </w:r>
      <w:r>
        <w:rPr>
          <w:rFonts w:hint="eastAsia"/>
        </w:rPr>
        <w:t>）标的公司报告期内综合毛利率高于同行业可比公司平均值具有合理性；</w:t>
      </w:r>
    </w:p>
    <w:p w14:paraId="3E5B89E8" w14:textId="77777777" w:rsidR="00E76498" w:rsidRDefault="00E76498" w:rsidP="00E76498">
      <w:pPr>
        <w:pStyle w:val="005"/>
        <w:spacing w:before="120" w:after="120"/>
        <w:ind w:firstLine="480"/>
      </w:pPr>
      <w:r>
        <w:rPr>
          <w:rFonts w:hint="eastAsia"/>
        </w:rPr>
        <w:t>（</w:t>
      </w:r>
      <w:r>
        <w:rPr>
          <w:rFonts w:hint="eastAsia"/>
        </w:rPr>
        <w:t>10</w:t>
      </w:r>
      <w:r>
        <w:rPr>
          <w:rFonts w:hint="eastAsia"/>
        </w:rPr>
        <w:t>）标的公司报告期内销售费用率、研发费用率的变动具有合理性，对标的公司的业务获取、技术创新不存在重大不利影响，标的公司管理层、相关持股平台等相关股东增资入股或受让标的资产股权不构成股份支付，不存在通过低价入股替代支付费用的情形；</w:t>
      </w:r>
    </w:p>
    <w:p w14:paraId="58C64C0B" w14:textId="77777777" w:rsidR="00E76498" w:rsidRDefault="00E76498" w:rsidP="00E76498">
      <w:pPr>
        <w:pStyle w:val="005"/>
        <w:spacing w:before="120" w:after="120"/>
        <w:ind w:firstLine="480"/>
      </w:pPr>
      <w:r>
        <w:rPr>
          <w:rFonts w:hint="eastAsia"/>
        </w:rPr>
        <w:t>（</w:t>
      </w:r>
      <w:r>
        <w:rPr>
          <w:rFonts w:hint="eastAsia"/>
        </w:rPr>
        <w:t>11</w:t>
      </w:r>
      <w:r>
        <w:rPr>
          <w:rFonts w:hint="eastAsia"/>
        </w:rPr>
        <w:t>）标的公司报告期内业绩波动具有合理性；</w:t>
      </w:r>
    </w:p>
    <w:p w14:paraId="4A6015C4" w14:textId="77777777" w:rsidR="00E76498" w:rsidRDefault="00E76498" w:rsidP="00E76498">
      <w:pPr>
        <w:pStyle w:val="005"/>
        <w:spacing w:before="120" w:after="120"/>
        <w:ind w:firstLine="480"/>
      </w:pPr>
      <w:r>
        <w:rPr>
          <w:rFonts w:hint="eastAsia"/>
        </w:rPr>
        <w:t>（</w:t>
      </w:r>
      <w:r>
        <w:rPr>
          <w:rFonts w:hint="eastAsia"/>
        </w:rPr>
        <w:t>12</w:t>
      </w:r>
      <w:r>
        <w:rPr>
          <w:rFonts w:hint="eastAsia"/>
        </w:rPr>
        <w:t>）标的公司具有较强的持续经营能力，本次交易有利于增强上市公司的持续经营能力，符合《重组办法》第四十四条的有关规定；</w:t>
      </w:r>
    </w:p>
    <w:p w14:paraId="632FDCE3" w14:textId="77777777" w:rsidR="00E76498" w:rsidRDefault="00E76498" w:rsidP="00E76498">
      <w:pPr>
        <w:pStyle w:val="005"/>
        <w:spacing w:before="120" w:after="120"/>
        <w:ind w:firstLine="480"/>
      </w:pPr>
      <w:r>
        <w:rPr>
          <w:rFonts w:hint="eastAsia"/>
        </w:rPr>
        <w:t>（</w:t>
      </w:r>
      <w:r>
        <w:rPr>
          <w:rFonts w:hint="eastAsia"/>
        </w:rPr>
        <w:t>13</w:t>
      </w:r>
      <w:r>
        <w:rPr>
          <w:rFonts w:hint="eastAsia"/>
        </w:rPr>
        <w:t>）标的公司向自然人客户销售具备必要性，主要自然人客户与标的公司不存在关联关系、潜在关联关系或其他利益安排；</w:t>
      </w:r>
    </w:p>
    <w:p w14:paraId="3E39E4C1" w14:textId="77777777" w:rsidR="00E76498" w:rsidRDefault="00E76498" w:rsidP="00E76498">
      <w:pPr>
        <w:pStyle w:val="005"/>
        <w:spacing w:before="120" w:after="120"/>
        <w:ind w:firstLine="480"/>
      </w:pPr>
      <w:r>
        <w:rPr>
          <w:rFonts w:hint="eastAsia"/>
        </w:rPr>
        <w:t>（</w:t>
      </w:r>
      <w:r>
        <w:rPr>
          <w:rFonts w:hint="eastAsia"/>
        </w:rPr>
        <w:t>14</w:t>
      </w:r>
      <w:r>
        <w:rPr>
          <w:rFonts w:hint="eastAsia"/>
        </w:rPr>
        <w:t>）标的公司报告期内客户与供应商重叠具备必要性、真实性，相关销售、采购交易占比相对较小，具备公允性；</w:t>
      </w:r>
    </w:p>
    <w:p w14:paraId="4E09965B" w14:textId="77777777" w:rsidR="00E76498" w:rsidRDefault="00E76498" w:rsidP="00E76498">
      <w:pPr>
        <w:pStyle w:val="005"/>
        <w:spacing w:before="120" w:after="120"/>
        <w:ind w:firstLine="480"/>
      </w:pPr>
      <w:r>
        <w:rPr>
          <w:rFonts w:hint="eastAsia"/>
        </w:rPr>
        <w:t>（</w:t>
      </w:r>
      <w:r>
        <w:rPr>
          <w:rFonts w:hint="eastAsia"/>
        </w:rPr>
        <w:t>15</w:t>
      </w:r>
      <w:r>
        <w:rPr>
          <w:rFonts w:hint="eastAsia"/>
        </w:rPr>
        <w:t>）标的公司第三方回款具有商业合理性，金额占比相对较小，第三方回款的支付方与标的公司不存在关联关系及其他利益安排，对应收入具备真实性；</w:t>
      </w:r>
    </w:p>
    <w:p w14:paraId="60D9FD85" w14:textId="77777777" w:rsidR="00E76498" w:rsidRDefault="00E76498" w:rsidP="00E76498">
      <w:pPr>
        <w:pStyle w:val="005"/>
        <w:spacing w:before="120" w:after="120"/>
        <w:ind w:firstLine="480"/>
      </w:pPr>
      <w:r>
        <w:rPr>
          <w:rFonts w:hint="eastAsia"/>
        </w:rPr>
        <w:t>（</w:t>
      </w:r>
      <w:r>
        <w:rPr>
          <w:rFonts w:hint="eastAsia"/>
        </w:rPr>
        <w:t>16</w:t>
      </w:r>
      <w:r>
        <w:rPr>
          <w:rFonts w:hint="eastAsia"/>
        </w:rPr>
        <w:t>）标的资产处置持有的科蝶信息、</w:t>
      </w:r>
      <w:r>
        <w:rPr>
          <w:rFonts w:hint="eastAsia"/>
        </w:rPr>
        <w:t>STARTHINGPTE.LTD.</w:t>
      </w:r>
      <w:r>
        <w:rPr>
          <w:rFonts w:hint="eastAsia"/>
        </w:rPr>
        <w:t>的股权具备公允性，该事项对标的公司财务数据及未来持续经营能力不存在重大不利影响；</w:t>
      </w:r>
    </w:p>
    <w:p w14:paraId="25DFB6B4" w14:textId="77777777" w:rsidR="00E76498" w:rsidRPr="00DA3766" w:rsidRDefault="00E76498" w:rsidP="00E76498">
      <w:pPr>
        <w:pStyle w:val="005"/>
        <w:spacing w:before="120" w:after="120"/>
        <w:ind w:firstLine="480"/>
      </w:pPr>
      <w:r>
        <w:rPr>
          <w:rFonts w:hint="eastAsia"/>
        </w:rPr>
        <w:t>（</w:t>
      </w:r>
      <w:r>
        <w:rPr>
          <w:rFonts w:hint="eastAsia"/>
        </w:rPr>
        <w:t>17</w:t>
      </w:r>
      <w:r>
        <w:rPr>
          <w:rFonts w:hint="eastAsia"/>
        </w:rPr>
        <w:t>）标的公司业绩具备真实性、准确性。</w:t>
      </w:r>
    </w:p>
    <w:p w14:paraId="1270D3A3" w14:textId="77777777" w:rsidR="00E76498" w:rsidRPr="00DA3766" w:rsidRDefault="00E76498" w:rsidP="00E76498">
      <w:pPr>
        <w:spacing w:beforeLines="0" w:before="0" w:afterLines="0" w:after="0" w:line="240" w:lineRule="auto"/>
        <w:ind w:firstLineChars="0" w:firstLine="0"/>
        <w:jc w:val="both"/>
        <w:rPr>
          <w:rFonts w:ascii="Times New Roman" w:hAnsi="Times New Roman" w:cs="Times New Roman"/>
          <w:szCs w:val="22"/>
        </w:rPr>
      </w:pPr>
      <w:r w:rsidRPr="00DA3766">
        <w:rPr>
          <w:rFonts w:ascii="Times New Roman" w:hAnsi="Times New Roman" w:cs="Times New Roman"/>
        </w:rPr>
        <w:br w:type="page"/>
      </w:r>
    </w:p>
    <w:p w14:paraId="08465DBA" w14:textId="3D6209AF" w:rsidR="00E93DA8" w:rsidRPr="00DA3766" w:rsidRDefault="00E93DA8" w:rsidP="00E93DA8">
      <w:pPr>
        <w:pStyle w:val="001"/>
        <w:spacing w:before="120" w:after="120"/>
        <w:ind w:firstLine="480"/>
      </w:pPr>
      <w:r w:rsidRPr="00DA3766">
        <w:lastRenderedPageBreak/>
        <w:t>问题</w:t>
      </w:r>
      <w:r w:rsidRPr="00DA3766">
        <w:t>3</w:t>
      </w:r>
      <w:r w:rsidRPr="00DA3766">
        <w:t>、关于标的资产的资产负债及现金流量</w:t>
      </w:r>
      <w:bookmarkEnd w:id="83"/>
    </w:p>
    <w:p w14:paraId="0E864BDD" w14:textId="12D46E7C" w:rsidR="00E93DA8" w:rsidRPr="00DA3766" w:rsidRDefault="00E93DA8" w:rsidP="00E93DA8">
      <w:pPr>
        <w:pStyle w:val="0050"/>
        <w:spacing w:before="120" w:after="120"/>
        <w:ind w:firstLine="480"/>
      </w:pPr>
      <w:r w:rsidRPr="00DA3766">
        <w:t>申请文件显示：（</w:t>
      </w:r>
      <w:r w:rsidRPr="00DA3766">
        <w:t>1</w:t>
      </w:r>
      <w:r w:rsidRPr="00DA3766">
        <w:t>）报告期各期末，标的资产其他应收款账面余额分别为</w:t>
      </w:r>
      <w:r w:rsidRPr="00DA3766">
        <w:t>961.83</w:t>
      </w:r>
      <w:r w:rsidRPr="00DA3766">
        <w:t>万元、</w:t>
      </w:r>
      <w:r w:rsidRPr="00DA3766">
        <w:t>2678.51</w:t>
      </w:r>
      <w:r w:rsidRPr="00DA3766">
        <w:t>万元和</w:t>
      </w:r>
      <w:r w:rsidRPr="00DA3766">
        <w:t>5309.29</w:t>
      </w:r>
      <w:r w:rsidRPr="00DA3766">
        <w:t>万元，主要由合作意向金、资金拆出构成。（</w:t>
      </w:r>
      <w:r w:rsidRPr="00DA3766">
        <w:t>2</w:t>
      </w:r>
      <w:r w:rsidRPr="00DA3766">
        <w:t>）截至</w:t>
      </w:r>
      <w:r w:rsidRPr="00DA3766">
        <w:t>2025</w:t>
      </w:r>
      <w:r w:rsidRPr="00DA3766">
        <w:t>年</w:t>
      </w:r>
      <w:r w:rsidRPr="00DA3766">
        <w:t>6</w:t>
      </w:r>
      <w:r w:rsidRPr="00DA3766">
        <w:t>月</w:t>
      </w:r>
      <w:r w:rsidRPr="00DA3766">
        <w:t>30</w:t>
      </w:r>
      <w:r w:rsidRPr="00DA3766">
        <w:t>日，标的资产投资大额存单账面余额合计</w:t>
      </w:r>
      <w:r w:rsidRPr="00DA3766">
        <w:t>6313.56</w:t>
      </w:r>
      <w:r w:rsidRPr="00DA3766">
        <w:t>万元。（</w:t>
      </w:r>
      <w:r w:rsidRPr="00DA3766">
        <w:t>3</w:t>
      </w:r>
      <w:r w:rsidRPr="00DA3766">
        <w:t>）截至</w:t>
      </w:r>
      <w:r w:rsidRPr="00DA3766">
        <w:t>2025</w:t>
      </w:r>
      <w:r w:rsidRPr="00DA3766">
        <w:t>年</w:t>
      </w:r>
      <w:r w:rsidRPr="00DA3766">
        <w:t>6</w:t>
      </w:r>
      <w:r w:rsidRPr="00DA3766">
        <w:t>月</w:t>
      </w:r>
      <w:r w:rsidRPr="00DA3766">
        <w:t>30</w:t>
      </w:r>
      <w:r w:rsidRPr="00DA3766">
        <w:t>日，标的资产商誉账面价值为</w:t>
      </w:r>
      <w:r w:rsidRPr="00DA3766">
        <w:t>1944.34</w:t>
      </w:r>
      <w:r w:rsidRPr="00DA3766">
        <w:t>万元，主要系对广州宝点数字化科技有限公司（以下简称广州宝点）投资所形成的商誉。（</w:t>
      </w:r>
      <w:r w:rsidRPr="00DA3766">
        <w:t>4</w:t>
      </w:r>
      <w:r w:rsidRPr="00DA3766">
        <w:t>）报告期各期，标的资产收到其他与经营活动有关的现金分别为</w:t>
      </w:r>
      <w:r w:rsidRPr="00DA3766">
        <w:t>1039.84</w:t>
      </w:r>
      <w:r w:rsidRPr="00DA3766">
        <w:t>万元、</w:t>
      </w:r>
      <w:r w:rsidRPr="00DA3766">
        <w:t>4237.92</w:t>
      </w:r>
      <w:r w:rsidRPr="00DA3766">
        <w:t>万元和</w:t>
      </w:r>
      <w:r w:rsidRPr="00DA3766">
        <w:t>3543.29</w:t>
      </w:r>
      <w:r w:rsidRPr="00DA3766">
        <w:t>万元，支付其他与经营活动有关的现金分别为</w:t>
      </w:r>
      <w:r w:rsidRPr="00DA3766">
        <w:t>3524.31</w:t>
      </w:r>
      <w:r w:rsidRPr="00DA3766">
        <w:t>万元、</w:t>
      </w:r>
      <w:r w:rsidRPr="00DA3766">
        <w:t>7689.97</w:t>
      </w:r>
      <w:r w:rsidRPr="00DA3766">
        <w:t>万元和</w:t>
      </w:r>
      <w:r w:rsidRPr="00DA3766">
        <w:t>6254.51</w:t>
      </w:r>
      <w:r w:rsidRPr="00DA3766">
        <w:t>万元。（</w:t>
      </w:r>
      <w:r w:rsidRPr="00DA3766">
        <w:t>5</w:t>
      </w:r>
      <w:r w:rsidRPr="00DA3766">
        <w:t>）</w:t>
      </w:r>
      <w:r w:rsidRPr="00DA3766">
        <w:t>2023</w:t>
      </w:r>
      <w:r w:rsidRPr="00DA3766">
        <w:t>年，标的资产自关联方处购买无形资产，同年标的资产计提无形资产减值准备</w:t>
      </w:r>
      <w:r w:rsidRPr="00DA3766">
        <w:t>737.11</w:t>
      </w:r>
      <w:r w:rsidRPr="00DA3766">
        <w:t>万元。标的资产部分专利权、软件著作权及作品著作权系继受取得。</w:t>
      </w:r>
    </w:p>
    <w:p w14:paraId="4CD255E9" w14:textId="33E1EED2" w:rsidR="00E93DA8" w:rsidRPr="00DA3766" w:rsidRDefault="00E93DA8" w:rsidP="00E93DA8">
      <w:pPr>
        <w:pStyle w:val="0050"/>
        <w:spacing w:before="120" w:after="120"/>
        <w:ind w:firstLine="480"/>
      </w:pPr>
      <w:r w:rsidRPr="00DA3766">
        <w:t>请上市公司补充说明：（</w:t>
      </w:r>
      <w:r w:rsidRPr="00DA3766">
        <w:t>1</w:t>
      </w:r>
      <w:r w:rsidRPr="00DA3766">
        <w:t>）其他应收款中合作意向金、资金拆出的明细情况、产生原因及合理性、对手方情况、相关款项的流向及具体用途，是否存在回收风险，坏账准备计提是否充分。（</w:t>
      </w:r>
      <w:r w:rsidRPr="00DA3766">
        <w:t>2</w:t>
      </w:r>
      <w:r w:rsidRPr="00DA3766">
        <w:t>）列表展示最近一期末大额存单的金额、期限、收益率、收益金额，是否存在质押或权利受限的情况</w:t>
      </w:r>
      <w:r w:rsidRPr="00DA3766">
        <w:t>,</w:t>
      </w:r>
      <w:r w:rsidRPr="00DA3766">
        <w:t>如是，说明对本次交易评估的影响。（</w:t>
      </w:r>
      <w:r w:rsidRPr="00DA3766">
        <w:t>3</w:t>
      </w:r>
      <w:r w:rsidRPr="00DA3766">
        <w:t>）结合所在行业发展情况、广州宝点的经营情况及财务状况、商誉减值测试主要参数及假设，相关参数同本次评估是否存在差异等，说明商誉减值准备计提充分性。（</w:t>
      </w:r>
      <w:r w:rsidRPr="00DA3766">
        <w:t>4</w:t>
      </w:r>
      <w:r w:rsidRPr="00DA3766">
        <w:t>）收到和支付其他与经营活动有关的现金的具体构成、形成原因，是否存在不具备商业实质的情形，报告期内金额变动的原因。（</w:t>
      </w:r>
      <w:r w:rsidRPr="00DA3766">
        <w:t>5</w:t>
      </w:r>
      <w:r w:rsidRPr="00DA3766">
        <w:t>）标的资产外购专利权、软件著作权及作品著作权的具体情况及原因，自关联方购买无形资产的具体情况及公允性，相关无形资产的具体用途；报告期内无形资产减值的原因，相关减值准备计提是否合理、充分。</w:t>
      </w:r>
    </w:p>
    <w:p w14:paraId="3C36BC0A" w14:textId="1EE16FE1" w:rsidR="00E93DA8" w:rsidRPr="00DA3766" w:rsidRDefault="00E93DA8" w:rsidP="00E93DA8">
      <w:pPr>
        <w:pStyle w:val="0050"/>
        <w:spacing w:before="120" w:after="120"/>
        <w:ind w:firstLine="480"/>
      </w:pPr>
      <w:r w:rsidRPr="00DA3766">
        <w:t>请独立财务顾问和会计师核查并发表明确意见。</w:t>
      </w:r>
    </w:p>
    <w:p w14:paraId="1AD890CB" w14:textId="77777777" w:rsidR="00E93DA8" w:rsidRPr="00DA3766" w:rsidRDefault="00E93DA8" w:rsidP="00E93DA8">
      <w:pPr>
        <w:pStyle w:val="005"/>
        <w:spacing w:before="120" w:after="120"/>
        <w:ind w:firstLine="480"/>
      </w:pPr>
      <w:r w:rsidRPr="00DA3766">
        <w:t>【回复】</w:t>
      </w:r>
    </w:p>
    <w:p w14:paraId="01378854" w14:textId="45600CB6" w:rsidR="00E93DA8" w:rsidRPr="004C2193" w:rsidRDefault="00E93DA8" w:rsidP="004C2193">
      <w:pPr>
        <w:pStyle w:val="002"/>
        <w:spacing w:before="120" w:after="120"/>
        <w:ind w:firstLine="450"/>
        <w:rPr>
          <w:spacing w:val="-8"/>
        </w:rPr>
      </w:pPr>
      <w:r w:rsidRPr="004C2193">
        <w:rPr>
          <w:spacing w:val="-8"/>
        </w:rPr>
        <w:t>一、</w:t>
      </w:r>
      <w:r w:rsidR="00505D75" w:rsidRPr="004C2193">
        <w:rPr>
          <w:spacing w:val="-8"/>
        </w:rPr>
        <w:t>其他应收款中合作意向金、资金拆出的明细情况、产生原因及合理性、对手方情况、相关款项的流向及具体用途，是否存在回收风险，坏账准备计提是否充分</w:t>
      </w:r>
    </w:p>
    <w:p w14:paraId="57D300FF" w14:textId="31EC9D1D" w:rsidR="00BA602A" w:rsidRPr="00DA3766" w:rsidRDefault="00BA602A" w:rsidP="00BA602A">
      <w:pPr>
        <w:pStyle w:val="003"/>
        <w:spacing w:before="120" w:after="120"/>
        <w:ind w:firstLine="482"/>
      </w:pPr>
      <w:r w:rsidRPr="00DA3766">
        <w:t>（一）合作意向金</w:t>
      </w:r>
    </w:p>
    <w:p w14:paraId="2557798D" w14:textId="2F829B36" w:rsidR="00696BD5" w:rsidRPr="00DA3766" w:rsidRDefault="00696BD5" w:rsidP="00D95731">
      <w:pPr>
        <w:pStyle w:val="005"/>
        <w:spacing w:before="120" w:after="120"/>
        <w:ind w:firstLine="480"/>
        <w:rPr>
          <w:lang w:bidi="ar"/>
        </w:rPr>
      </w:pPr>
      <w:bookmarkStart w:id="90" w:name="OLE_LINK152"/>
      <w:bookmarkStart w:id="91" w:name="_Hlk219759449"/>
      <w:r w:rsidRPr="00DA3766">
        <w:rPr>
          <w:lang w:bidi="ar"/>
        </w:rPr>
        <w:t>报告期各期末，标的公司其他应收款中合作意向金</w:t>
      </w:r>
      <w:bookmarkEnd w:id="90"/>
      <w:r w:rsidRPr="00DA3766">
        <w:rPr>
          <w:lang w:bidi="ar"/>
        </w:rPr>
        <w:t>账面余额情况如下：</w:t>
      </w:r>
    </w:p>
    <w:bookmarkEnd w:id="91"/>
    <w:p w14:paraId="27DED637" w14:textId="77777777" w:rsidR="00696BD5" w:rsidRPr="00DA3766" w:rsidRDefault="00696BD5" w:rsidP="00696BD5">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696BD5" w:rsidRPr="00DA3766" w14:paraId="281BC93F" w14:textId="77777777" w:rsidTr="00DA3766">
        <w:trPr>
          <w:trHeight w:val="397"/>
          <w:jc w:val="center"/>
        </w:trPr>
        <w:tc>
          <w:tcPr>
            <w:tcW w:w="2043" w:type="dxa"/>
            <w:tcMar>
              <w:top w:w="0" w:type="dxa"/>
              <w:left w:w="108" w:type="dxa"/>
              <w:bottom w:w="0" w:type="dxa"/>
              <w:right w:w="108" w:type="dxa"/>
            </w:tcMar>
            <w:vAlign w:val="center"/>
          </w:tcPr>
          <w:p w14:paraId="2ACCB41A"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0A262529"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746C55F5"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7B2A7D74"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696BD5" w:rsidRPr="00DA3766" w14:paraId="11AD5B77" w14:textId="77777777" w:rsidTr="00DA3766">
        <w:trPr>
          <w:trHeight w:val="397"/>
          <w:jc w:val="center"/>
        </w:trPr>
        <w:tc>
          <w:tcPr>
            <w:tcW w:w="2043" w:type="dxa"/>
            <w:tcMar>
              <w:top w:w="0" w:type="dxa"/>
              <w:left w:w="108" w:type="dxa"/>
              <w:bottom w:w="0" w:type="dxa"/>
              <w:right w:w="108" w:type="dxa"/>
            </w:tcMar>
            <w:vAlign w:val="center"/>
          </w:tcPr>
          <w:p w14:paraId="4D044456" w14:textId="77777777" w:rsidR="00696BD5" w:rsidRPr="00DA3766" w:rsidRDefault="00696BD5"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合作意向金</w:t>
            </w:r>
          </w:p>
        </w:tc>
        <w:tc>
          <w:tcPr>
            <w:tcW w:w="2217" w:type="dxa"/>
            <w:tcMar>
              <w:top w:w="0" w:type="dxa"/>
              <w:left w:w="108" w:type="dxa"/>
              <w:bottom w:w="0" w:type="dxa"/>
              <w:right w:w="108" w:type="dxa"/>
            </w:tcMar>
            <w:vAlign w:val="center"/>
          </w:tcPr>
          <w:p w14:paraId="37BE77E7"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2,473.20</w:t>
            </w:r>
          </w:p>
        </w:tc>
        <w:tc>
          <w:tcPr>
            <w:tcW w:w="2134" w:type="dxa"/>
            <w:tcMar>
              <w:top w:w="0" w:type="dxa"/>
              <w:left w:w="108" w:type="dxa"/>
              <w:bottom w:w="0" w:type="dxa"/>
              <w:right w:w="108" w:type="dxa"/>
            </w:tcMar>
            <w:vAlign w:val="center"/>
          </w:tcPr>
          <w:p w14:paraId="210A9889"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1,545.90</w:t>
            </w:r>
          </w:p>
        </w:tc>
        <w:tc>
          <w:tcPr>
            <w:tcW w:w="2134" w:type="dxa"/>
            <w:tcMar>
              <w:top w:w="0" w:type="dxa"/>
              <w:left w:w="108" w:type="dxa"/>
              <w:bottom w:w="0" w:type="dxa"/>
              <w:right w:w="108" w:type="dxa"/>
            </w:tcMar>
            <w:vAlign w:val="center"/>
          </w:tcPr>
          <w:p w14:paraId="2E8A7B6A"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bl>
    <w:p w14:paraId="4E75BB2E" w14:textId="017CD734" w:rsidR="00696BD5" w:rsidRPr="00DA3766" w:rsidRDefault="004D53C4" w:rsidP="00D95731">
      <w:pPr>
        <w:pStyle w:val="005"/>
        <w:spacing w:before="120" w:after="120"/>
        <w:ind w:firstLine="480"/>
        <w:rPr>
          <w:lang w:bidi="ar"/>
        </w:rPr>
      </w:pPr>
      <w:bookmarkStart w:id="92" w:name="_Hlk219759474"/>
      <w:r w:rsidRPr="00DA3766">
        <w:rPr>
          <w:bCs/>
        </w:rPr>
        <w:t>报告期内，标的公司其他应收款中合作意向金的产生原因主要为在特定期限内垫付承诺完成的流水业绩对应的诚意金，以此获得该品牌多家门店的代运营权，打造标杆运营案例，并取得后续门店的</w:t>
      </w:r>
      <w:r w:rsidRPr="00DA3766">
        <w:rPr>
          <w:bCs/>
        </w:rPr>
        <w:t>SaaS</w:t>
      </w:r>
      <w:r w:rsidRPr="00DA3766">
        <w:rPr>
          <w:bCs/>
        </w:rPr>
        <w:t>合作，具备</w:t>
      </w:r>
      <w:r w:rsidR="001A16FB" w:rsidRPr="00DA3766">
        <w:rPr>
          <w:bCs/>
        </w:rPr>
        <w:t>一定的</w:t>
      </w:r>
      <w:r w:rsidRPr="00DA3766">
        <w:rPr>
          <w:bCs/>
        </w:rPr>
        <w:t>合理性。标的公司上述合作意向金的交易对手方主要为场地型运营商客户，资金流向及用途主要包括运营商用于门店开立或者运维的一系列支出，包括设备投放、门店扩张等。</w:t>
      </w:r>
    </w:p>
    <w:bookmarkEnd w:id="92"/>
    <w:p w14:paraId="5A64EB94" w14:textId="5BF3A740" w:rsidR="001A16FB" w:rsidRPr="00DA3766" w:rsidRDefault="001A16FB"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标的公司合作意向金整体回收风险较小，</w:t>
      </w:r>
      <w:r w:rsidR="00AD0617" w:rsidRPr="00DA3766">
        <w:rPr>
          <w:rFonts w:ascii="Times New Roman" w:hAnsi="Times New Roman" w:cs="Times New Roman"/>
          <w:lang w:bidi="ar"/>
        </w:rPr>
        <w:t>报告期内</w:t>
      </w:r>
      <w:r w:rsidR="00192F35" w:rsidRPr="00DA3766">
        <w:rPr>
          <w:rFonts w:ascii="Times New Roman" w:hAnsi="Times New Roman" w:cs="Times New Roman"/>
          <w:lang w:bidi="ar"/>
        </w:rPr>
        <w:t>已按照《企业会计准则》的相关规定计提</w:t>
      </w:r>
      <w:r w:rsidRPr="00DA3766">
        <w:rPr>
          <w:rFonts w:ascii="Times New Roman" w:hAnsi="Times New Roman" w:cs="Times New Roman"/>
          <w:lang w:bidi="ar"/>
        </w:rPr>
        <w:t>坏账准备。</w:t>
      </w:r>
    </w:p>
    <w:p w14:paraId="0CB10731" w14:textId="573D013A" w:rsidR="0061450A" w:rsidRPr="00DA3766" w:rsidRDefault="00696BD5" w:rsidP="00696BD5">
      <w:pPr>
        <w:pStyle w:val="003"/>
        <w:spacing w:before="120" w:after="120"/>
        <w:ind w:firstLine="482"/>
      </w:pPr>
      <w:r w:rsidRPr="00DA3766">
        <w:t>（二）</w:t>
      </w:r>
      <w:r w:rsidR="0061450A" w:rsidRPr="00DA3766">
        <w:t>资金拆出</w:t>
      </w:r>
    </w:p>
    <w:p w14:paraId="7DE1CBD5" w14:textId="479B3D47" w:rsidR="00696BD5" w:rsidRPr="00DA3766" w:rsidRDefault="00696BD5"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报告期各期末，标的公司其他应收款中资金拆出账面余额情况如下：</w:t>
      </w:r>
    </w:p>
    <w:p w14:paraId="5A55B080" w14:textId="77777777" w:rsidR="00696BD5" w:rsidRPr="00DA3766" w:rsidRDefault="00696BD5" w:rsidP="00696BD5">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17"/>
        <w:gridCol w:w="2134"/>
        <w:gridCol w:w="2134"/>
      </w:tblGrid>
      <w:tr w:rsidR="00696BD5" w:rsidRPr="00DA3766" w14:paraId="1306A14C" w14:textId="77777777" w:rsidTr="00DA3766">
        <w:trPr>
          <w:trHeight w:val="397"/>
          <w:jc w:val="center"/>
        </w:trPr>
        <w:tc>
          <w:tcPr>
            <w:tcW w:w="1198" w:type="pct"/>
            <w:tcMar>
              <w:top w:w="0" w:type="dxa"/>
              <w:left w:w="108" w:type="dxa"/>
              <w:bottom w:w="0" w:type="dxa"/>
              <w:right w:w="108" w:type="dxa"/>
            </w:tcMar>
            <w:vAlign w:val="center"/>
          </w:tcPr>
          <w:p w14:paraId="2460FDBC"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300" w:type="pct"/>
            <w:tcMar>
              <w:top w:w="0" w:type="dxa"/>
              <w:left w:w="108" w:type="dxa"/>
              <w:bottom w:w="0" w:type="dxa"/>
              <w:right w:w="108" w:type="dxa"/>
            </w:tcMar>
            <w:vAlign w:val="center"/>
          </w:tcPr>
          <w:p w14:paraId="37F2E9F7"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14:paraId="7D068C4F"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14:paraId="7F419BE5"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696BD5" w:rsidRPr="00DA3766" w14:paraId="2BC819D3" w14:textId="77777777" w:rsidTr="00DA3766">
        <w:trPr>
          <w:trHeight w:val="397"/>
          <w:jc w:val="center"/>
        </w:trPr>
        <w:tc>
          <w:tcPr>
            <w:tcW w:w="1198" w:type="pct"/>
            <w:tcMar>
              <w:top w:w="0" w:type="dxa"/>
              <w:left w:w="108" w:type="dxa"/>
              <w:bottom w:w="0" w:type="dxa"/>
              <w:right w:w="108" w:type="dxa"/>
            </w:tcMar>
            <w:vAlign w:val="center"/>
          </w:tcPr>
          <w:p w14:paraId="6AB8DBC4" w14:textId="77777777" w:rsidR="00696BD5" w:rsidRPr="00DA3766" w:rsidRDefault="00696BD5"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资金拆出</w:t>
            </w:r>
          </w:p>
        </w:tc>
        <w:tc>
          <w:tcPr>
            <w:tcW w:w="1300" w:type="pct"/>
            <w:tcMar>
              <w:top w:w="0" w:type="dxa"/>
              <w:left w:w="108" w:type="dxa"/>
              <w:bottom w:w="0" w:type="dxa"/>
              <w:right w:w="108" w:type="dxa"/>
            </w:tcMar>
            <w:vAlign w:val="center"/>
          </w:tcPr>
          <w:p w14:paraId="50D3D321"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1,835.53</w:t>
            </w:r>
          </w:p>
        </w:tc>
        <w:tc>
          <w:tcPr>
            <w:tcW w:w="1251" w:type="pct"/>
            <w:tcMar>
              <w:top w:w="0" w:type="dxa"/>
              <w:left w:w="108" w:type="dxa"/>
              <w:bottom w:w="0" w:type="dxa"/>
              <w:right w:w="108" w:type="dxa"/>
            </w:tcMar>
            <w:vAlign w:val="center"/>
          </w:tcPr>
          <w:p w14:paraId="69578C87"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320.91</w:t>
            </w:r>
          </w:p>
        </w:tc>
        <w:tc>
          <w:tcPr>
            <w:tcW w:w="1251" w:type="pct"/>
            <w:tcMar>
              <w:top w:w="0" w:type="dxa"/>
              <w:left w:w="108" w:type="dxa"/>
              <w:bottom w:w="0" w:type="dxa"/>
              <w:right w:w="108" w:type="dxa"/>
            </w:tcMar>
            <w:vAlign w:val="center"/>
          </w:tcPr>
          <w:p w14:paraId="5EB6F454"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367.80</w:t>
            </w:r>
          </w:p>
        </w:tc>
      </w:tr>
    </w:tbl>
    <w:p w14:paraId="7434F041" w14:textId="786AA3ED" w:rsidR="007E238C" w:rsidRPr="00DA3766" w:rsidRDefault="007E238C" w:rsidP="007E238C">
      <w:pPr>
        <w:spacing w:before="120" w:afterLines="0" w:after="0"/>
        <w:ind w:firstLine="480"/>
        <w:jc w:val="both"/>
        <w:rPr>
          <w:rFonts w:ascii="Times New Roman" w:hAnsi="Times New Roman" w:cs="Times New Roman"/>
          <w:lang w:bidi="ar"/>
        </w:rPr>
      </w:pPr>
      <w:r w:rsidRPr="00DA3766">
        <w:rPr>
          <w:rFonts w:ascii="Times New Roman" w:hAnsi="Times New Roman" w:cs="Times New Roman"/>
          <w:bCs/>
        </w:rPr>
        <w:t>报告期内，</w:t>
      </w:r>
      <w:r w:rsidRPr="00DA3766">
        <w:rPr>
          <w:rFonts w:ascii="Times New Roman" w:hAnsi="Times New Roman" w:cs="Times New Roman"/>
          <w:lang w:bidi="ar"/>
        </w:rPr>
        <w:t>标的公司其他应收款中资金拆出的产生原因主要为</w:t>
      </w:r>
      <w:r w:rsidR="001A16FB" w:rsidRPr="00DA3766">
        <w:rPr>
          <w:rFonts w:ascii="Times New Roman" w:hAnsi="Times New Roman" w:cs="Times New Roman"/>
          <w:lang w:bidi="ar"/>
        </w:rPr>
        <w:t>业务</w:t>
      </w:r>
      <w:r w:rsidRPr="00DA3766">
        <w:rPr>
          <w:rFonts w:ascii="Times New Roman" w:hAnsi="Times New Roman" w:cs="Times New Roman"/>
          <w:lang w:bidi="ar"/>
        </w:rPr>
        <w:t>合作借款等，具备</w:t>
      </w:r>
      <w:r w:rsidR="001A16FB" w:rsidRPr="00DA3766">
        <w:rPr>
          <w:rFonts w:ascii="Times New Roman" w:hAnsi="Times New Roman" w:cs="Times New Roman"/>
          <w:lang w:bidi="ar"/>
        </w:rPr>
        <w:t>一定的</w:t>
      </w:r>
      <w:r w:rsidRPr="00DA3766">
        <w:rPr>
          <w:rFonts w:ascii="Times New Roman" w:hAnsi="Times New Roman" w:cs="Times New Roman"/>
          <w:lang w:bidi="ar"/>
        </w:rPr>
        <w:t>合理性。标的公司上述资金拆出的</w:t>
      </w:r>
      <w:r w:rsidR="00BA14E0" w:rsidRPr="00DA3766">
        <w:rPr>
          <w:rFonts w:ascii="Times New Roman" w:hAnsi="Times New Roman" w:cs="Times New Roman"/>
          <w:lang w:bidi="ar"/>
        </w:rPr>
        <w:t>对手方主要为</w:t>
      </w:r>
      <w:r w:rsidR="001A16FB" w:rsidRPr="00DA3766">
        <w:rPr>
          <w:rFonts w:ascii="Times New Roman" w:hAnsi="Times New Roman" w:cs="Times New Roman"/>
          <w:lang w:bidi="ar"/>
        </w:rPr>
        <w:t>业务</w:t>
      </w:r>
      <w:r w:rsidR="00BA14E0" w:rsidRPr="00DA3766">
        <w:rPr>
          <w:rFonts w:ascii="Times New Roman" w:hAnsi="Times New Roman" w:cs="Times New Roman"/>
          <w:lang w:bidi="ar"/>
        </w:rPr>
        <w:t>合作方，</w:t>
      </w:r>
      <w:r w:rsidRPr="00DA3766">
        <w:rPr>
          <w:rFonts w:ascii="Times New Roman" w:hAnsi="Times New Roman" w:cs="Times New Roman"/>
          <w:lang w:bidi="ar"/>
        </w:rPr>
        <w:t>资金流向及用途主要包括</w:t>
      </w:r>
      <w:r w:rsidR="00BA14E0" w:rsidRPr="00DA3766">
        <w:rPr>
          <w:rFonts w:ascii="Times New Roman" w:hAnsi="Times New Roman" w:cs="Times New Roman"/>
          <w:lang w:bidi="ar"/>
        </w:rPr>
        <w:t>资金拆入方用于业务扩展</w:t>
      </w:r>
      <w:r w:rsidRPr="00DA3766">
        <w:rPr>
          <w:rFonts w:ascii="Times New Roman" w:hAnsi="Times New Roman" w:cs="Times New Roman"/>
          <w:lang w:bidi="ar"/>
        </w:rPr>
        <w:t>等。</w:t>
      </w:r>
    </w:p>
    <w:p w14:paraId="320F3612" w14:textId="2E1FA2A6" w:rsidR="001A16FB" w:rsidRPr="00DA3766" w:rsidRDefault="00AD0617"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截至本回复出具之日，</w:t>
      </w:r>
      <w:r w:rsidR="001A16FB" w:rsidRPr="00DA3766">
        <w:rPr>
          <w:rFonts w:ascii="Times New Roman" w:hAnsi="Times New Roman" w:cs="Times New Roman"/>
          <w:lang w:bidi="ar"/>
        </w:rPr>
        <w:t>标的公司资金拆出</w:t>
      </w:r>
      <w:r w:rsidRPr="00DA3766">
        <w:rPr>
          <w:rFonts w:ascii="Times New Roman" w:hAnsi="Times New Roman" w:cs="Times New Roman"/>
          <w:lang w:bidi="ar"/>
        </w:rPr>
        <w:t>已全部收回</w:t>
      </w:r>
      <w:r w:rsidR="001A16FB" w:rsidRPr="00DA3766">
        <w:rPr>
          <w:rFonts w:ascii="Times New Roman" w:hAnsi="Times New Roman" w:cs="Times New Roman"/>
          <w:lang w:bidi="ar"/>
        </w:rPr>
        <w:t>，</w:t>
      </w:r>
      <w:r w:rsidRPr="00DA3766">
        <w:rPr>
          <w:rFonts w:ascii="Times New Roman" w:hAnsi="Times New Roman" w:cs="Times New Roman"/>
          <w:lang w:bidi="ar"/>
        </w:rPr>
        <w:t>报告期内已按照《企业会计准则》的相关规定计提坏账准备</w:t>
      </w:r>
      <w:r w:rsidR="001A16FB" w:rsidRPr="00DA3766">
        <w:rPr>
          <w:rFonts w:ascii="Times New Roman" w:hAnsi="Times New Roman" w:cs="Times New Roman"/>
          <w:lang w:bidi="ar"/>
        </w:rPr>
        <w:t>。</w:t>
      </w:r>
    </w:p>
    <w:p w14:paraId="57723FF9" w14:textId="296CB2D3" w:rsidR="00505D75" w:rsidRPr="00DA3766" w:rsidRDefault="00505D75" w:rsidP="00505D75">
      <w:pPr>
        <w:pStyle w:val="002"/>
        <w:spacing w:before="120" w:after="120"/>
        <w:ind w:firstLine="482"/>
      </w:pPr>
      <w:r w:rsidRPr="00DA3766">
        <w:t>二、列表展示最近一期末大额存单的金额、期限、收益率、收益金额，是否</w:t>
      </w:r>
      <w:bookmarkStart w:id="93" w:name="OLE_LINK151"/>
      <w:r w:rsidRPr="00DA3766">
        <w:t>存在质押或权利受限的情况</w:t>
      </w:r>
      <w:bookmarkEnd w:id="93"/>
      <w:r w:rsidR="005B5A85" w:rsidRPr="00DA3766">
        <w:t>，</w:t>
      </w:r>
      <w:r w:rsidRPr="00DA3766">
        <w:t>如是，说明对本次交易评估的影响</w:t>
      </w:r>
    </w:p>
    <w:p w14:paraId="0E397C61" w14:textId="037A419E" w:rsidR="0061450A" w:rsidRPr="00DA3766" w:rsidRDefault="005F10A2">
      <w:pPr>
        <w:spacing w:before="120" w:afterLines="0" w:after="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w:t>
      </w:r>
      <w:r w:rsidR="0061450A" w:rsidRPr="00DA3766">
        <w:rPr>
          <w:rFonts w:ascii="Times New Roman" w:hAnsi="Times New Roman" w:cs="Times New Roman"/>
        </w:rPr>
        <w:t>，标的公司大额存单</w:t>
      </w:r>
      <w:r w:rsidR="00E67DBE" w:rsidRPr="00DA3766">
        <w:rPr>
          <w:rFonts w:ascii="Times New Roman" w:hAnsi="Times New Roman" w:cs="Times New Roman"/>
        </w:rPr>
        <w:t>不</w:t>
      </w:r>
      <w:r w:rsidR="00C07373" w:rsidRPr="00DA3766">
        <w:rPr>
          <w:rFonts w:ascii="Times New Roman" w:hAnsi="Times New Roman" w:cs="Times New Roman"/>
        </w:rPr>
        <w:t>存在质押或权利受限的情况，具体情况</w:t>
      </w:r>
      <w:r w:rsidR="0061450A" w:rsidRPr="00DA3766">
        <w:rPr>
          <w:rFonts w:ascii="Times New Roman" w:hAnsi="Times New Roman" w:cs="Times New Roman"/>
        </w:rPr>
        <w:t>如下：</w:t>
      </w:r>
    </w:p>
    <w:p w14:paraId="5E99A570" w14:textId="0603ABC8" w:rsidR="00BA14E0" w:rsidRPr="00DA3766" w:rsidRDefault="00BA14E0" w:rsidP="00BA14E0">
      <w:pPr>
        <w:keepNext/>
        <w:spacing w:beforeLines="0" w:before="0" w:afterLines="0" w:after="0" w:line="240" w:lineRule="auto"/>
        <w:ind w:firstLineChars="0" w:firstLine="0"/>
        <w:jc w:val="right"/>
        <w:rPr>
          <w:rFonts w:ascii="Times New Roman" w:hAnsi="Times New Roman" w:cs="Times New Roman"/>
        </w:rPr>
      </w:pPr>
      <w:r w:rsidRPr="00DA3766">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1591"/>
        <w:gridCol w:w="843"/>
        <w:gridCol w:w="843"/>
        <w:gridCol w:w="1162"/>
        <w:gridCol w:w="1486"/>
        <w:gridCol w:w="694"/>
      </w:tblGrid>
      <w:tr w:rsidR="0061450A" w:rsidRPr="00DA3766" w14:paraId="1D96419D" w14:textId="77777777" w:rsidTr="004C2193">
        <w:trPr>
          <w:trHeight w:val="397"/>
          <w:tblHeader/>
          <w:jc w:val="center"/>
        </w:trPr>
        <w:tc>
          <w:tcPr>
            <w:tcW w:w="1119" w:type="pct"/>
            <w:tcMar>
              <w:top w:w="0" w:type="dxa"/>
              <w:bottom w:w="0" w:type="dxa"/>
            </w:tcMar>
            <w:vAlign w:val="center"/>
          </w:tcPr>
          <w:p w14:paraId="19D8E728" w14:textId="03765D5A" w:rsidR="0061450A" w:rsidRPr="00DA3766" w:rsidRDefault="005F10A2"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933" w:type="pct"/>
            <w:tcMar>
              <w:top w:w="0" w:type="dxa"/>
              <w:bottom w:w="0" w:type="dxa"/>
            </w:tcMar>
            <w:vAlign w:val="center"/>
          </w:tcPr>
          <w:p w14:paraId="31289F08"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面值</w:t>
            </w:r>
          </w:p>
        </w:tc>
        <w:tc>
          <w:tcPr>
            <w:tcW w:w="494" w:type="pct"/>
            <w:tcMar>
              <w:top w:w="0" w:type="dxa"/>
              <w:bottom w:w="0" w:type="dxa"/>
            </w:tcMar>
            <w:vAlign w:val="center"/>
          </w:tcPr>
          <w:p w14:paraId="7E69C3E7"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票面利率</w:t>
            </w:r>
          </w:p>
        </w:tc>
        <w:tc>
          <w:tcPr>
            <w:tcW w:w="494" w:type="pct"/>
            <w:tcMar>
              <w:top w:w="0" w:type="dxa"/>
              <w:bottom w:w="0" w:type="dxa"/>
            </w:tcMar>
            <w:vAlign w:val="center"/>
          </w:tcPr>
          <w:p w14:paraId="3A8D787E"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实际利率</w:t>
            </w:r>
          </w:p>
        </w:tc>
        <w:tc>
          <w:tcPr>
            <w:tcW w:w="681" w:type="pct"/>
            <w:tcMar>
              <w:top w:w="0" w:type="dxa"/>
              <w:bottom w:w="0" w:type="dxa"/>
            </w:tcMar>
            <w:vAlign w:val="center"/>
          </w:tcPr>
          <w:p w14:paraId="6054521D"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到期日</w:t>
            </w:r>
          </w:p>
        </w:tc>
        <w:tc>
          <w:tcPr>
            <w:tcW w:w="871" w:type="pct"/>
            <w:tcMar>
              <w:top w:w="0" w:type="dxa"/>
              <w:bottom w:w="0" w:type="dxa"/>
            </w:tcMar>
            <w:vAlign w:val="center"/>
          </w:tcPr>
          <w:p w14:paraId="1DDF024C"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收益金额</w:t>
            </w:r>
          </w:p>
        </w:tc>
        <w:tc>
          <w:tcPr>
            <w:tcW w:w="407" w:type="pct"/>
            <w:tcMar>
              <w:top w:w="0" w:type="dxa"/>
              <w:bottom w:w="0" w:type="dxa"/>
            </w:tcMar>
            <w:vAlign w:val="center"/>
          </w:tcPr>
          <w:p w14:paraId="0F67D655"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是否受限</w:t>
            </w:r>
          </w:p>
        </w:tc>
      </w:tr>
      <w:tr w:rsidR="0061450A" w:rsidRPr="00DA3766" w14:paraId="5340A236" w14:textId="77777777" w:rsidTr="00DA3766">
        <w:trPr>
          <w:trHeight w:val="397"/>
          <w:jc w:val="center"/>
        </w:trPr>
        <w:tc>
          <w:tcPr>
            <w:tcW w:w="1119" w:type="pct"/>
            <w:tcMar>
              <w:top w:w="0" w:type="dxa"/>
              <w:bottom w:w="0" w:type="dxa"/>
            </w:tcMar>
            <w:vAlign w:val="center"/>
          </w:tcPr>
          <w:p w14:paraId="285FE97F"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广发银行股份有限公司大额存单</w:t>
            </w:r>
          </w:p>
        </w:tc>
        <w:tc>
          <w:tcPr>
            <w:tcW w:w="933" w:type="pct"/>
            <w:tcMar>
              <w:top w:w="0" w:type="dxa"/>
              <w:bottom w:w="0" w:type="dxa"/>
            </w:tcMar>
            <w:vAlign w:val="center"/>
          </w:tcPr>
          <w:p w14:paraId="028D6F3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25,000,000.00</w:t>
            </w:r>
          </w:p>
        </w:tc>
        <w:tc>
          <w:tcPr>
            <w:tcW w:w="494" w:type="pct"/>
            <w:tcMar>
              <w:top w:w="0" w:type="dxa"/>
              <w:bottom w:w="0" w:type="dxa"/>
            </w:tcMar>
            <w:vAlign w:val="center"/>
          </w:tcPr>
          <w:p w14:paraId="06F0BF7E"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3.25%</w:t>
            </w:r>
          </w:p>
        </w:tc>
        <w:tc>
          <w:tcPr>
            <w:tcW w:w="494" w:type="pct"/>
            <w:tcMar>
              <w:top w:w="0" w:type="dxa"/>
              <w:bottom w:w="0" w:type="dxa"/>
            </w:tcMar>
            <w:vAlign w:val="center"/>
          </w:tcPr>
          <w:p w14:paraId="5CEEF9D3"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3.25%</w:t>
            </w:r>
          </w:p>
        </w:tc>
        <w:tc>
          <w:tcPr>
            <w:tcW w:w="681" w:type="pct"/>
            <w:tcMar>
              <w:top w:w="0" w:type="dxa"/>
              <w:bottom w:w="0" w:type="dxa"/>
            </w:tcMar>
            <w:vAlign w:val="center"/>
          </w:tcPr>
          <w:p w14:paraId="56F2F533"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2026-4-16</w:t>
            </w:r>
          </w:p>
        </w:tc>
        <w:tc>
          <w:tcPr>
            <w:tcW w:w="871" w:type="pct"/>
            <w:tcMar>
              <w:top w:w="0" w:type="dxa"/>
              <w:bottom w:w="0" w:type="dxa"/>
            </w:tcMar>
            <w:vAlign w:val="center"/>
          </w:tcPr>
          <w:p w14:paraId="41B5831D"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1,794,178.08</w:t>
            </w:r>
          </w:p>
        </w:tc>
        <w:tc>
          <w:tcPr>
            <w:tcW w:w="407" w:type="pct"/>
            <w:tcMar>
              <w:top w:w="0" w:type="dxa"/>
              <w:bottom w:w="0" w:type="dxa"/>
            </w:tcMar>
            <w:vAlign w:val="center"/>
          </w:tcPr>
          <w:p w14:paraId="6B73C45A"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61450A" w:rsidRPr="00DA3766" w14:paraId="657ED5E2" w14:textId="77777777" w:rsidTr="00DA3766">
        <w:trPr>
          <w:trHeight w:val="397"/>
          <w:jc w:val="center"/>
        </w:trPr>
        <w:tc>
          <w:tcPr>
            <w:tcW w:w="1119" w:type="pct"/>
            <w:tcMar>
              <w:top w:w="0" w:type="dxa"/>
              <w:bottom w:w="0" w:type="dxa"/>
            </w:tcMar>
            <w:vAlign w:val="center"/>
          </w:tcPr>
          <w:p w14:paraId="719BD2A6"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广东南粤银行大额</w:t>
            </w:r>
            <w:r w:rsidRPr="00DA3766">
              <w:rPr>
                <w:rFonts w:ascii="Times New Roman" w:hAnsi="Times New Roman" w:cs="Times New Roman"/>
                <w:color w:val="000000"/>
                <w:sz w:val="21"/>
                <w:szCs w:val="21"/>
              </w:rPr>
              <w:lastRenderedPageBreak/>
              <w:t>存单</w:t>
            </w:r>
          </w:p>
        </w:tc>
        <w:tc>
          <w:tcPr>
            <w:tcW w:w="933" w:type="pct"/>
            <w:tcMar>
              <w:top w:w="0" w:type="dxa"/>
              <w:bottom w:w="0" w:type="dxa"/>
            </w:tcMar>
            <w:vAlign w:val="center"/>
          </w:tcPr>
          <w:p w14:paraId="01ED0CC4"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60,000,000.00</w:t>
            </w:r>
          </w:p>
        </w:tc>
        <w:tc>
          <w:tcPr>
            <w:tcW w:w="494" w:type="pct"/>
            <w:tcMar>
              <w:top w:w="0" w:type="dxa"/>
              <w:bottom w:w="0" w:type="dxa"/>
            </w:tcMar>
            <w:vAlign w:val="center"/>
          </w:tcPr>
          <w:p w14:paraId="7E0F6263"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w:t>
            </w:r>
          </w:p>
        </w:tc>
        <w:tc>
          <w:tcPr>
            <w:tcW w:w="494" w:type="pct"/>
            <w:tcMar>
              <w:top w:w="0" w:type="dxa"/>
              <w:bottom w:w="0" w:type="dxa"/>
            </w:tcMar>
            <w:vAlign w:val="center"/>
          </w:tcPr>
          <w:p w14:paraId="2F3E7019"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w:t>
            </w:r>
          </w:p>
        </w:tc>
        <w:tc>
          <w:tcPr>
            <w:tcW w:w="681" w:type="pct"/>
            <w:tcMar>
              <w:top w:w="0" w:type="dxa"/>
              <w:bottom w:w="0" w:type="dxa"/>
            </w:tcMar>
            <w:vAlign w:val="center"/>
          </w:tcPr>
          <w:p w14:paraId="095F2A81"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2027-1-2</w:t>
            </w:r>
          </w:p>
        </w:tc>
        <w:tc>
          <w:tcPr>
            <w:tcW w:w="871" w:type="pct"/>
            <w:tcMar>
              <w:top w:w="0" w:type="dxa"/>
              <w:bottom w:w="0" w:type="dxa"/>
            </w:tcMar>
            <w:vAlign w:val="center"/>
          </w:tcPr>
          <w:p w14:paraId="22EE4BE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3,135,616.44</w:t>
            </w:r>
          </w:p>
        </w:tc>
        <w:tc>
          <w:tcPr>
            <w:tcW w:w="407" w:type="pct"/>
            <w:tcMar>
              <w:top w:w="0" w:type="dxa"/>
              <w:bottom w:w="0" w:type="dxa"/>
            </w:tcMar>
            <w:vAlign w:val="center"/>
          </w:tcPr>
          <w:p w14:paraId="2AE31A90"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61450A" w:rsidRPr="00DA3766" w14:paraId="6CCEC1A6" w14:textId="77777777" w:rsidTr="00DA3766">
        <w:trPr>
          <w:trHeight w:val="397"/>
          <w:jc w:val="center"/>
        </w:trPr>
        <w:tc>
          <w:tcPr>
            <w:tcW w:w="1119" w:type="pct"/>
            <w:tcMar>
              <w:top w:w="0" w:type="dxa"/>
              <w:bottom w:w="0" w:type="dxa"/>
            </w:tcMar>
            <w:vAlign w:val="center"/>
          </w:tcPr>
          <w:p w14:paraId="4DE03B8F" w14:textId="77777777" w:rsidR="0061450A" w:rsidRPr="00DA3766" w:rsidRDefault="0061450A"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933" w:type="pct"/>
            <w:tcMar>
              <w:top w:w="0" w:type="dxa"/>
              <w:bottom w:w="0" w:type="dxa"/>
            </w:tcMar>
            <w:vAlign w:val="center"/>
          </w:tcPr>
          <w:p w14:paraId="2E59AB7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85,000,000.00</w:t>
            </w:r>
          </w:p>
        </w:tc>
        <w:tc>
          <w:tcPr>
            <w:tcW w:w="494" w:type="pct"/>
            <w:tcMar>
              <w:top w:w="0" w:type="dxa"/>
              <w:bottom w:w="0" w:type="dxa"/>
            </w:tcMar>
            <w:vAlign w:val="center"/>
          </w:tcPr>
          <w:p w14:paraId="41142895"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494" w:type="pct"/>
            <w:tcMar>
              <w:top w:w="0" w:type="dxa"/>
              <w:bottom w:w="0" w:type="dxa"/>
            </w:tcMar>
            <w:vAlign w:val="center"/>
          </w:tcPr>
          <w:p w14:paraId="3D65BDFC"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681" w:type="pct"/>
            <w:tcMar>
              <w:top w:w="0" w:type="dxa"/>
              <w:bottom w:w="0" w:type="dxa"/>
            </w:tcMar>
            <w:vAlign w:val="center"/>
          </w:tcPr>
          <w:p w14:paraId="03364EEF"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871" w:type="pct"/>
            <w:tcMar>
              <w:top w:w="0" w:type="dxa"/>
              <w:bottom w:w="0" w:type="dxa"/>
            </w:tcMar>
            <w:vAlign w:val="center"/>
          </w:tcPr>
          <w:p w14:paraId="557EC6E4"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4,929,794.52</w:t>
            </w:r>
          </w:p>
        </w:tc>
        <w:tc>
          <w:tcPr>
            <w:tcW w:w="407" w:type="pct"/>
            <w:tcMar>
              <w:top w:w="0" w:type="dxa"/>
              <w:bottom w:w="0" w:type="dxa"/>
            </w:tcMar>
            <w:vAlign w:val="center"/>
          </w:tcPr>
          <w:p w14:paraId="7BA10F24"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r>
    </w:tbl>
    <w:p w14:paraId="33377094" w14:textId="2E7D5C48" w:rsidR="004107CB" w:rsidRPr="00DA3766" w:rsidRDefault="004107CB" w:rsidP="00A81CC2">
      <w:pPr>
        <w:pStyle w:val="002"/>
        <w:keepNext w:val="0"/>
        <w:spacing w:before="120" w:after="120"/>
        <w:ind w:firstLine="482"/>
      </w:pPr>
      <w:r w:rsidRPr="00DA3766">
        <w:t>三、结合</w:t>
      </w:r>
      <w:bookmarkStart w:id="94" w:name="OLE_LINK43"/>
      <w:r w:rsidRPr="00DA3766">
        <w:t>所在行业发展情况、广州宝点的经营情况及财务状况</w:t>
      </w:r>
      <w:bookmarkEnd w:id="94"/>
      <w:r w:rsidRPr="00DA3766">
        <w:t>、商誉减值测试主要参数及假设，相关参数同本次评估是否存在差异等，说明商誉减值准备计提充分性</w:t>
      </w:r>
    </w:p>
    <w:p w14:paraId="567344FA" w14:textId="60FA74CB" w:rsidR="00C91525" w:rsidRPr="00DA3766" w:rsidRDefault="00C07373" w:rsidP="00A81CC2">
      <w:pPr>
        <w:pStyle w:val="003"/>
        <w:keepNext w:val="0"/>
        <w:spacing w:before="120" w:after="120"/>
        <w:ind w:firstLine="482"/>
      </w:pPr>
      <w:r w:rsidRPr="00DA3766">
        <w:t>（一）</w:t>
      </w:r>
      <w:r w:rsidR="00C91525" w:rsidRPr="00DA3766">
        <w:t>商誉减值测试的主要参数及假设</w:t>
      </w:r>
    </w:p>
    <w:tbl>
      <w:tblPr>
        <w:tblW w:w="55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37"/>
        <w:gridCol w:w="708"/>
        <w:gridCol w:w="2245"/>
        <w:gridCol w:w="2550"/>
        <w:gridCol w:w="1733"/>
        <w:gridCol w:w="1298"/>
      </w:tblGrid>
      <w:tr w:rsidR="004D53C4" w:rsidRPr="00DA3766" w14:paraId="3FC130D4" w14:textId="77777777" w:rsidTr="004C2193">
        <w:trPr>
          <w:trHeight w:val="397"/>
          <w:tblHeader/>
          <w:jc w:val="center"/>
        </w:trPr>
        <w:tc>
          <w:tcPr>
            <w:tcW w:w="495" w:type="pct"/>
            <w:tcMar>
              <w:top w:w="0" w:type="dxa"/>
              <w:bottom w:w="0" w:type="dxa"/>
            </w:tcMar>
            <w:vAlign w:val="center"/>
          </w:tcPr>
          <w:p w14:paraId="2CEAFCFF"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374" w:type="pct"/>
            <w:tcMar>
              <w:top w:w="0" w:type="dxa"/>
              <w:bottom w:w="0" w:type="dxa"/>
            </w:tcMar>
            <w:vAlign w:val="center"/>
          </w:tcPr>
          <w:p w14:paraId="4DF8809A"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预测期的年限</w:t>
            </w:r>
          </w:p>
        </w:tc>
        <w:tc>
          <w:tcPr>
            <w:tcW w:w="1185" w:type="pct"/>
            <w:tcMar>
              <w:top w:w="0" w:type="dxa"/>
              <w:bottom w:w="0" w:type="dxa"/>
            </w:tcMar>
            <w:vAlign w:val="center"/>
          </w:tcPr>
          <w:p w14:paraId="516A761A"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95" w:name="RANGE!F6"/>
            <w:r w:rsidRPr="00DA3766">
              <w:rPr>
                <w:rFonts w:ascii="Times New Roman" w:hAnsi="Times New Roman" w:cs="Times New Roman"/>
                <w:b/>
                <w:color w:val="000000"/>
                <w:kern w:val="2"/>
                <w:sz w:val="21"/>
                <w:szCs w:val="21"/>
              </w:rPr>
              <w:t>预测期的关键参数（增长率、利润率等）</w:t>
            </w:r>
            <w:bookmarkEnd w:id="95"/>
          </w:p>
        </w:tc>
        <w:tc>
          <w:tcPr>
            <w:tcW w:w="1346" w:type="pct"/>
            <w:tcMar>
              <w:top w:w="0" w:type="dxa"/>
              <w:bottom w:w="0" w:type="dxa"/>
            </w:tcMar>
            <w:vAlign w:val="center"/>
          </w:tcPr>
          <w:p w14:paraId="7AD448A2" w14:textId="77777777" w:rsidR="004C2193"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预测期内的参数的</w:t>
            </w:r>
          </w:p>
          <w:p w14:paraId="7C419B55" w14:textId="3CF35CFF"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确定依据</w:t>
            </w:r>
          </w:p>
        </w:tc>
        <w:tc>
          <w:tcPr>
            <w:tcW w:w="915" w:type="pct"/>
            <w:tcMar>
              <w:top w:w="0" w:type="dxa"/>
              <w:bottom w:w="0" w:type="dxa"/>
            </w:tcMar>
            <w:vAlign w:val="center"/>
          </w:tcPr>
          <w:p w14:paraId="7BF10E8D"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96" w:name="RANGE!H6"/>
            <w:r w:rsidRPr="00DA3766">
              <w:rPr>
                <w:rFonts w:ascii="Times New Roman" w:hAnsi="Times New Roman" w:cs="Times New Roman"/>
                <w:b/>
                <w:color w:val="000000"/>
                <w:kern w:val="2"/>
                <w:sz w:val="21"/>
                <w:szCs w:val="21"/>
              </w:rPr>
              <w:t>稳定期的关键参数（增长率、利润率、折现率等）</w:t>
            </w:r>
            <w:bookmarkEnd w:id="96"/>
          </w:p>
        </w:tc>
        <w:tc>
          <w:tcPr>
            <w:tcW w:w="686" w:type="pct"/>
            <w:tcMar>
              <w:top w:w="0" w:type="dxa"/>
              <w:bottom w:w="0" w:type="dxa"/>
            </w:tcMar>
            <w:vAlign w:val="center"/>
          </w:tcPr>
          <w:p w14:paraId="69C82F08"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稳定期的关键参数的确定依据</w:t>
            </w:r>
          </w:p>
        </w:tc>
      </w:tr>
      <w:tr w:rsidR="004D53C4" w:rsidRPr="00DA3766" w14:paraId="04AA92EA" w14:textId="77777777" w:rsidTr="004C2193">
        <w:trPr>
          <w:trHeight w:val="397"/>
          <w:jc w:val="center"/>
        </w:trPr>
        <w:tc>
          <w:tcPr>
            <w:tcW w:w="495" w:type="pct"/>
            <w:tcMar>
              <w:top w:w="0" w:type="dxa"/>
              <w:bottom w:w="0" w:type="dxa"/>
            </w:tcMar>
            <w:vAlign w:val="center"/>
          </w:tcPr>
          <w:p w14:paraId="717B1692"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广州宝点数字化科技有限公司</w:t>
            </w:r>
          </w:p>
        </w:tc>
        <w:tc>
          <w:tcPr>
            <w:tcW w:w="374" w:type="pct"/>
            <w:tcMar>
              <w:top w:w="0" w:type="dxa"/>
              <w:bottom w:w="0" w:type="dxa"/>
            </w:tcMar>
            <w:vAlign w:val="center"/>
          </w:tcPr>
          <w:p w14:paraId="1A1DCBEA"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w:t>
            </w:r>
            <w:r w:rsidRPr="00DA3766">
              <w:rPr>
                <w:rFonts w:ascii="Times New Roman" w:hAnsi="Times New Roman" w:cs="Times New Roman"/>
                <w:color w:val="000000"/>
                <w:kern w:val="2"/>
                <w:sz w:val="21"/>
                <w:szCs w:val="21"/>
              </w:rPr>
              <w:t>年</w:t>
            </w:r>
          </w:p>
        </w:tc>
        <w:tc>
          <w:tcPr>
            <w:tcW w:w="1185" w:type="pct"/>
            <w:tcMar>
              <w:top w:w="0" w:type="dxa"/>
              <w:bottom w:w="0" w:type="dxa"/>
            </w:tcMar>
            <w:vAlign w:val="center"/>
          </w:tcPr>
          <w:p w14:paraId="042480A4"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收入增长率：</w:t>
            </w:r>
            <w:r w:rsidRPr="00DA3766">
              <w:rPr>
                <w:rFonts w:ascii="Times New Roman" w:hAnsi="Times New Roman" w:cs="Times New Roman"/>
                <w:color w:val="000000"/>
                <w:kern w:val="2"/>
                <w:sz w:val="21"/>
                <w:szCs w:val="21"/>
              </w:rPr>
              <w:t>8.93%~0.00%</w:t>
            </w:r>
            <w:r w:rsidRPr="00DA3766">
              <w:rPr>
                <w:rFonts w:ascii="Times New Roman" w:hAnsi="Times New Roman" w:cs="Times New Roman"/>
                <w:color w:val="000000"/>
                <w:kern w:val="2"/>
                <w:sz w:val="21"/>
                <w:szCs w:val="21"/>
              </w:rPr>
              <w:t>；利润率：</w:t>
            </w:r>
            <w:r w:rsidRPr="00DA3766">
              <w:rPr>
                <w:rFonts w:ascii="Times New Roman" w:hAnsi="Times New Roman" w:cs="Times New Roman"/>
                <w:color w:val="000000"/>
                <w:kern w:val="2"/>
                <w:sz w:val="21"/>
                <w:szCs w:val="21"/>
              </w:rPr>
              <w:t>18.57%~17.74%</w:t>
            </w:r>
            <w:r w:rsidRPr="00DA3766">
              <w:rPr>
                <w:rFonts w:ascii="Times New Roman" w:hAnsi="Times New Roman" w:cs="Times New Roman"/>
                <w:color w:val="000000"/>
                <w:kern w:val="2"/>
                <w:sz w:val="21"/>
                <w:szCs w:val="21"/>
              </w:rPr>
              <w:t>；折现率：</w:t>
            </w:r>
            <w:r w:rsidRPr="00DA3766">
              <w:rPr>
                <w:rFonts w:ascii="Times New Roman" w:hAnsi="Times New Roman" w:cs="Times New Roman"/>
                <w:color w:val="000000"/>
                <w:kern w:val="2"/>
                <w:sz w:val="21"/>
                <w:szCs w:val="21"/>
              </w:rPr>
              <w:t>12.90%</w:t>
            </w:r>
          </w:p>
        </w:tc>
        <w:tc>
          <w:tcPr>
            <w:tcW w:w="1346" w:type="pct"/>
            <w:tcMar>
              <w:top w:w="0" w:type="dxa"/>
              <w:bottom w:w="0" w:type="dxa"/>
            </w:tcMar>
            <w:vAlign w:val="center"/>
          </w:tcPr>
          <w:p w14:paraId="0767C2A3"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hint="eastAsia"/>
                <w:color w:val="000000"/>
                <w:kern w:val="2"/>
                <w:sz w:val="21"/>
                <w:szCs w:val="21"/>
              </w:rPr>
              <w:t>①</w:t>
            </w:r>
            <w:r w:rsidRPr="00DA3766">
              <w:rPr>
                <w:rFonts w:ascii="Times New Roman" w:hAnsi="Times New Roman" w:cs="Times New Roman"/>
                <w:color w:val="000000"/>
                <w:kern w:val="2"/>
                <w:sz w:val="21"/>
                <w:szCs w:val="21"/>
              </w:rPr>
              <w:t>收入增长率、利润率：结合历史数据、市场情况、发展规划、管理层盈利预测</w:t>
            </w:r>
            <w:r w:rsidRPr="00DA3766">
              <w:rPr>
                <w:rFonts w:hint="eastAsia"/>
                <w:color w:val="000000"/>
                <w:kern w:val="2"/>
                <w:sz w:val="21"/>
                <w:szCs w:val="21"/>
              </w:rPr>
              <w:t>②</w:t>
            </w:r>
            <w:r w:rsidRPr="00DA3766">
              <w:rPr>
                <w:rFonts w:ascii="Times New Roman" w:hAnsi="Times New Roman" w:cs="Times New Roman"/>
                <w:color w:val="000000"/>
                <w:kern w:val="2"/>
                <w:sz w:val="21"/>
                <w:szCs w:val="21"/>
              </w:rPr>
              <w:t>折现率：反映当前市场货币时间价值和相关资产组特定风险的税前利率</w:t>
            </w:r>
          </w:p>
        </w:tc>
        <w:tc>
          <w:tcPr>
            <w:tcW w:w="915" w:type="pct"/>
            <w:tcMar>
              <w:top w:w="0" w:type="dxa"/>
              <w:bottom w:w="0" w:type="dxa"/>
            </w:tcMar>
            <w:vAlign w:val="center"/>
          </w:tcPr>
          <w:p w14:paraId="32A29D64"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收入增长率</w:t>
            </w:r>
            <w:r w:rsidRPr="00DA3766">
              <w:rPr>
                <w:rFonts w:ascii="Times New Roman" w:hAnsi="Times New Roman" w:cs="Times New Roman"/>
                <w:color w:val="000000"/>
                <w:kern w:val="2"/>
                <w:sz w:val="21"/>
                <w:szCs w:val="21"/>
              </w:rPr>
              <w:t>0%</w:t>
            </w:r>
            <w:r w:rsidRPr="00DA3766">
              <w:rPr>
                <w:rFonts w:ascii="Times New Roman" w:hAnsi="Times New Roman" w:cs="Times New Roman"/>
                <w:color w:val="000000"/>
                <w:kern w:val="2"/>
                <w:sz w:val="21"/>
                <w:szCs w:val="21"/>
              </w:rPr>
              <w:t>；利润率</w:t>
            </w:r>
            <w:r w:rsidRPr="00DA3766">
              <w:rPr>
                <w:rFonts w:ascii="Times New Roman" w:hAnsi="Times New Roman" w:cs="Times New Roman"/>
                <w:color w:val="000000"/>
                <w:kern w:val="2"/>
                <w:sz w:val="21"/>
                <w:szCs w:val="21"/>
              </w:rPr>
              <w:t>17.75%</w:t>
            </w:r>
            <w:r w:rsidRPr="00DA3766">
              <w:rPr>
                <w:rFonts w:ascii="Times New Roman" w:hAnsi="Times New Roman" w:cs="Times New Roman"/>
                <w:color w:val="000000"/>
                <w:kern w:val="2"/>
                <w:sz w:val="21"/>
                <w:szCs w:val="21"/>
              </w:rPr>
              <w:t>；折现率</w:t>
            </w:r>
            <w:r w:rsidRPr="00DA3766">
              <w:rPr>
                <w:rFonts w:ascii="Times New Roman" w:hAnsi="Times New Roman" w:cs="Times New Roman"/>
                <w:color w:val="000000"/>
                <w:kern w:val="2"/>
                <w:sz w:val="21"/>
                <w:szCs w:val="21"/>
              </w:rPr>
              <w:t>12.90%</w:t>
            </w:r>
          </w:p>
        </w:tc>
        <w:tc>
          <w:tcPr>
            <w:tcW w:w="686" w:type="pct"/>
            <w:tcMar>
              <w:top w:w="0" w:type="dxa"/>
              <w:bottom w:w="0" w:type="dxa"/>
            </w:tcMar>
            <w:vAlign w:val="center"/>
          </w:tcPr>
          <w:p w14:paraId="237CC552"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稳定期收入增长率为</w:t>
            </w:r>
            <w:r w:rsidRPr="00DA3766">
              <w:rPr>
                <w:rFonts w:ascii="Times New Roman" w:hAnsi="Times New Roman" w:cs="Times New Roman"/>
                <w:color w:val="000000"/>
                <w:kern w:val="2"/>
                <w:sz w:val="21"/>
                <w:szCs w:val="21"/>
              </w:rPr>
              <w:t>0%</w:t>
            </w:r>
            <w:r w:rsidRPr="00DA3766">
              <w:rPr>
                <w:rFonts w:ascii="Times New Roman" w:hAnsi="Times New Roman" w:cs="Times New Roman"/>
                <w:color w:val="000000"/>
                <w:kern w:val="2"/>
                <w:sz w:val="21"/>
                <w:szCs w:val="21"/>
              </w:rPr>
              <w:t>，利润率、折现率与预测期最后一年一致</w:t>
            </w:r>
          </w:p>
        </w:tc>
      </w:tr>
    </w:tbl>
    <w:p w14:paraId="74AE0A59" w14:textId="77777777" w:rsidR="00C91525" w:rsidRPr="00DA3766" w:rsidRDefault="00C91525" w:rsidP="00C91525">
      <w:pPr>
        <w:spacing w:before="120" w:afterLines="0" w:after="0"/>
        <w:ind w:firstLine="480"/>
        <w:jc w:val="both"/>
        <w:rPr>
          <w:rFonts w:ascii="Times New Roman" w:hAnsi="Times New Roman" w:cs="Times New Roman"/>
        </w:rPr>
      </w:pPr>
      <w:r w:rsidRPr="00DA3766">
        <w:rPr>
          <w:rFonts w:ascii="Times New Roman" w:hAnsi="Times New Roman" w:cs="Times New Roman"/>
        </w:rPr>
        <w:t>本次股权评估的主要参数及假设</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744"/>
        <w:gridCol w:w="2224"/>
        <w:gridCol w:w="2274"/>
        <w:gridCol w:w="1742"/>
        <w:gridCol w:w="1302"/>
      </w:tblGrid>
      <w:tr w:rsidR="004C2193" w:rsidRPr="00DA3766" w14:paraId="0F754B38" w14:textId="77777777" w:rsidTr="004C2193">
        <w:trPr>
          <w:trHeight w:val="397"/>
          <w:tblHeader/>
          <w:jc w:val="center"/>
        </w:trPr>
        <w:tc>
          <w:tcPr>
            <w:tcW w:w="514" w:type="pct"/>
            <w:tcMar>
              <w:top w:w="0" w:type="dxa"/>
              <w:bottom w:w="0" w:type="dxa"/>
            </w:tcMar>
            <w:vAlign w:val="center"/>
          </w:tcPr>
          <w:p w14:paraId="53CFEE31"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403" w:type="pct"/>
            <w:tcMar>
              <w:top w:w="0" w:type="dxa"/>
              <w:bottom w:w="0" w:type="dxa"/>
            </w:tcMar>
            <w:vAlign w:val="center"/>
          </w:tcPr>
          <w:p w14:paraId="6AF1C35C"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预测期的年限</w:t>
            </w:r>
          </w:p>
        </w:tc>
        <w:tc>
          <w:tcPr>
            <w:tcW w:w="1204" w:type="pct"/>
            <w:tcMar>
              <w:top w:w="0" w:type="dxa"/>
              <w:bottom w:w="0" w:type="dxa"/>
            </w:tcMar>
            <w:vAlign w:val="center"/>
          </w:tcPr>
          <w:p w14:paraId="57E0A066"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预测期的关键参数（增长率、利润率等）</w:t>
            </w:r>
          </w:p>
        </w:tc>
        <w:tc>
          <w:tcPr>
            <w:tcW w:w="1231" w:type="pct"/>
            <w:tcMar>
              <w:top w:w="0" w:type="dxa"/>
              <w:bottom w:w="0" w:type="dxa"/>
            </w:tcMar>
            <w:vAlign w:val="center"/>
          </w:tcPr>
          <w:p w14:paraId="5F764C2F"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预测期内的参数的确定依据</w:t>
            </w:r>
          </w:p>
        </w:tc>
        <w:tc>
          <w:tcPr>
            <w:tcW w:w="943" w:type="pct"/>
            <w:tcMar>
              <w:top w:w="0" w:type="dxa"/>
              <w:bottom w:w="0" w:type="dxa"/>
            </w:tcMar>
            <w:vAlign w:val="center"/>
          </w:tcPr>
          <w:p w14:paraId="58558CD3"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稳定期的关键参数（增长率、利润率、折现率等）</w:t>
            </w:r>
          </w:p>
        </w:tc>
        <w:tc>
          <w:tcPr>
            <w:tcW w:w="705" w:type="pct"/>
            <w:tcMar>
              <w:top w:w="0" w:type="dxa"/>
              <w:bottom w:w="0" w:type="dxa"/>
            </w:tcMar>
            <w:vAlign w:val="center"/>
          </w:tcPr>
          <w:p w14:paraId="65086E1D"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稳定期的关键参数的确定依据</w:t>
            </w:r>
          </w:p>
        </w:tc>
      </w:tr>
      <w:tr w:rsidR="004C2193" w:rsidRPr="00DA3766" w14:paraId="2D7B3686" w14:textId="77777777" w:rsidTr="004C2193">
        <w:trPr>
          <w:trHeight w:val="397"/>
          <w:jc w:val="center"/>
        </w:trPr>
        <w:tc>
          <w:tcPr>
            <w:tcW w:w="514" w:type="pct"/>
            <w:tcMar>
              <w:top w:w="0" w:type="dxa"/>
              <w:bottom w:w="0" w:type="dxa"/>
            </w:tcMar>
            <w:vAlign w:val="center"/>
          </w:tcPr>
          <w:p w14:paraId="21D3606A"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广州宝点数字化科技有限公司</w:t>
            </w:r>
          </w:p>
        </w:tc>
        <w:tc>
          <w:tcPr>
            <w:tcW w:w="403" w:type="pct"/>
            <w:tcMar>
              <w:top w:w="0" w:type="dxa"/>
              <w:bottom w:w="0" w:type="dxa"/>
            </w:tcMar>
            <w:vAlign w:val="center"/>
          </w:tcPr>
          <w:p w14:paraId="45267768"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p>
        </w:tc>
        <w:tc>
          <w:tcPr>
            <w:tcW w:w="1204" w:type="pct"/>
            <w:tcMar>
              <w:top w:w="0" w:type="dxa"/>
              <w:bottom w:w="0" w:type="dxa"/>
            </w:tcMar>
            <w:vAlign w:val="center"/>
          </w:tcPr>
          <w:p w14:paraId="6FBFB3C2"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收入增长率：</w:t>
            </w:r>
            <w:r w:rsidRPr="00DA3766">
              <w:rPr>
                <w:rFonts w:ascii="Times New Roman" w:hAnsi="Times New Roman" w:cs="Times New Roman"/>
                <w:color w:val="000000"/>
                <w:sz w:val="21"/>
                <w:szCs w:val="21"/>
              </w:rPr>
              <w:t>8.97%~0.84%</w:t>
            </w:r>
            <w:r w:rsidRPr="00DA3766">
              <w:rPr>
                <w:rFonts w:ascii="Times New Roman" w:hAnsi="Times New Roman" w:cs="Times New Roman"/>
                <w:color w:val="000000"/>
                <w:sz w:val="21"/>
                <w:szCs w:val="21"/>
              </w:rPr>
              <w:t>；利润率：</w:t>
            </w:r>
            <w:r w:rsidRPr="00DA3766">
              <w:rPr>
                <w:rFonts w:ascii="Times New Roman" w:hAnsi="Times New Roman" w:cs="Times New Roman"/>
                <w:color w:val="000000"/>
                <w:sz w:val="21"/>
                <w:szCs w:val="21"/>
              </w:rPr>
              <w:t>18.25%~17.03%</w:t>
            </w:r>
            <w:r w:rsidRPr="00DA3766">
              <w:rPr>
                <w:rFonts w:ascii="Times New Roman" w:hAnsi="Times New Roman" w:cs="Times New Roman"/>
                <w:color w:val="000000"/>
                <w:sz w:val="21"/>
                <w:szCs w:val="21"/>
              </w:rPr>
              <w:t>；折现率：</w:t>
            </w:r>
            <w:r w:rsidRPr="00DA3766">
              <w:rPr>
                <w:rFonts w:ascii="Times New Roman" w:hAnsi="Times New Roman" w:cs="Times New Roman"/>
                <w:color w:val="000000"/>
                <w:sz w:val="21"/>
                <w:szCs w:val="21"/>
              </w:rPr>
              <w:t>11.70%</w:t>
            </w:r>
          </w:p>
        </w:tc>
        <w:tc>
          <w:tcPr>
            <w:tcW w:w="1231" w:type="pct"/>
            <w:tcMar>
              <w:top w:w="0" w:type="dxa"/>
              <w:bottom w:w="0" w:type="dxa"/>
            </w:tcMar>
            <w:vAlign w:val="center"/>
          </w:tcPr>
          <w:p w14:paraId="286017A8"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hint="eastAsia"/>
                <w:color w:val="000000"/>
                <w:sz w:val="21"/>
                <w:szCs w:val="21"/>
              </w:rPr>
              <w:t>①</w:t>
            </w:r>
            <w:r w:rsidRPr="00DA3766">
              <w:rPr>
                <w:rFonts w:ascii="Times New Roman" w:hAnsi="Times New Roman" w:cs="Times New Roman"/>
                <w:color w:val="000000"/>
                <w:sz w:val="21"/>
                <w:szCs w:val="21"/>
              </w:rPr>
              <w:t>收入增长率、利润率：结合历史数据、市场情况、发展规划、管理层盈利预测</w:t>
            </w:r>
            <w:r w:rsidRPr="00DA3766">
              <w:rPr>
                <w:rFonts w:hint="eastAsia"/>
                <w:color w:val="000000"/>
                <w:sz w:val="21"/>
                <w:szCs w:val="21"/>
              </w:rPr>
              <w:t>②</w:t>
            </w:r>
            <w:r w:rsidRPr="00DA3766">
              <w:rPr>
                <w:rFonts w:ascii="Times New Roman" w:hAnsi="Times New Roman" w:cs="Times New Roman"/>
                <w:color w:val="000000"/>
                <w:sz w:val="21"/>
                <w:szCs w:val="21"/>
              </w:rPr>
              <w:t>折现率：反映当前市场货币时间价值和企业特定风险的税后利率</w:t>
            </w:r>
          </w:p>
        </w:tc>
        <w:tc>
          <w:tcPr>
            <w:tcW w:w="943" w:type="pct"/>
            <w:tcMar>
              <w:top w:w="0" w:type="dxa"/>
              <w:bottom w:w="0" w:type="dxa"/>
            </w:tcMar>
            <w:vAlign w:val="center"/>
          </w:tcPr>
          <w:p w14:paraId="09785D61"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收入增长率</w:t>
            </w:r>
            <w:r w:rsidRPr="00DA3766">
              <w:rPr>
                <w:rFonts w:ascii="Times New Roman" w:hAnsi="Times New Roman" w:cs="Times New Roman"/>
                <w:color w:val="000000"/>
                <w:sz w:val="21"/>
                <w:szCs w:val="21"/>
              </w:rPr>
              <w:t>0%</w:t>
            </w:r>
            <w:r w:rsidRPr="00DA3766">
              <w:rPr>
                <w:rFonts w:ascii="Times New Roman" w:hAnsi="Times New Roman" w:cs="Times New Roman"/>
                <w:color w:val="000000"/>
                <w:sz w:val="21"/>
                <w:szCs w:val="21"/>
              </w:rPr>
              <w:t>；利润率</w:t>
            </w:r>
            <w:r w:rsidRPr="00DA3766">
              <w:rPr>
                <w:rFonts w:ascii="Times New Roman" w:hAnsi="Times New Roman" w:cs="Times New Roman"/>
                <w:color w:val="000000"/>
                <w:sz w:val="21"/>
                <w:szCs w:val="21"/>
              </w:rPr>
              <w:t>17.39%</w:t>
            </w:r>
            <w:r w:rsidRPr="00DA3766">
              <w:rPr>
                <w:rFonts w:ascii="Times New Roman" w:hAnsi="Times New Roman" w:cs="Times New Roman"/>
                <w:color w:val="000000"/>
                <w:sz w:val="21"/>
                <w:szCs w:val="21"/>
              </w:rPr>
              <w:t>；折现率</w:t>
            </w:r>
            <w:r w:rsidRPr="00DA3766">
              <w:rPr>
                <w:rFonts w:ascii="Times New Roman" w:hAnsi="Times New Roman" w:cs="Times New Roman"/>
                <w:color w:val="000000"/>
                <w:sz w:val="21"/>
                <w:szCs w:val="21"/>
              </w:rPr>
              <w:t>11.70%</w:t>
            </w:r>
          </w:p>
        </w:tc>
        <w:tc>
          <w:tcPr>
            <w:tcW w:w="705" w:type="pct"/>
            <w:tcMar>
              <w:top w:w="0" w:type="dxa"/>
              <w:bottom w:w="0" w:type="dxa"/>
            </w:tcMar>
            <w:vAlign w:val="center"/>
          </w:tcPr>
          <w:p w14:paraId="69A30171"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稳定期收入增长率为</w:t>
            </w:r>
            <w:r w:rsidRPr="00DA3766">
              <w:rPr>
                <w:rFonts w:ascii="Times New Roman" w:hAnsi="Times New Roman" w:cs="Times New Roman"/>
                <w:color w:val="000000"/>
                <w:sz w:val="21"/>
                <w:szCs w:val="21"/>
              </w:rPr>
              <w:t>0%</w:t>
            </w:r>
            <w:r w:rsidRPr="00DA3766">
              <w:rPr>
                <w:rFonts w:ascii="Times New Roman" w:hAnsi="Times New Roman" w:cs="Times New Roman"/>
                <w:color w:val="000000"/>
                <w:sz w:val="21"/>
                <w:szCs w:val="21"/>
              </w:rPr>
              <w:t>，利润率、折现率与预测期最后一年一致</w:t>
            </w:r>
          </w:p>
        </w:tc>
      </w:tr>
    </w:tbl>
    <w:p w14:paraId="6AE790CA" w14:textId="07AB79C0" w:rsidR="00C91525" w:rsidRPr="00DA3766" w:rsidRDefault="00C07373" w:rsidP="00C07373">
      <w:pPr>
        <w:pStyle w:val="003"/>
        <w:spacing w:before="120" w:after="120"/>
        <w:ind w:firstLine="482"/>
      </w:pPr>
      <w:r w:rsidRPr="00DA3766">
        <w:t>（二）</w:t>
      </w:r>
      <w:r w:rsidR="00C91525" w:rsidRPr="00DA3766">
        <w:t>相关参数与本次评估的差异及合理性</w:t>
      </w:r>
    </w:p>
    <w:p w14:paraId="50AA749E" w14:textId="629BAA07" w:rsidR="00C91525" w:rsidRPr="00DA3766" w:rsidRDefault="00C07373" w:rsidP="002A2865">
      <w:pPr>
        <w:pStyle w:val="004"/>
        <w:spacing w:before="120" w:after="120"/>
        <w:ind w:firstLine="482"/>
      </w:pPr>
      <w:r w:rsidRPr="00DA3766">
        <w:t>1</w:t>
      </w:r>
      <w:r w:rsidRPr="00DA3766">
        <w:t>、</w:t>
      </w:r>
      <w:r w:rsidR="00C91525" w:rsidRPr="00DA3766">
        <w:t>预测期年限的差异及合理性</w:t>
      </w:r>
    </w:p>
    <w:p w14:paraId="6343322A" w14:textId="77777777" w:rsidR="004D53C4" w:rsidRPr="00DA3766" w:rsidRDefault="004D53C4" w:rsidP="004C2193">
      <w:pPr>
        <w:pStyle w:val="005"/>
        <w:spacing w:before="120" w:after="120"/>
        <w:ind w:firstLine="480"/>
      </w:pPr>
      <w:r w:rsidRPr="00DA3766">
        <w:t>本次商誉减值测试预测期设定为</w:t>
      </w:r>
      <w:r w:rsidRPr="00DA3766">
        <w:t>6</w:t>
      </w:r>
      <w:r w:rsidRPr="00DA3766">
        <w:t>年，主要系商誉减值测试对应的资产组范围内包含使用权资产，该等使用权资产大部分于</w:t>
      </w:r>
      <w:r w:rsidRPr="00DA3766">
        <w:t>2029</w:t>
      </w:r>
      <w:r w:rsidRPr="00DA3766">
        <w:t>年末（即预测期第</w:t>
      </w:r>
      <w:r w:rsidRPr="00DA3766">
        <w:t>5</w:t>
      </w:r>
      <w:r w:rsidRPr="00DA3766">
        <w:t>年）折旧完毕。基于资产组当前状况及持续经营假设，为完整反映使用权资产折旧完毕后租赁事项的现金流变化，特将预测期延长</w:t>
      </w:r>
      <w:r w:rsidRPr="00DA3766">
        <w:t>1</w:t>
      </w:r>
      <w:r w:rsidRPr="00DA3766">
        <w:t>年，自</w:t>
      </w:r>
      <w:r w:rsidRPr="00DA3766">
        <w:t>2030</w:t>
      </w:r>
      <w:r w:rsidRPr="00DA3766">
        <w:t>年起，相关租赁事项现金流均按照实际租金水平进行预测。</w:t>
      </w:r>
    </w:p>
    <w:p w14:paraId="23E86CFF" w14:textId="77777777" w:rsidR="004D53C4" w:rsidRPr="00DA3766" w:rsidRDefault="004D53C4" w:rsidP="004C2193">
      <w:pPr>
        <w:pStyle w:val="005"/>
        <w:spacing w:before="120" w:after="120"/>
        <w:ind w:firstLine="480"/>
      </w:pPr>
      <w:r w:rsidRPr="00DA3766">
        <w:lastRenderedPageBreak/>
        <w:t>股权评估预测期设定为</w:t>
      </w:r>
      <w:r w:rsidRPr="00DA3766">
        <w:t>5</w:t>
      </w:r>
      <w:r w:rsidRPr="00DA3766">
        <w:t>年，核心原因是股权评估未针对使用权资产折旧周期进行单独考量，预测期内全部租赁事项现金流均直接按照实际租金水平测算，无需额外延长预测期以衔接资产折旧与后续租赁安排。</w:t>
      </w:r>
    </w:p>
    <w:p w14:paraId="441DE834" w14:textId="26AA3028" w:rsidR="00C91525" w:rsidRPr="00DA3766" w:rsidRDefault="004D53C4" w:rsidP="004C2193">
      <w:pPr>
        <w:pStyle w:val="005"/>
        <w:spacing w:before="120" w:after="120"/>
        <w:ind w:firstLine="480"/>
      </w:pPr>
      <w:r w:rsidRPr="00DA3766">
        <w:t>综上，两者预测期年限的差异，系基于不同评估对象的范围特征及测算逻辑形成，具备合理性。</w:t>
      </w:r>
    </w:p>
    <w:p w14:paraId="4A61EE01" w14:textId="7A6B6634" w:rsidR="00C91525" w:rsidRPr="00DA3766" w:rsidRDefault="00C07373" w:rsidP="002A2865">
      <w:pPr>
        <w:pStyle w:val="004"/>
        <w:spacing w:before="120" w:after="120"/>
        <w:ind w:firstLine="482"/>
      </w:pPr>
      <w:r w:rsidRPr="00DA3766">
        <w:t>2</w:t>
      </w:r>
      <w:r w:rsidRPr="00DA3766">
        <w:t>、</w:t>
      </w:r>
      <w:r w:rsidR="00C91525" w:rsidRPr="00DA3766">
        <w:t>收入增长率的差异及合理性</w:t>
      </w:r>
    </w:p>
    <w:p w14:paraId="6BD7C0DF" w14:textId="77777777" w:rsidR="004D53C4" w:rsidRPr="00DA3766" w:rsidRDefault="004D53C4" w:rsidP="004C2193">
      <w:pPr>
        <w:pStyle w:val="005"/>
        <w:spacing w:before="120" w:after="120"/>
        <w:ind w:firstLine="480"/>
      </w:pPr>
      <w:r w:rsidRPr="00DA3766">
        <w:t>本次商誉减值测试虽设定</w:t>
      </w:r>
      <w:r w:rsidRPr="00DA3766">
        <w:t>6</w:t>
      </w:r>
      <w:r w:rsidRPr="00DA3766">
        <w:t>年预测期，但第</w:t>
      </w:r>
      <w:r w:rsidRPr="00DA3766">
        <w:t>6</w:t>
      </w:r>
      <w:r w:rsidRPr="00DA3766">
        <w:t>年（</w:t>
      </w:r>
      <w:r w:rsidRPr="00DA3766">
        <w:t>2030</w:t>
      </w:r>
      <w:r w:rsidRPr="00DA3766">
        <w:t>年）未考虑收入增长，其核心经营阶段的前</w:t>
      </w:r>
      <w:r w:rsidRPr="00DA3766">
        <w:t>5</w:t>
      </w:r>
      <w:r w:rsidRPr="00DA3766">
        <w:t>年（对应股权评估预测期）收入增长率区间为</w:t>
      </w:r>
      <w:r w:rsidRPr="00DA3766">
        <w:t>8.93%</w:t>
      </w:r>
      <w:r w:rsidRPr="00DA3766">
        <w:t>至</w:t>
      </w:r>
      <w:r w:rsidRPr="00DA3766">
        <w:t>0.84%</w:t>
      </w:r>
      <w:r w:rsidRPr="00DA3766">
        <w:t>，与股权评估的收入增长率水平基本一致。</w:t>
      </w:r>
    </w:p>
    <w:p w14:paraId="21AF82D7" w14:textId="4F0F237F" w:rsidR="00C91525" w:rsidRPr="004C2193" w:rsidRDefault="004D53C4" w:rsidP="004C2193">
      <w:pPr>
        <w:pStyle w:val="005"/>
        <w:spacing w:before="120" w:after="120"/>
        <w:ind w:firstLine="464"/>
        <w:rPr>
          <w:spacing w:val="-4"/>
          <w:kern w:val="0"/>
          <w:szCs w:val="24"/>
        </w:rPr>
      </w:pPr>
      <w:r w:rsidRPr="004C2193">
        <w:rPr>
          <w:spacing w:val="-4"/>
          <w:kern w:val="0"/>
          <w:szCs w:val="24"/>
        </w:rPr>
        <w:t>两者存在的细微差异主要集中于预测期第</w:t>
      </w:r>
      <w:r w:rsidRPr="004C2193">
        <w:rPr>
          <w:spacing w:val="-4"/>
          <w:kern w:val="0"/>
          <w:szCs w:val="24"/>
        </w:rPr>
        <w:t>1</w:t>
      </w:r>
      <w:r w:rsidRPr="004C2193">
        <w:rPr>
          <w:spacing w:val="-4"/>
          <w:kern w:val="0"/>
          <w:szCs w:val="24"/>
        </w:rPr>
        <w:t>年，具体原因系两项工作的基础数据口径不同：商誉减值测试采用初步审计数据作为测算依据，股权评估则采用最终审定数据。因审定数据相较于初步审计数据存在少量合理调整，进而导致首期收入增长率出现差异，该差异属于数据口径差异，不影响核心增长趋势的一致性。</w:t>
      </w:r>
    </w:p>
    <w:p w14:paraId="653B46B3" w14:textId="4DC3B78C" w:rsidR="00C91525" w:rsidRPr="00DA3766" w:rsidRDefault="00C07373" w:rsidP="002A2865">
      <w:pPr>
        <w:pStyle w:val="004"/>
        <w:spacing w:before="120" w:after="120"/>
        <w:ind w:firstLine="482"/>
      </w:pPr>
      <w:r w:rsidRPr="00DA3766">
        <w:t>3</w:t>
      </w:r>
      <w:r w:rsidRPr="00DA3766">
        <w:t>、</w:t>
      </w:r>
      <w:r w:rsidR="00C91525" w:rsidRPr="00DA3766">
        <w:t>利润率的差异及合理性</w:t>
      </w:r>
    </w:p>
    <w:p w14:paraId="2E141DA4" w14:textId="4D0150D1" w:rsidR="00C91525" w:rsidRPr="00DA3766" w:rsidRDefault="004D53C4"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本次商誉减值测试与股权评估的利润率均采用税前口径，确保了基础测算逻辑的一致性，两者存在的少量差异系由以下两方面原因导致：</w:t>
      </w:r>
    </w:p>
    <w:p w14:paraId="54C1E389" w14:textId="73B2FB24" w:rsidR="00C91525" w:rsidRPr="004C2193" w:rsidRDefault="00C07373" w:rsidP="004C2193">
      <w:pPr>
        <w:pStyle w:val="005"/>
        <w:spacing w:before="120" w:after="120"/>
        <w:ind w:firstLine="482"/>
        <w:rPr>
          <w:b/>
        </w:rPr>
      </w:pPr>
      <w:r w:rsidRPr="004C2193">
        <w:rPr>
          <w:b/>
        </w:rPr>
        <w:t>（</w:t>
      </w:r>
      <w:r w:rsidRPr="004C2193">
        <w:rPr>
          <w:b/>
        </w:rPr>
        <w:t>1</w:t>
      </w:r>
      <w:r w:rsidRPr="004C2193">
        <w:rPr>
          <w:b/>
        </w:rPr>
        <w:t>）</w:t>
      </w:r>
      <w:r w:rsidR="00C91525" w:rsidRPr="004C2193">
        <w:rPr>
          <w:b/>
        </w:rPr>
        <w:t>资产组范围及相关损益口径差异</w:t>
      </w:r>
    </w:p>
    <w:p w14:paraId="2D42D922" w14:textId="77777777" w:rsidR="00C91525" w:rsidRPr="00DA3766" w:rsidRDefault="00C91525" w:rsidP="004C2193">
      <w:pPr>
        <w:pStyle w:val="005"/>
        <w:spacing w:before="120" w:after="120"/>
        <w:ind w:firstLine="480"/>
      </w:pPr>
      <w:r w:rsidRPr="00DA3766">
        <w:t>商誉减值测试对应的资产组范围不含营运资金、交易性金融资产，基于资产组现金流测算规则，无需考虑信用减值损失、公允价值变动损益等与资产组无关的损益项目；而股权评估需完整反映公司的经营损益，其预测期第一年数据包含了基准日累计已发生的信用减值损失、公允价值变动损益，进而导致利润率口径存在差异。</w:t>
      </w:r>
    </w:p>
    <w:p w14:paraId="7890C96F" w14:textId="32047C9F" w:rsidR="00C91525" w:rsidRPr="004C2193" w:rsidRDefault="00C07373" w:rsidP="004C2193">
      <w:pPr>
        <w:pStyle w:val="005"/>
        <w:spacing w:before="120" w:after="120"/>
        <w:ind w:firstLine="482"/>
        <w:rPr>
          <w:b/>
        </w:rPr>
      </w:pPr>
      <w:r w:rsidRPr="004C2193">
        <w:rPr>
          <w:b/>
        </w:rPr>
        <w:t>（</w:t>
      </w:r>
      <w:r w:rsidRPr="004C2193">
        <w:rPr>
          <w:b/>
        </w:rPr>
        <w:t>2</w:t>
      </w:r>
      <w:r w:rsidRPr="004C2193">
        <w:rPr>
          <w:b/>
        </w:rPr>
        <w:t>）</w:t>
      </w:r>
      <w:r w:rsidR="00C91525" w:rsidRPr="004C2193">
        <w:rPr>
          <w:b/>
        </w:rPr>
        <w:t>场地租赁相关费用的核算口径差异</w:t>
      </w:r>
    </w:p>
    <w:p w14:paraId="658CB097" w14:textId="77777777" w:rsidR="00C91525" w:rsidRPr="004C2193" w:rsidRDefault="00C91525" w:rsidP="004C2193">
      <w:pPr>
        <w:pStyle w:val="005"/>
        <w:spacing w:before="120" w:after="120"/>
        <w:ind w:firstLine="464"/>
        <w:rPr>
          <w:rStyle w:val="005Char"/>
        </w:rPr>
      </w:pPr>
      <w:r w:rsidRPr="004C2193">
        <w:rPr>
          <w:spacing w:val="-4"/>
        </w:rPr>
        <w:t>商誉减值测试中，与场地租赁相关的支出体现为使用权资产折旧，纳入资产组</w:t>
      </w:r>
      <w:r w:rsidRPr="004C2193">
        <w:rPr>
          <w:rStyle w:val="005Char"/>
        </w:rPr>
        <w:t>的成本费用测算；股权评估中，相关租赁支出则直接按照实际租金进行核算。因折旧金额与实际租金在计量口径上存在差异，进一步导致两者利润率出现小幅偏差。</w:t>
      </w:r>
    </w:p>
    <w:p w14:paraId="615F8811" w14:textId="6725849E" w:rsidR="00C91525" w:rsidRPr="00DA3766" w:rsidRDefault="00C07373" w:rsidP="002A2865">
      <w:pPr>
        <w:pStyle w:val="004"/>
        <w:spacing w:before="120" w:after="120"/>
        <w:ind w:firstLine="482"/>
      </w:pPr>
      <w:r w:rsidRPr="00DA3766">
        <w:lastRenderedPageBreak/>
        <w:t>4</w:t>
      </w:r>
      <w:r w:rsidRPr="00DA3766">
        <w:t>、</w:t>
      </w:r>
      <w:r w:rsidR="00C91525" w:rsidRPr="00DA3766">
        <w:t>折现率的差异及合理性</w:t>
      </w:r>
    </w:p>
    <w:p w14:paraId="28F3CDA4" w14:textId="77777777" w:rsidR="00C91525" w:rsidRPr="00DA3766" w:rsidRDefault="00C91525" w:rsidP="004C2193">
      <w:pPr>
        <w:pStyle w:val="005"/>
        <w:spacing w:before="120" w:after="120"/>
        <w:ind w:firstLine="480"/>
      </w:pPr>
      <w:r w:rsidRPr="00DA3766">
        <w:t>本次商誉减值测试与股权评估的折现率存在差异，核心系现金流口径与折现率口径严格匹配的准则要求所致，具体如下：</w:t>
      </w:r>
    </w:p>
    <w:p w14:paraId="2C24E1C6" w14:textId="77777777" w:rsidR="00C91525" w:rsidRPr="00DA3766" w:rsidRDefault="00C91525" w:rsidP="004C2193">
      <w:pPr>
        <w:pStyle w:val="005"/>
        <w:spacing w:before="120" w:after="120"/>
        <w:ind w:firstLine="480"/>
      </w:pPr>
      <w:r w:rsidRPr="00DA3766">
        <w:t>商誉减值测试的现金流采用税前口径，因此对应的折现率为税前加权平均资本成本（</w:t>
      </w:r>
      <w:r w:rsidRPr="00DA3766">
        <w:t>WACCBT</w:t>
      </w:r>
      <w:r w:rsidRPr="00DA3766">
        <w:t>），确保了现金流与折现率在税基口径上的一致性；</w:t>
      </w:r>
    </w:p>
    <w:p w14:paraId="1DF63090" w14:textId="77777777" w:rsidR="00C91525" w:rsidRPr="00DA3766" w:rsidRDefault="00C91525" w:rsidP="004C2193">
      <w:pPr>
        <w:pStyle w:val="005"/>
        <w:spacing w:before="120" w:after="120"/>
        <w:ind w:firstLine="480"/>
      </w:pPr>
      <w:r w:rsidRPr="00DA3766">
        <w:t>股权评估的现金流采用税后口径，因此对应的折现率为税后加权平均资本成本（</w:t>
      </w:r>
      <w:r w:rsidRPr="00DA3766">
        <w:t>WACC</w:t>
      </w:r>
      <w:r w:rsidRPr="00DA3766">
        <w:t>），符合股权评估中股东权益现金流折现的常规测算逻辑。</w:t>
      </w:r>
    </w:p>
    <w:p w14:paraId="08B1D0AB" w14:textId="78FA039F" w:rsidR="00C91525" w:rsidRPr="00DA3766" w:rsidRDefault="00C07373" w:rsidP="00C07373">
      <w:pPr>
        <w:pStyle w:val="003"/>
        <w:spacing w:before="120" w:after="120"/>
        <w:ind w:firstLine="482"/>
      </w:pPr>
      <w:r w:rsidRPr="00DA3766">
        <w:t>（三）</w:t>
      </w:r>
      <w:r w:rsidR="00C91525" w:rsidRPr="00DA3766">
        <w:t>商誉减值准备计提充分性</w:t>
      </w:r>
    </w:p>
    <w:p w14:paraId="289EE71F" w14:textId="034CFB95" w:rsidR="00C91525" w:rsidRPr="00DA3766" w:rsidRDefault="00C91525" w:rsidP="004C2193">
      <w:pPr>
        <w:pStyle w:val="005"/>
        <w:spacing w:before="120" w:after="120"/>
        <w:ind w:firstLine="480"/>
      </w:pPr>
      <w:r w:rsidRPr="00DA3766">
        <w:t>根据金证（上海）资产评估有限公司出具的评估报告（金证评报字【</w:t>
      </w:r>
      <w:r w:rsidRPr="00DA3766">
        <w:t>2025</w:t>
      </w:r>
      <w:r w:rsidRPr="00DA3766">
        <w:t>】第</w:t>
      </w:r>
      <w:r w:rsidRPr="00DA3766">
        <w:t xml:space="preserve"> 0579 </w:t>
      </w:r>
      <w:r w:rsidRPr="00DA3766">
        <w:t>号；金证评报字【</w:t>
      </w:r>
      <w:r w:rsidRPr="00DA3766">
        <w:t>2025</w:t>
      </w:r>
      <w:r w:rsidRPr="00DA3766">
        <w:t>】第</w:t>
      </w:r>
      <w:r w:rsidRPr="00DA3766">
        <w:t xml:space="preserve"> 0580 </w:t>
      </w:r>
      <w:r w:rsidRPr="00DA3766">
        <w:t>号；金证评报字【</w:t>
      </w:r>
      <w:r w:rsidRPr="00DA3766">
        <w:t>2025</w:t>
      </w:r>
      <w:r w:rsidRPr="00DA3766">
        <w:t>】第</w:t>
      </w:r>
      <w:r w:rsidRPr="00DA3766">
        <w:t xml:space="preserve"> 0581 </w:t>
      </w:r>
      <w:r w:rsidRPr="00DA3766">
        <w:t>号），包含商誉的资产组可收回金额高于账面价值，商誉未发生减值。</w:t>
      </w:r>
    </w:p>
    <w:p w14:paraId="7315502C" w14:textId="3B5C3089" w:rsidR="00C91525" w:rsidRPr="00DA3766" w:rsidRDefault="00C91525" w:rsidP="004C2193">
      <w:pPr>
        <w:pStyle w:val="005"/>
        <w:spacing w:before="120" w:after="120"/>
        <w:ind w:firstLine="480"/>
      </w:pPr>
      <w:r w:rsidRPr="00DA3766">
        <w:t>标的公司</w:t>
      </w:r>
      <w:r w:rsidRPr="00DA3766">
        <w:t>2024</w:t>
      </w:r>
      <w:r w:rsidRPr="00DA3766">
        <w:t>年购买</w:t>
      </w:r>
      <w:r w:rsidRPr="00DA3766">
        <w:rPr>
          <w:lang w:bidi="ar"/>
        </w:rPr>
        <w:t>湖南小充同学智能科技有限公司股权形成的非同一控制企业合并商誉，截至</w:t>
      </w:r>
      <w:r w:rsidRPr="00DA3766">
        <w:rPr>
          <w:lang w:bidi="ar"/>
        </w:rPr>
        <w:t>2024</w:t>
      </w:r>
      <w:r w:rsidRPr="00DA3766">
        <w:rPr>
          <w:lang w:bidi="ar"/>
        </w:rPr>
        <w:t>年</w:t>
      </w:r>
      <w:r w:rsidRPr="00DA3766">
        <w:rPr>
          <w:lang w:bidi="ar"/>
        </w:rPr>
        <w:t>12</w:t>
      </w:r>
      <w:r w:rsidRPr="00DA3766">
        <w:rPr>
          <w:lang w:bidi="ar"/>
        </w:rPr>
        <w:t>月</w:t>
      </w:r>
      <w:r w:rsidRPr="00DA3766">
        <w:rPr>
          <w:lang w:bidi="ar"/>
        </w:rPr>
        <w:t>31</w:t>
      </w:r>
      <w:r w:rsidRPr="00DA3766">
        <w:rPr>
          <w:lang w:bidi="ar"/>
        </w:rPr>
        <w:t>日湖南小充同学智能科技有限公司盈利情况一直处于亏损状态，在未来期间预计无法改善，故对湖南小充同学智能科技有限公司的商誉全额计提了商誉减值准备，商誉</w:t>
      </w:r>
      <w:r w:rsidRPr="00DA3766">
        <w:t>减值准备已充分计提。</w:t>
      </w:r>
    </w:p>
    <w:p w14:paraId="597221C6" w14:textId="4741A8D7" w:rsidR="004107CB" w:rsidRPr="00DA3766" w:rsidRDefault="004107CB" w:rsidP="004107CB">
      <w:pPr>
        <w:pStyle w:val="002"/>
        <w:spacing w:before="120" w:after="120"/>
        <w:ind w:firstLine="482"/>
      </w:pPr>
      <w:r w:rsidRPr="00DA3766">
        <w:t>四、</w:t>
      </w:r>
      <w:bookmarkStart w:id="97" w:name="OLE_LINK47"/>
      <w:r w:rsidRPr="00DA3766">
        <w:t>收到和支付其他与经营活动有关的现金的</w:t>
      </w:r>
      <w:bookmarkEnd w:id="97"/>
      <w:r w:rsidRPr="00DA3766">
        <w:t>具体构成、形成原因，</w:t>
      </w:r>
      <w:bookmarkStart w:id="98" w:name="OLE_LINK54"/>
      <w:r w:rsidRPr="00DA3766">
        <w:t>是否存在不具备商业实质的情形</w:t>
      </w:r>
      <w:bookmarkEnd w:id="98"/>
      <w:r w:rsidRPr="00DA3766">
        <w:t>，报告期内金额变动的原因</w:t>
      </w:r>
    </w:p>
    <w:p w14:paraId="66E23DF9" w14:textId="77777777" w:rsidR="00C91525" w:rsidRPr="00DA3766" w:rsidRDefault="00C91525" w:rsidP="004C2193">
      <w:pPr>
        <w:pStyle w:val="005"/>
        <w:spacing w:before="120" w:after="120"/>
        <w:ind w:firstLine="480"/>
      </w:pPr>
      <w:r w:rsidRPr="00DA3766">
        <w:t>报告期内，标的公司收到和支付其他与经营活动有关的现金的具体构成如下：</w:t>
      </w:r>
    </w:p>
    <w:p w14:paraId="107068BB" w14:textId="0A0F6B57" w:rsidR="00C91525" w:rsidRPr="00DA3766" w:rsidRDefault="00C07373" w:rsidP="00C07373">
      <w:pPr>
        <w:pStyle w:val="003"/>
        <w:spacing w:before="120" w:after="120"/>
        <w:ind w:firstLine="482"/>
      </w:pPr>
      <w:r w:rsidRPr="00DA3766">
        <w:t>（一）</w:t>
      </w:r>
      <w:r w:rsidR="00C91525" w:rsidRPr="00DA3766">
        <w:t>收到其他与经营活动有关的现金</w:t>
      </w:r>
    </w:p>
    <w:p w14:paraId="2B5720A8" w14:textId="77777777" w:rsidR="00C07373" w:rsidRPr="00DA3766" w:rsidRDefault="00C07373" w:rsidP="00C07373">
      <w:pPr>
        <w:pStyle w:val="009"/>
      </w:pPr>
      <w:bookmarkStart w:id="99" w:name="_Hlk219145162"/>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C91525" w:rsidRPr="00DA3766" w14:paraId="3EB06AA0" w14:textId="77777777" w:rsidTr="00DA3766">
        <w:trPr>
          <w:trHeight w:val="397"/>
          <w:jc w:val="center"/>
        </w:trPr>
        <w:tc>
          <w:tcPr>
            <w:tcW w:w="1492" w:type="pct"/>
            <w:tcMar>
              <w:top w:w="0" w:type="dxa"/>
              <w:bottom w:w="0" w:type="dxa"/>
            </w:tcMar>
            <w:vAlign w:val="center"/>
          </w:tcPr>
          <w:bookmarkEnd w:id="99"/>
          <w:p w14:paraId="7FE35C46"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69" w:type="pct"/>
            <w:tcMar>
              <w:top w:w="0" w:type="dxa"/>
              <w:bottom w:w="0" w:type="dxa"/>
            </w:tcMar>
            <w:vAlign w:val="center"/>
          </w:tcPr>
          <w:p w14:paraId="5057D613"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1169" w:type="pct"/>
            <w:tcMar>
              <w:top w:w="0" w:type="dxa"/>
              <w:bottom w:w="0" w:type="dxa"/>
            </w:tcMar>
            <w:vAlign w:val="center"/>
          </w:tcPr>
          <w:p w14:paraId="54BC7F6D"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170" w:type="pct"/>
            <w:tcMar>
              <w:top w:w="0" w:type="dxa"/>
              <w:bottom w:w="0" w:type="dxa"/>
            </w:tcMar>
            <w:vAlign w:val="center"/>
          </w:tcPr>
          <w:p w14:paraId="5E716159"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C91525" w:rsidRPr="00DA3766" w14:paraId="393633AA" w14:textId="77777777" w:rsidTr="00DA3766">
        <w:trPr>
          <w:trHeight w:val="397"/>
          <w:jc w:val="center"/>
        </w:trPr>
        <w:tc>
          <w:tcPr>
            <w:tcW w:w="1492" w:type="pct"/>
            <w:tcMar>
              <w:top w:w="0" w:type="dxa"/>
              <w:bottom w:w="0" w:type="dxa"/>
            </w:tcMar>
            <w:vAlign w:val="center"/>
          </w:tcPr>
          <w:p w14:paraId="10F7470E"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利息收入</w:t>
            </w:r>
          </w:p>
        </w:tc>
        <w:tc>
          <w:tcPr>
            <w:tcW w:w="1169" w:type="pct"/>
            <w:tcMar>
              <w:top w:w="0" w:type="dxa"/>
              <w:bottom w:w="0" w:type="dxa"/>
            </w:tcMar>
            <w:vAlign w:val="center"/>
          </w:tcPr>
          <w:p w14:paraId="796DB02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9.12</w:t>
            </w:r>
          </w:p>
        </w:tc>
        <w:tc>
          <w:tcPr>
            <w:tcW w:w="1169" w:type="pct"/>
            <w:tcMar>
              <w:top w:w="0" w:type="dxa"/>
              <w:bottom w:w="0" w:type="dxa"/>
            </w:tcMar>
            <w:vAlign w:val="center"/>
          </w:tcPr>
          <w:p w14:paraId="000B169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1,430.21</w:t>
            </w:r>
          </w:p>
        </w:tc>
        <w:tc>
          <w:tcPr>
            <w:tcW w:w="1170" w:type="pct"/>
            <w:tcMar>
              <w:top w:w="0" w:type="dxa"/>
              <w:bottom w:w="0" w:type="dxa"/>
            </w:tcMar>
            <w:vAlign w:val="center"/>
          </w:tcPr>
          <w:p w14:paraId="446D893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663.50</w:t>
            </w:r>
          </w:p>
        </w:tc>
      </w:tr>
      <w:tr w:rsidR="00C91525" w:rsidRPr="00DA3766" w14:paraId="24FE74ED" w14:textId="77777777" w:rsidTr="00DA3766">
        <w:trPr>
          <w:trHeight w:val="397"/>
          <w:jc w:val="center"/>
        </w:trPr>
        <w:tc>
          <w:tcPr>
            <w:tcW w:w="1492" w:type="pct"/>
            <w:tcMar>
              <w:top w:w="0" w:type="dxa"/>
              <w:bottom w:w="0" w:type="dxa"/>
            </w:tcMar>
            <w:vAlign w:val="center"/>
          </w:tcPr>
          <w:p w14:paraId="6F68CDB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政府补助（含财政贴息）</w:t>
            </w:r>
          </w:p>
        </w:tc>
        <w:tc>
          <w:tcPr>
            <w:tcW w:w="1169" w:type="pct"/>
            <w:tcMar>
              <w:top w:w="0" w:type="dxa"/>
              <w:bottom w:w="0" w:type="dxa"/>
            </w:tcMar>
            <w:vAlign w:val="center"/>
          </w:tcPr>
          <w:p w14:paraId="22A8878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297.87</w:t>
            </w:r>
          </w:p>
        </w:tc>
        <w:tc>
          <w:tcPr>
            <w:tcW w:w="1169" w:type="pct"/>
            <w:tcMar>
              <w:top w:w="0" w:type="dxa"/>
              <w:bottom w:w="0" w:type="dxa"/>
            </w:tcMar>
            <w:vAlign w:val="center"/>
          </w:tcPr>
          <w:p w14:paraId="3662FEF6"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289.15</w:t>
            </w:r>
          </w:p>
        </w:tc>
        <w:tc>
          <w:tcPr>
            <w:tcW w:w="1170" w:type="pct"/>
            <w:tcMar>
              <w:top w:w="0" w:type="dxa"/>
              <w:bottom w:w="0" w:type="dxa"/>
            </w:tcMar>
            <w:vAlign w:val="center"/>
          </w:tcPr>
          <w:p w14:paraId="0EDBE57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94.32</w:t>
            </w:r>
          </w:p>
        </w:tc>
      </w:tr>
      <w:tr w:rsidR="00C91525" w:rsidRPr="00DA3766" w14:paraId="3CE0E175" w14:textId="77777777" w:rsidTr="00DA3766">
        <w:trPr>
          <w:trHeight w:val="397"/>
          <w:jc w:val="center"/>
        </w:trPr>
        <w:tc>
          <w:tcPr>
            <w:tcW w:w="1492" w:type="pct"/>
            <w:tcMar>
              <w:top w:w="0" w:type="dxa"/>
              <w:bottom w:w="0" w:type="dxa"/>
            </w:tcMar>
            <w:vAlign w:val="center"/>
          </w:tcPr>
          <w:p w14:paraId="50D85D2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押金保证金</w:t>
            </w:r>
          </w:p>
        </w:tc>
        <w:tc>
          <w:tcPr>
            <w:tcW w:w="1169" w:type="pct"/>
            <w:tcMar>
              <w:top w:w="0" w:type="dxa"/>
              <w:bottom w:w="0" w:type="dxa"/>
            </w:tcMar>
            <w:vAlign w:val="center"/>
          </w:tcPr>
          <w:p w14:paraId="177A455C"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240.28</w:t>
            </w:r>
          </w:p>
        </w:tc>
        <w:tc>
          <w:tcPr>
            <w:tcW w:w="1169" w:type="pct"/>
            <w:tcMar>
              <w:top w:w="0" w:type="dxa"/>
              <w:bottom w:w="0" w:type="dxa"/>
            </w:tcMar>
            <w:vAlign w:val="center"/>
          </w:tcPr>
          <w:p w14:paraId="48C3A9F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44.14</w:t>
            </w:r>
          </w:p>
        </w:tc>
        <w:tc>
          <w:tcPr>
            <w:tcW w:w="1170" w:type="pct"/>
            <w:tcMar>
              <w:top w:w="0" w:type="dxa"/>
              <w:bottom w:w="0" w:type="dxa"/>
            </w:tcMar>
            <w:vAlign w:val="center"/>
          </w:tcPr>
          <w:p w14:paraId="155D71B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58.63</w:t>
            </w:r>
          </w:p>
        </w:tc>
      </w:tr>
      <w:tr w:rsidR="00C91525" w:rsidRPr="00DA3766" w14:paraId="67BB196F" w14:textId="77777777" w:rsidTr="00DA3766">
        <w:trPr>
          <w:trHeight w:val="397"/>
          <w:jc w:val="center"/>
        </w:trPr>
        <w:tc>
          <w:tcPr>
            <w:tcW w:w="1492" w:type="pct"/>
            <w:tcMar>
              <w:top w:w="0" w:type="dxa"/>
              <w:bottom w:w="0" w:type="dxa"/>
            </w:tcMar>
            <w:vAlign w:val="center"/>
          </w:tcPr>
          <w:p w14:paraId="1A362D22"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日常往来及其他</w:t>
            </w:r>
          </w:p>
        </w:tc>
        <w:tc>
          <w:tcPr>
            <w:tcW w:w="1169" w:type="pct"/>
            <w:tcMar>
              <w:top w:w="0" w:type="dxa"/>
              <w:bottom w:w="0" w:type="dxa"/>
            </w:tcMar>
            <w:vAlign w:val="center"/>
          </w:tcPr>
          <w:p w14:paraId="2B6E2CD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2,996.02</w:t>
            </w:r>
          </w:p>
        </w:tc>
        <w:tc>
          <w:tcPr>
            <w:tcW w:w="1169" w:type="pct"/>
            <w:tcMar>
              <w:top w:w="0" w:type="dxa"/>
              <w:bottom w:w="0" w:type="dxa"/>
            </w:tcMar>
            <w:vAlign w:val="center"/>
          </w:tcPr>
          <w:p w14:paraId="3CBB3CDA"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2,474.43</w:t>
            </w:r>
          </w:p>
        </w:tc>
        <w:tc>
          <w:tcPr>
            <w:tcW w:w="1170" w:type="pct"/>
            <w:tcMar>
              <w:top w:w="0" w:type="dxa"/>
              <w:bottom w:w="0" w:type="dxa"/>
            </w:tcMar>
            <w:vAlign w:val="center"/>
          </w:tcPr>
          <w:p w14:paraId="761A3DA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223.40</w:t>
            </w:r>
          </w:p>
        </w:tc>
      </w:tr>
      <w:tr w:rsidR="00C91525" w:rsidRPr="00DA3766" w14:paraId="5C8BB17D" w14:textId="77777777" w:rsidTr="00DA3766">
        <w:trPr>
          <w:trHeight w:val="397"/>
          <w:jc w:val="center"/>
        </w:trPr>
        <w:tc>
          <w:tcPr>
            <w:tcW w:w="1492" w:type="pct"/>
            <w:tcMar>
              <w:top w:w="0" w:type="dxa"/>
              <w:bottom w:w="0" w:type="dxa"/>
            </w:tcMar>
            <w:vAlign w:val="center"/>
          </w:tcPr>
          <w:p w14:paraId="0FCBB05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169" w:type="pct"/>
            <w:tcMar>
              <w:top w:w="0" w:type="dxa"/>
              <w:bottom w:w="0" w:type="dxa"/>
            </w:tcMar>
            <w:vAlign w:val="center"/>
          </w:tcPr>
          <w:p w14:paraId="1438942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3,543.29</w:t>
            </w:r>
          </w:p>
        </w:tc>
        <w:tc>
          <w:tcPr>
            <w:tcW w:w="1169" w:type="pct"/>
            <w:tcMar>
              <w:top w:w="0" w:type="dxa"/>
              <w:bottom w:w="0" w:type="dxa"/>
            </w:tcMar>
            <w:vAlign w:val="center"/>
          </w:tcPr>
          <w:p w14:paraId="59979B5D"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4,237.92</w:t>
            </w:r>
          </w:p>
        </w:tc>
        <w:tc>
          <w:tcPr>
            <w:tcW w:w="1170" w:type="pct"/>
            <w:tcMar>
              <w:top w:w="0" w:type="dxa"/>
              <w:bottom w:w="0" w:type="dxa"/>
            </w:tcMar>
            <w:vAlign w:val="center"/>
          </w:tcPr>
          <w:p w14:paraId="283035C6"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1,039.84</w:t>
            </w:r>
          </w:p>
        </w:tc>
      </w:tr>
    </w:tbl>
    <w:p w14:paraId="7624E9F7" w14:textId="4A27EFD1" w:rsidR="00C91525" w:rsidRPr="00DA3766" w:rsidRDefault="00C07373" w:rsidP="00C07373">
      <w:pPr>
        <w:pStyle w:val="003"/>
        <w:spacing w:before="120" w:after="120"/>
        <w:ind w:firstLine="482"/>
      </w:pPr>
      <w:r w:rsidRPr="00DA3766">
        <w:lastRenderedPageBreak/>
        <w:t>（二）</w:t>
      </w:r>
      <w:r w:rsidR="00C91525" w:rsidRPr="00DA3766">
        <w:t>支付其他与经营活动有关的现金</w:t>
      </w:r>
    </w:p>
    <w:p w14:paraId="612CE90D" w14:textId="2104E307" w:rsidR="00C07373" w:rsidRPr="00DA3766" w:rsidRDefault="00C07373" w:rsidP="00C07373">
      <w:pPr>
        <w:pStyle w:val="009"/>
        <w:ind w:left="840" w:right="210"/>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C91525" w:rsidRPr="00DA3766" w14:paraId="2C90911F" w14:textId="77777777" w:rsidTr="00DA3766">
        <w:trPr>
          <w:trHeight w:val="397"/>
          <w:jc w:val="center"/>
        </w:trPr>
        <w:tc>
          <w:tcPr>
            <w:tcW w:w="1492" w:type="pct"/>
            <w:tcMar>
              <w:top w:w="0" w:type="dxa"/>
              <w:bottom w:w="0" w:type="dxa"/>
            </w:tcMar>
            <w:vAlign w:val="center"/>
          </w:tcPr>
          <w:p w14:paraId="3FE80BF0"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69" w:type="pct"/>
            <w:tcMar>
              <w:top w:w="0" w:type="dxa"/>
              <w:bottom w:w="0" w:type="dxa"/>
            </w:tcMar>
            <w:vAlign w:val="center"/>
          </w:tcPr>
          <w:p w14:paraId="441ECB9B"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1169" w:type="pct"/>
            <w:tcMar>
              <w:top w:w="0" w:type="dxa"/>
              <w:bottom w:w="0" w:type="dxa"/>
            </w:tcMar>
            <w:vAlign w:val="center"/>
          </w:tcPr>
          <w:p w14:paraId="6C75E14F"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170" w:type="pct"/>
            <w:tcMar>
              <w:top w:w="0" w:type="dxa"/>
              <w:bottom w:w="0" w:type="dxa"/>
            </w:tcMar>
            <w:vAlign w:val="center"/>
          </w:tcPr>
          <w:p w14:paraId="0151720A"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C91525" w:rsidRPr="00DA3766" w14:paraId="6921730A" w14:textId="77777777" w:rsidTr="00DA3766">
        <w:trPr>
          <w:trHeight w:val="397"/>
          <w:jc w:val="center"/>
        </w:trPr>
        <w:tc>
          <w:tcPr>
            <w:tcW w:w="1492" w:type="pct"/>
            <w:tcMar>
              <w:top w:w="0" w:type="dxa"/>
              <w:bottom w:w="0" w:type="dxa"/>
            </w:tcMar>
            <w:vAlign w:val="center"/>
          </w:tcPr>
          <w:p w14:paraId="411C218A"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付现费用</w:t>
            </w:r>
          </w:p>
        </w:tc>
        <w:tc>
          <w:tcPr>
            <w:tcW w:w="1169" w:type="pct"/>
            <w:tcMar>
              <w:top w:w="0" w:type="dxa"/>
              <w:bottom w:w="0" w:type="dxa"/>
            </w:tcMar>
            <w:vAlign w:val="center"/>
          </w:tcPr>
          <w:p w14:paraId="6F3F70DA"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1,634.87</w:t>
            </w:r>
          </w:p>
        </w:tc>
        <w:tc>
          <w:tcPr>
            <w:tcW w:w="1169" w:type="pct"/>
            <w:tcMar>
              <w:top w:w="0" w:type="dxa"/>
              <w:bottom w:w="0" w:type="dxa"/>
            </w:tcMar>
            <w:vAlign w:val="center"/>
          </w:tcPr>
          <w:p w14:paraId="6FD948E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3,582.00</w:t>
            </w:r>
          </w:p>
        </w:tc>
        <w:tc>
          <w:tcPr>
            <w:tcW w:w="1170" w:type="pct"/>
            <w:tcMar>
              <w:top w:w="0" w:type="dxa"/>
              <w:bottom w:w="0" w:type="dxa"/>
            </w:tcMar>
            <w:vAlign w:val="center"/>
          </w:tcPr>
          <w:p w14:paraId="7DCE29A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3,076.52</w:t>
            </w:r>
          </w:p>
        </w:tc>
      </w:tr>
      <w:tr w:rsidR="00C91525" w:rsidRPr="00DA3766" w14:paraId="05E0690C" w14:textId="77777777" w:rsidTr="00DA3766">
        <w:trPr>
          <w:trHeight w:val="397"/>
          <w:jc w:val="center"/>
        </w:trPr>
        <w:tc>
          <w:tcPr>
            <w:tcW w:w="1492" w:type="pct"/>
            <w:tcMar>
              <w:top w:w="0" w:type="dxa"/>
              <w:bottom w:w="0" w:type="dxa"/>
            </w:tcMar>
            <w:vAlign w:val="center"/>
          </w:tcPr>
          <w:p w14:paraId="43473274"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保证金</w:t>
            </w:r>
          </w:p>
        </w:tc>
        <w:tc>
          <w:tcPr>
            <w:tcW w:w="1169" w:type="pct"/>
            <w:tcMar>
              <w:top w:w="0" w:type="dxa"/>
              <w:bottom w:w="0" w:type="dxa"/>
            </w:tcMar>
            <w:vAlign w:val="center"/>
          </w:tcPr>
          <w:p w14:paraId="1D677498"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591.78</w:t>
            </w:r>
          </w:p>
        </w:tc>
        <w:tc>
          <w:tcPr>
            <w:tcW w:w="1169" w:type="pct"/>
            <w:tcMar>
              <w:top w:w="0" w:type="dxa"/>
              <w:bottom w:w="0" w:type="dxa"/>
            </w:tcMar>
            <w:vAlign w:val="center"/>
          </w:tcPr>
          <w:p w14:paraId="24F0A6A4"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274.61</w:t>
            </w:r>
          </w:p>
        </w:tc>
        <w:tc>
          <w:tcPr>
            <w:tcW w:w="1170" w:type="pct"/>
            <w:tcMar>
              <w:top w:w="0" w:type="dxa"/>
              <w:bottom w:w="0" w:type="dxa"/>
            </w:tcMar>
            <w:vAlign w:val="center"/>
          </w:tcPr>
          <w:p w14:paraId="3F3596A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279.03</w:t>
            </w:r>
          </w:p>
        </w:tc>
      </w:tr>
      <w:tr w:rsidR="00C91525" w:rsidRPr="00DA3766" w14:paraId="1223B9DC" w14:textId="77777777" w:rsidTr="00DA3766">
        <w:trPr>
          <w:trHeight w:val="397"/>
          <w:jc w:val="center"/>
        </w:trPr>
        <w:tc>
          <w:tcPr>
            <w:tcW w:w="1492" w:type="pct"/>
            <w:tcMar>
              <w:top w:w="0" w:type="dxa"/>
              <w:bottom w:w="0" w:type="dxa"/>
            </w:tcMar>
            <w:vAlign w:val="center"/>
          </w:tcPr>
          <w:p w14:paraId="0D2A9A93"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备用金</w:t>
            </w:r>
          </w:p>
        </w:tc>
        <w:tc>
          <w:tcPr>
            <w:tcW w:w="1169" w:type="pct"/>
            <w:tcMar>
              <w:top w:w="0" w:type="dxa"/>
              <w:bottom w:w="0" w:type="dxa"/>
            </w:tcMar>
            <w:vAlign w:val="center"/>
          </w:tcPr>
          <w:p w14:paraId="3678A92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97.40</w:t>
            </w:r>
          </w:p>
        </w:tc>
        <w:tc>
          <w:tcPr>
            <w:tcW w:w="1169" w:type="pct"/>
            <w:tcMar>
              <w:top w:w="0" w:type="dxa"/>
              <w:bottom w:w="0" w:type="dxa"/>
            </w:tcMar>
            <w:vAlign w:val="center"/>
          </w:tcPr>
          <w:p w14:paraId="4DFD4BE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222.10</w:t>
            </w:r>
          </w:p>
        </w:tc>
        <w:tc>
          <w:tcPr>
            <w:tcW w:w="1170" w:type="pct"/>
            <w:tcMar>
              <w:top w:w="0" w:type="dxa"/>
              <w:bottom w:w="0" w:type="dxa"/>
            </w:tcMar>
            <w:vAlign w:val="center"/>
          </w:tcPr>
          <w:p w14:paraId="0954B80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77.30</w:t>
            </w:r>
          </w:p>
        </w:tc>
      </w:tr>
      <w:tr w:rsidR="00C91525" w:rsidRPr="00DA3766" w14:paraId="18E1740A" w14:textId="77777777" w:rsidTr="00DA3766">
        <w:trPr>
          <w:trHeight w:val="397"/>
          <w:jc w:val="center"/>
        </w:trPr>
        <w:tc>
          <w:tcPr>
            <w:tcW w:w="1492" w:type="pct"/>
            <w:tcMar>
              <w:top w:w="0" w:type="dxa"/>
              <w:bottom w:w="0" w:type="dxa"/>
            </w:tcMar>
            <w:vAlign w:val="center"/>
          </w:tcPr>
          <w:p w14:paraId="7F9DE8F0"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其他</w:t>
            </w:r>
          </w:p>
        </w:tc>
        <w:tc>
          <w:tcPr>
            <w:tcW w:w="1169" w:type="pct"/>
            <w:tcMar>
              <w:top w:w="0" w:type="dxa"/>
              <w:bottom w:w="0" w:type="dxa"/>
            </w:tcMar>
            <w:vAlign w:val="center"/>
          </w:tcPr>
          <w:p w14:paraId="67FE2BF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3,930.46</w:t>
            </w:r>
          </w:p>
        </w:tc>
        <w:tc>
          <w:tcPr>
            <w:tcW w:w="1169" w:type="pct"/>
            <w:tcMar>
              <w:top w:w="0" w:type="dxa"/>
              <w:bottom w:w="0" w:type="dxa"/>
            </w:tcMar>
            <w:vAlign w:val="center"/>
          </w:tcPr>
          <w:p w14:paraId="1CEA327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3,611.27</w:t>
            </w:r>
          </w:p>
        </w:tc>
        <w:tc>
          <w:tcPr>
            <w:tcW w:w="1170" w:type="pct"/>
            <w:tcMar>
              <w:top w:w="0" w:type="dxa"/>
              <w:bottom w:w="0" w:type="dxa"/>
            </w:tcMar>
            <w:vAlign w:val="center"/>
          </w:tcPr>
          <w:p w14:paraId="5FA004B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91.47</w:t>
            </w:r>
          </w:p>
        </w:tc>
      </w:tr>
      <w:tr w:rsidR="00C91525" w:rsidRPr="00DA3766" w14:paraId="5A3484AD" w14:textId="77777777" w:rsidTr="00DA3766">
        <w:trPr>
          <w:trHeight w:val="397"/>
          <w:jc w:val="center"/>
        </w:trPr>
        <w:tc>
          <w:tcPr>
            <w:tcW w:w="1492" w:type="pct"/>
            <w:tcMar>
              <w:top w:w="0" w:type="dxa"/>
              <w:bottom w:w="0" w:type="dxa"/>
            </w:tcMar>
            <w:vAlign w:val="center"/>
          </w:tcPr>
          <w:p w14:paraId="1C2D66C5"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169" w:type="pct"/>
            <w:tcMar>
              <w:top w:w="0" w:type="dxa"/>
              <w:bottom w:w="0" w:type="dxa"/>
            </w:tcMar>
            <w:vAlign w:val="center"/>
          </w:tcPr>
          <w:p w14:paraId="14CC63D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6,254.51</w:t>
            </w:r>
          </w:p>
        </w:tc>
        <w:tc>
          <w:tcPr>
            <w:tcW w:w="1169" w:type="pct"/>
            <w:tcMar>
              <w:top w:w="0" w:type="dxa"/>
              <w:bottom w:w="0" w:type="dxa"/>
            </w:tcMar>
            <w:vAlign w:val="center"/>
          </w:tcPr>
          <w:p w14:paraId="001E110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7,689.97</w:t>
            </w:r>
          </w:p>
        </w:tc>
        <w:tc>
          <w:tcPr>
            <w:tcW w:w="1170" w:type="pct"/>
            <w:tcMar>
              <w:top w:w="0" w:type="dxa"/>
              <w:bottom w:w="0" w:type="dxa"/>
            </w:tcMar>
            <w:vAlign w:val="center"/>
          </w:tcPr>
          <w:p w14:paraId="1C7F4987"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3,524.31</w:t>
            </w:r>
          </w:p>
        </w:tc>
      </w:tr>
    </w:tbl>
    <w:p w14:paraId="2BD2D7C3" w14:textId="60C7E79F" w:rsidR="00C91525" w:rsidRPr="00DA3766" w:rsidRDefault="004D53C4" w:rsidP="004C2193">
      <w:pPr>
        <w:pStyle w:val="005"/>
        <w:spacing w:before="120" w:after="120"/>
        <w:ind w:firstLine="480"/>
      </w:pPr>
      <w:r w:rsidRPr="00DA3766">
        <w:t>标的公司</w:t>
      </w:r>
      <w:r w:rsidRPr="00DA3766">
        <w:t>2024</w:t>
      </w:r>
      <w:r w:rsidRPr="00DA3766">
        <w:t>年及</w:t>
      </w:r>
      <w:r w:rsidRPr="00DA3766">
        <w:t>2025</w:t>
      </w:r>
      <w:r w:rsidRPr="00DA3766">
        <w:t>年</w:t>
      </w:r>
      <w:r w:rsidRPr="00DA3766">
        <w:t>1-6</w:t>
      </w:r>
      <w:r w:rsidRPr="00DA3766">
        <w:t>月收到和支付其他与经营活动有关的现金较</w:t>
      </w:r>
      <w:r w:rsidRPr="00DA3766">
        <w:t>2023</w:t>
      </w:r>
      <w:r w:rsidRPr="00DA3766">
        <w:t>年增长幅度较大，主要原因系由于标的公司</w:t>
      </w:r>
      <w:r w:rsidRPr="00DA3766">
        <w:t>2024</w:t>
      </w:r>
      <w:r w:rsidRPr="00DA3766">
        <w:t>年新增抖音商户代理运营业务，根据业务开展的需求，标的公司向相关代运营商户支付合作意向金，并于合作期间内逐步向商家收回合作意向金，</w:t>
      </w:r>
      <w:r w:rsidR="00FA725F" w:rsidRPr="00DA3766">
        <w:t>具备商业实质。</w:t>
      </w:r>
      <w:r w:rsidRPr="00DA3766">
        <w:t>该业务的合作周期一般为</w:t>
      </w:r>
      <w:r w:rsidRPr="00DA3766">
        <w:t>3-9</w:t>
      </w:r>
      <w:r w:rsidRPr="00DA3766">
        <w:t>个月，故报告期内，收到和支付其他与经营活动有关的现金变动较大，标的公司</w:t>
      </w:r>
      <w:r w:rsidRPr="00DA3766">
        <w:t>2024</w:t>
      </w:r>
      <w:r w:rsidRPr="00DA3766">
        <w:t>年及</w:t>
      </w:r>
      <w:r w:rsidRPr="00DA3766">
        <w:t>2025</w:t>
      </w:r>
      <w:r w:rsidRPr="00DA3766">
        <w:t>年</w:t>
      </w:r>
      <w:r w:rsidRPr="00DA3766">
        <w:t>1-6</w:t>
      </w:r>
      <w:r w:rsidRPr="00DA3766">
        <w:t>月收回合作意向金金额分别为</w:t>
      </w:r>
      <w:r w:rsidRPr="00DA3766">
        <w:t>1,466.88</w:t>
      </w:r>
      <w:r w:rsidRPr="00DA3766">
        <w:t>万元、</w:t>
      </w:r>
      <w:r w:rsidRPr="00DA3766">
        <w:t>2,501.53</w:t>
      </w:r>
      <w:r w:rsidRPr="00DA3766">
        <w:t>万元，支付合作意向金金额分别为</w:t>
      </w:r>
      <w:r w:rsidRPr="00DA3766">
        <w:t>3,012.79</w:t>
      </w:r>
      <w:r w:rsidRPr="00DA3766">
        <w:t>万元、</w:t>
      </w:r>
      <w:r w:rsidRPr="00DA3766">
        <w:t>3,428.83</w:t>
      </w:r>
      <w:r w:rsidRPr="00DA3766">
        <w:t>万元。</w:t>
      </w:r>
    </w:p>
    <w:p w14:paraId="08A77F4E" w14:textId="3A92EF48" w:rsidR="004107CB" w:rsidRPr="00DA3766" w:rsidRDefault="004107CB" w:rsidP="004107CB">
      <w:pPr>
        <w:pStyle w:val="002"/>
        <w:spacing w:before="120" w:after="120"/>
        <w:ind w:firstLine="482"/>
      </w:pPr>
      <w:r w:rsidRPr="00DA3766">
        <w:t>五、标的资产外购专利权、软件著作权及作品著作权的具体情况及原因，自关联方购买无形资产的具体情况及公允性，相关无形资产的具体用途；报告期内无形资产减值的原因，相关减值准备计提是否合理、充分</w:t>
      </w:r>
    </w:p>
    <w:p w14:paraId="319D16B1" w14:textId="0885008F" w:rsidR="00C91525" w:rsidRPr="00DA3766" w:rsidRDefault="00C07373" w:rsidP="002A2865">
      <w:pPr>
        <w:pStyle w:val="003"/>
        <w:spacing w:before="120" w:after="120"/>
        <w:ind w:firstLine="482"/>
      </w:pPr>
      <w:r w:rsidRPr="00DA3766">
        <w:t>（一）</w:t>
      </w:r>
      <w:r w:rsidR="00C91525" w:rsidRPr="00DA3766">
        <w:t>标的资产外购专利权、软件著作权及作品著作权的具体情况及原因，自关联方购买无形资产的具体情况及公允性，相关无形资产的具体用途</w:t>
      </w:r>
    </w:p>
    <w:p w14:paraId="727C6003" w14:textId="77777777" w:rsidR="00C91525" w:rsidRPr="00DA3766" w:rsidRDefault="00C91525" w:rsidP="004C2193">
      <w:pPr>
        <w:pStyle w:val="005"/>
        <w:spacing w:before="120" w:after="120"/>
        <w:ind w:firstLine="480"/>
        <w:rPr>
          <w:b/>
        </w:rPr>
      </w:pPr>
      <w:r w:rsidRPr="00DA3766">
        <w:t>报告期内，标的公司外购专利权、软件著作权及作品著作权情况如下</w:t>
      </w:r>
      <w:r w:rsidRPr="00DA3766">
        <w:rPr>
          <w:b/>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2"/>
        <w:gridCol w:w="2802"/>
        <w:gridCol w:w="810"/>
        <w:gridCol w:w="1805"/>
        <w:gridCol w:w="1729"/>
      </w:tblGrid>
      <w:tr w:rsidR="00C91525" w:rsidRPr="00DA3766" w14:paraId="0AD114FF" w14:textId="77777777" w:rsidTr="004C2193">
        <w:trPr>
          <w:trHeight w:val="397"/>
          <w:tblHeader/>
          <w:jc w:val="center"/>
        </w:trPr>
        <w:tc>
          <w:tcPr>
            <w:tcW w:w="810" w:type="pct"/>
            <w:tcMar>
              <w:top w:w="0" w:type="dxa"/>
              <w:bottom w:w="0" w:type="dxa"/>
            </w:tcMar>
            <w:vAlign w:val="center"/>
          </w:tcPr>
          <w:p w14:paraId="287C3985" w14:textId="16576C42" w:rsidR="00C91525" w:rsidRPr="00DA3766" w:rsidRDefault="00B85474"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类别</w:t>
            </w:r>
          </w:p>
        </w:tc>
        <w:tc>
          <w:tcPr>
            <w:tcW w:w="1643" w:type="pct"/>
            <w:tcMar>
              <w:top w:w="0" w:type="dxa"/>
              <w:bottom w:w="0" w:type="dxa"/>
            </w:tcMar>
            <w:vAlign w:val="center"/>
          </w:tcPr>
          <w:p w14:paraId="40B7627B" w14:textId="7C5B300F" w:rsidR="00C91525" w:rsidRPr="00DA3766" w:rsidRDefault="00B85474"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主要项目</w:t>
            </w:r>
          </w:p>
        </w:tc>
        <w:tc>
          <w:tcPr>
            <w:tcW w:w="475" w:type="pct"/>
            <w:tcMar>
              <w:top w:w="0" w:type="dxa"/>
              <w:bottom w:w="0" w:type="dxa"/>
            </w:tcMar>
            <w:vAlign w:val="center"/>
          </w:tcPr>
          <w:p w14:paraId="5649E73E"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取得方式</w:t>
            </w:r>
          </w:p>
        </w:tc>
        <w:tc>
          <w:tcPr>
            <w:tcW w:w="1058" w:type="pct"/>
            <w:tcMar>
              <w:top w:w="0" w:type="dxa"/>
              <w:bottom w:w="0" w:type="dxa"/>
            </w:tcMar>
            <w:vAlign w:val="center"/>
          </w:tcPr>
          <w:p w14:paraId="6C391834"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购买价格（万元）</w:t>
            </w:r>
          </w:p>
        </w:tc>
        <w:tc>
          <w:tcPr>
            <w:tcW w:w="1014" w:type="pct"/>
            <w:tcMar>
              <w:top w:w="0" w:type="dxa"/>
              <w:bottom w:w="0" w:type="dxa"/>
            </w:tcMar>
            <w:vAlign w:val="center"/>
          </w:tcPr>
          <w:p w14:paraId="65626532"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购买原因及用途</w:t>
            </w:r>
          </w:p>
        </w:tc>
      </w:tr>
      <w:tr w:rsidR="00C91525" w:rsidRPr="00DA3766" w14:paraId="780AD234" w14:textId="77777777" w:rsidTr="00DA3766">
        <w:trPr>
          <w:trHeight w:val="397"/>
          <w:jc w:val="center"/>
        </w:trPr>
        <w:tc>
          <w:tcPr>
            <w:tcW w:w="810" w:type="pct"/>
            <w:tcMar>
              <w:top w:w="0" w:type="dxa"/>
              <w:bottom w:w="0" w:type="dxa"/>
            </w:tcMar>
            <w:vAlign w:val="center"/>
          </w:tcPr>
          <w:p w14:paraId="121F2859"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505B8A2A"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无线传输协议互动装置等</w:t>
            </w:r>
          </w:p>
        </w:tc>
        <w:tc>
          <w:tcPr>
            <w:tcW w:w="475" w:type="pct"/>
            <w:tcMar>
              <w:top w:w="0" w:type="dxa"/>
              <w:bottom w:w="0" w:type="dxa"/>
            </w:tcMar>
            <w:vAlign w:val="center"/>
          </w:tcPr>
          <w:p w14:paraId="62D0510F"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CC2AA8D"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345.28</w:t>
            </w:r>
          </w:p>
        </w:tc>
        <w:tc>
          <w:tcPr>
            <w:tcW w:w="1014" w:type="pct"/>
            <w:tcMar>
              <w:top w:w="0" w:type="dxa"/>
              <w:bottom w:w="0" w:type="dxa"/>
            </w:tcMar>
            <w:vAlign w:val="center"/>
          </w:tcPr>
          <w:p w14:paraId="0315D7F7"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1AB8BD13" w14:textId="77777777" w:rsidTr="00DA3766">
        <w:trPr>
          <w:trHeight w:val="397"/>
          <w:jc w:val="center"/>
        </w:trPr>
        <w:tc>
          <w:tcPr>
            <w:tcW w:w="810" w:type="pct"/>
            <w:tcMar>
              <w:top w:w="0" w:type="dxa"/>
              <w:bottom w:w="0" w:type="dxa"/>
            </w:tcMar>
            <w:vAlign w:val="center"/>
          </w:tcPr>
          <w:p w14:paraId="522F0CED"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720FD090"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智能网络投币器等</w:t>
            </w:r>
          </w:p>
        </w:tc>
        <w:tc>
          <w:tcPr>
            <w:tcW w:w="475" w:type="pct"/>
            <w:tcMar>
              <w:top w:w="0" w:type="dxa"/>
              <w:bottom w:w="0" w:type="dxa"/>
            </w:tcMar>
            <w:vAlign w:val="center"/>
          </w:tcPr>
          <w:p w14:paraId="63C116CD"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0194A54C"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500.00</w:t>
            </w:r>
          </w:p>
        </w:tc>
        <w:tc>
          <w:tcPr>
            <w:tcW w:w="1014" w:type="pct"/>
            <w:tcMar>
              <w:top w:w="0" w:type="dxa"/>
              <w:bottom w:w="0" w:type="dxa"/>
            </w:tcMar>
            <w:vAlign w:val="center"/>
          </w:tcPr>
          <w:p w14:paraId="3E95FA8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0CCC1A8F" w14:textId="77777777" w:rsidTr="00DA3766">
        <w:trPr>
          <w:trHeight w:val="397"/>
          <w:jc w:val="center"/>
        </w:trPr>
        <w:tc>
          <w:tcPr>
            <w:tcW w:w="810" w:type="pct"/>
            <w:tcMar>
              <w:top w:w="0" w:type="dxa"/>
              <w:bottom w:w="0" w:type="dxa"/>
            </w:tcMar>
            <w:vAlign w:val="center"/>
          </w:tcPr>
          <w:p w14:paraId="3C3A5167"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商标权</w:t>
            </w:r>
          </w:p>
        </w:tc>
        <w:tc>
          <w:tcPr>
            <w:tcW w:w="1643" w:type="pct"/>
            <w:tcMar>
              <w:top w:w="0" w:type="dxa"/>
              <w:bottom w:w="0" w:type="dxa"/>
            </w:tcMar>
            <w:vAlign w:val="center"/>
          </w:tcPr>
          <w:p w14:paraId="2451AB8B" w14:textId="77777777" w:rsidR="00C91525" w:rsidRPr="00DA3766" w:rsidRDefault="00C91525" w:rsidP="00DA3766">
            <w:pPr>
              <w:adjustRightInd w:val="0"/>
              <w:snapToGrid w:val="0"/>
              <w:spacing w:beforeLines="0" w:before="0" w:afterLines="0" w:after="0" w:line="240" w:lineRule="auto"/>
              <w:ind w:right="210"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商标权及域名</w:t>
            </w:r>
          </w:p>
        </w:tc>
        <w:tc>
          <w:tcPr>
            <w:tcW w:w="475" w:type="pct"/>
            <w:tcMar>
              <w:top w:w="0" w:type="dxa"/>
              <w:bottom w:w="0" w:type="dxa"/>
            </w:tcMar>
            <w:vAlign w:val="center"/>
          </w:tcPr>
          <w:p w14:paraId="6C2EC624"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59743A54"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1,431.98</w:t>
            </w:r>
          </w:p>
        </w:tc>
        <w:tc>
          <w:tcPr>
            <w:tcW w:w="1014" w:type="pct"/>
            <w:tcMar>
              <w:top w:w="0" w:type="dxa"/>
              <w:bottom w:w="0" w:type="dxa"/>
            </w:tcMar>
            <w:vAlign w:val="center"/>
          </w:tcPr>
          <w:p w14:paraId="5AEE8E0B"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67C853DF" w14:textId="77777777" w:rsidTr="00DA3766">
        <w:trPr>
          <w:trHeight w:val="397"/>
          <w:jc w:val="center"/>
        </w:trPr>
        <w:tc>
          <w:tcPr>
            <w:tcW w:w="810" w:type="pct"/>
            <w:tcMar>
              <w:top w:w="0" w:type="dxa"/>
              <w:bottom w:w="0" w:type="dxa"/>
            </w:tcMar>
            <w:vAlign w:val="center"/>
          </w:tcPr>
          <w:p w14:paraId="0D239C4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专利软、软件著作权</w:t>
            </w:r>
          </w:p>
        </w:tc>
        <w:tc>
          <w:tcPr>
            <w:tcW w:w="1643" w:type="pct"/>
            <w:tcMar>
              <w:top w:w="0" w:type="dxa"/>
              <w:bottom w:w="0" w:type="dxa"/>
            </w:tcMar>
            <w:vAlign w:val="center"/>
          </w:tcPr>
          <w:p w14:paraId="2A2EBF03"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存票机无尘光眼装置、智科</w:t>
            </w:r>
            <w:r w:rsidRPr="00DA3766">
              <w:rPr>
                <w:rFonts w:ascii="Times New Roman" w:hAnsi="Times New Roman" w:cs="Times New Roman"/>
                <w:color w:val="000000"/>
                <w:sz w:val="21"/>
                <w:szCs w:val="21"/>
              </w:rPr>
              <w:t>POS</w:t>
            </w:r>
            <w:r w:rsidRPr="00DA3766">
              <w:rPr>
                <w:rFonts w:ascii="Times New Roman" w:hAnsi="Times New Roman" w:cs="Times New Roman"/>
                <w:color w:val="000000"/>
                <w:sz w:val="21"/>
                <w:szCs w:val="21"/>
              </w:rPr>
              <w:t>软件等</w:t>
            </w:r>
          </w:p>
        </w:tc>
        <w:tc>
          <w:tcPr>
            <w:tcW w:w="475" w:type="pct"/>
            <w:tcMar>
              <w:top w:w="0" w:type="dxa"/>
              <w:bottom w:w="0" w:type="dxa"/>
            </w:tcMar>
            <w:vAlign w:val="center"/>
          </w:tcPr>
          <w:p w14:paraId="5E62958D"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07103CA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693.77</w:t>
            </w:r>
          </w:p>
        </w:tc>
        <w:tc>
          <w:tcPr>
            <w:tcW w:w="1014" w:type="pct"/>
            <w:tcMar>
              <w:top w:w="0" w:type="dxa"/>
              <w:bottom w:w="0" w:type="dxa"/>
            </w:tcMar>
            <w:vAlign w:val="center"/>
          </w:tcPr>
          <w:p w14:paraId="14F3CB3B"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0E44649F" w14:textId="77777777" w:rsidTr="00DA3766">
        <w:trPr>
          <w:trHeight w:val="397"/>
          <w:jc w:val="center"/>
        </w:trPr>
        <w:tc>
          <w:tcPr>
            <w:tcW w:w="810" w:type="pct"/>
            <w:tcMar>
              <w:top w:w="0" w:type="dxa"/>
              <w:bottom w:w="0" w:type="dxa"/>
            </w:tcMar>
            <w:vAlign w:val="center"/>
          </w:tcPr>
          <w:p w14:paraId="0B46901F"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2D139D46"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物联网热水器及监测系统等</w:t>
            </w:r>
          </w:p>
        </w:tc>
        <w:tc>
          <w:tcPr>
            <w:tcW w:w="475" w:type="pct"/>
            <w:tcMar>
              <w:top w:w="0" w:type="dxa"/>
              <w:bottom w:w="0" w:type="dxa"/>
            </w:tcMar>
            <w:vAlign w:val="center"/>
          </w:tcPr>
          <w:p w14:paraId="6485601E"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BC548F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21.74</w:t>
            </w:r>
          </w:p>
        </w:tc>
        <w:tc>
          <w:tcPr>
            <w:tcW w:w="1014" w:type="pct"/>
            <w:tcMar>
              <w:top w:w="0" w:type="dxa"/>
              <w:bottom w:w="0" w:type="dxa"/>
            </w:tcMar>
            <w:vAlign w:val="center"/>
          </w:tcPr>
          <w:p w14:paraId="0A8E404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5EC7C5C6" w14:textId="77777777" w:rsidTr="00DA3766">
        <w:trPr>
          <w:trHeight w:val="397"/>
          <w:jc w:val="center"/>
        </w:trPr>
        <w:tc>
          <w:tcPr>
            <w:tcW w:w="810" w:type="pct"/>
            <w:tcMar>
              <w:top w:w="0" w:type="dxa"/>
              <w:bottom w:w="0" w:type="dxa"/>
            </w:tcMar>
            <w:vAlign w:val="center"/>
          </w:tcPr>
          <w:p w14:paraId="70D4DB29"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软件著作权</w:t>
            </w:r>
          </w:p>
        </w:tc>
        <w:tc>
          <w:tcPr>
            <w:tcW w:w="1643" w:type="pct"/>
            <w:tcMar>
              <w:top w:w="0" w:type="dxa"/>
              <w:bottom w:w="0" w:type="dxa"/>
            </w:tcMar>
            <w:vAlign w:val="center"/>
          </w:tcPr>
          <w:p w14:paraId="30E8A4F6"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支付系统软件等</w:t>
            </w:r>
          </w:p>
        </w:tc>
        <w:tc>
          <w:tcPr>
            <w:tcW w:w="475" w:type="pct"/>
            <w:tcMar>
              <w:top w:w="0" w:type="dxa"/>
              <w:bottom w:w="0" w:type="dxa"/>
            </w:tcMar>
            <w:vAlign w:val="center"/>
          </w:tcPr>
          <w:p w14:paraId="680D4EF3"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19ABB7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418.33</w:t>
            </w:r>
          </w:p>
        </w:tc>
        <w:tc>
          <w:tcPr>
            <w:tcW w:w="1014" w:type="pct"/>
            <w:tcMar>
              <w:top w:w="0" w:type="dxa"/>
              <w:bottom w:w="0" w:type="dxa"/>
            </w:tcMar>
            <w:vAlign w:val="center"/>
          </w:tcPr>
          <w:p w14:paraId="0816690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523E3511" w14:textId="77777777" w:rsidTr="00DA3766">
        <w:trPr>
          <w:trHeight w:val="397"/>
          <w:jc w:val="center"/>
        </w:trPr>
        <w:tc>
          <w:tcPr>
            <w:tcW w:w="810" w:type="pct"/>
            <w:tcMar>
              <w:top w:w="0" w:type="dxa"/>
              <w:bottom w:w="0" w:type="dxa"/>
            </w:tcMar>
            <w:vAlign w:val="center"/>
          </w:tcPr>
          <w:p w14:paraId="30FB186B"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2BE49265"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自动售货机现金支付协议转</w:t>
            </w:r>
            <w:r w:rsidRPr="00DA3766">
              <w:rPr>
                <w:rFonts w:ascii="Times New Roman" w:hAnsi="Times New Roman" w:cs="Times New Roman"/>
                <w:color w:val="000000"/>
                <w:sz w:val="21"/>
                <w:szCs w:val="21"/>
              </w:rPr>
              <w:lastRenderedPageBreak/>
              <w:t>换系统等</w:t>
            </w:r>
          </w:p>
        </w:tc>
        <w:tc>
          <w:tcPr>
            <w:tcW w:w="475" w:type="pct"/>
            <w:tcMar>
              <w:top w:w="0" w:type="dxa"/>
              <w:bottom w:w="0" w:type="dxa"/>
            </w:tcMar>
            <w:vAlign w:val="center"/>
          </w:tcPr>
          <w:p w14:paraId="7AD0F824"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购买</w:t>
            </w:r>
          </w:p>
        </w:tc>
        <w:tc>
          <w:tcPr>
            <w:tcW w:w="1058" w:type="pct"/>
            <w:tcMar>
              <w:top w:w="0" w:type="dxa"/>
              <w:bottom w:w="0" w:type="dxa"/>
            </w:tcMar>
            <w:vAlign w:val="center"/>
          </w:tcPr>
          <w:p w14:paraId="3DCC79E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450.00</w:t>
            </w:r>
          </w:p>
        </w:tc>
        <w:tc>
          <w:tcPr>
            <w:tcW w:w="1014" w:type="pct"/>
            <w:tcMar>
              <w:top w:w="0" w:type="dxa"/>
              <w:bottom w:w="0" w:type="dxa"/>
            </w:tcMar>
            <w:vAlign w:val="center"/>
          </w:tcPr>
          <w:p w14:paraId="686DAACC"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bl>
    <w:p w14:paraId="3786A8AA" w14:textId="16887053" w:rsidR="00C91525" w:rsidRPr="00DA3766" w:rsidRDefault="004D53C4" w:rsidP="004C2193">
      <w:pPr>
        <w:pStyle w:val="005"/>
        <w:spacing w:before="120" w:after="120"/>
        <w:ind w:firstLine="480"/>
      </w:pPr>
      <w:r w:rsidRPr="00DA3766">
        <w:t>标的公司于</w:t>
      </w:r>
      <w:r w:rsidRPr="00DA3766">
        <w:t>2023</w:t>
      </w:r>
      <w:r w:rsidRPr="00DA3766">
        <w:t>年自持有标的公司控股子公司广州星拓科技有限公司</w:t>
      </w:r>
      <w:r w:rsidRPr="00DA3766">
        <w:t>30%</w:t>
      </w:r>
      <w:r w:rsidRPr="00DA3766">
        <w:t>股权的湖南汉拓物联科技有限公司购入专利技术，用于拓展生活领域相关业务。前述交易作价系参考</w:t>
      </w:r>
      <w:r w:rsidR="00BB5B63" w:rsidRPr="00DA3766">
        <w:t>相关评估结果</w:t>
      </w:r>
      <w:r w:rsidRPr="00DA3766">
        <w:t>进行确定。</w:t>
      </w:r>
    </w:p>
    <w:p w14:paraId="44015348" w14:textId="697B048D" w:rsidR="00C91525" w:rsidRPr="00DA3766" w:rsidRDefault="00C07373" w:rsidP="002A2865">
      <w:pPr>
        <w:pStyle w:val="003"/>
        <w:spacing w:before="120" w:after="120"/>
        <w:ind w:firstLine="482"/>
      </w:pPr>
      <w:r w:rsidRPr="00DA3766">
        <w:t>（二）</w:t>
      </w:r>
      <w:r w:rsidR="00C91525" w:rsidRPr="00DA3766">
        <w:t>报告期内无形资产减值的原因，相关减值准备计提是否合理、充分</w:t>
      </w:r>
    </w:p>
    <w:p w14:paraId="01E4BC9D" w14:textId="6307439C" w:rsidR="00C91525" w:rsidRPr="00DA3766" w:rsidRDefault="00C91525" w:rsidP="004C2193">
      <w:pPr>
        <w:pStyle w:val="005"/>
        <w:spacing w:before="120" w:after="120"/>
        <w:ind w:firstLine="480"/>
      </w:pPr>
      <w:r w:rsidRPr="00DA3766">
        <w:t>报告期内，标的公司无形资产的减值情况如下：</w:t>
      </w:r>
    </w:p>
    <w:p w14:paraId="3F248324" w14:textId="77777777" w:rsidR="00C91525" w:rsidRPr="00DA3766" w:rsidRDefault="00C91525" w:rsidP="002A2865">
      <w:pPr>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576"/>
        <w:gridCol w:w="1433"/>
        <w:gridCol w:w="1442"/>
        <w:gridCol w:w="1439"/>
      </w:tblGrid>
      <w:tr w:rsidR="00FD6916" w:rsidRPr="00DA3766" w14:paraId="1D466A93" w14:textId="77777777" w:rsidTr="00DA3766">
        <w:trPr>
          <w:trHeight w:val="397"/>
          <w:tblHeader/>
          <w:jc w:val="center"/>
        </w:trPr>
        <w:tc>
          <w:tcPr>
            <w:tcW w:w="638" w:type="dxa"/>
            <w:tcMar>
              <w:top w:w="0" w:type="dxa"/>
              <w:bottom w:w="0" w:type="dxa"/>
            </w:tcMar>
            <w:vAlign w:val="center"/>
          </w:tcPr>
          <w:p w14:paraId="76C7C715" w14:textId="539B4C65"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类别</w:t>
            </w:r>
          </w:p>
        </w:tc>
        <w:tc>
          <w:tcPr>
            <w:tcW w:w="3576" w:type="dxa"/>
            <w:tcMar>
              <w:top w:w="0" w:type="dxa"/>
              <w:bottom w:w="0" w:type="dxa"/>
            </w:tcMar>
            <w:vAlign w:val="center"/>
          </w:tcPr>
          <w:p w14:paraId="692D5AA6" w14:textId="0B49CE16"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主要内容</w:t>
            </w:r>
          </w:p>
        </w:tc>
        <w:tc>
          <w:tcPr>
            <w:tcW w:w="1433" w:type="dxa"/>
            <w:vAlign w:val="center"/>
          </w:tcPr>
          <w:p w14:paraId="6C3EA427" w14:textId="77777777"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p w14:paraId="35C725D7" w14:textId="3A2C64F4"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c>
          <w:tcPr>
            <w:tcW w:w="1442" w:type="dxa"/>
            <w:vAlign w:val="center"/>
          </w:tcPr>
          <w:p w14:paraId="4672214B" w14:textId="77777777"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p w14:paraId="34038305" w14:textId="23740314"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c>
          <w:tcPr>
            <w:tcW w:w="1439" w:type="dxa"/>
            <w:tcMar>
              <w:top w:w="0" w:type="dxa"/>
              <w:bottom w:w="0" w:type="dxa"/>
            </w:tcMar>
            <w:vAlign w:val="center"/>
          </w:tcPr>
          <w:p w14:paraId="7CB9F849" w14:textId="4FEC42AF"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p w14:paraId="0BFB9369" w14:textId="63422CB5"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r>
      <w:tr w:rsidR="00FD6916" w:rsidRPr="00DA3766" w14:paraId="3455A3DC" w14:textId="77777777" w:rsidTr="00DA3766">
        <w:trPr>
          <w:trHeight w:val="397"/>
          <w:jc w:val="center"/>
        </w:trPr>
        <w:tc>
          <w:tcPr>
            <w:tcW w:w="638" w:type="dxa"/>
            <w:tcMar>
              <w:top w:w="0" w:type="dxa"/>
              <w:bottom w:w="0" w:type="dxa"/>
            </w:tcMar>
            <w:vAlign w:val="center"/>
          </w:tcPr>
          <w:p w14:paraId="3173514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3001323C"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智能网络投币器等</w:t>
            </w:r>
          </w:p>
        </w:tc>
        <w:tc>
          <w:tcPr>
            <w:tcW w:w="1433" w:type="dxa"/>
            <w:vAlign w:val="center"/>
          </w:tcPr>
          <w:p w14:paraId="1F1770C6" w14:textId="5429B6FC"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42" w:type="dxa"/>
            <w:vAlign w:val="center"/>
          </w:tcPr>
          <w:p w14:paraId="614E2A87" w14:textId="34A6DF06"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39" w:type="dxa"/>
            <w:tcMar>
              <w:top w:w="0" w:type="dxa"/>
              <w:bottom w:w="0" w:type="dxa"/>
            </w:tcMar>
            <w:vAlign w:val="center"/>
          </w:tcPr>
          <w:p w14:paraId="38F0F8CC" w14:textId="05C62F76"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229.00</w:t>
            </w:r>
          </w:p>
        </w:tc>
      </w:tr>
      <w:tr w:rsidR="00FD6916" w:rsidRPr="00DA3766" w14:paraId="24B5A92B" w14:textId="77777777" w:rsidTr="00DA3766">
        <w:trPr>
          <w:trHeight w:val="397"/>
          <w:jc w:val="center"/>
        </w:trPr>
        <w:tc>
          <w:tcPr>
            <w:tcW w:w="638" w:type="dxa"/>
            <w:tcMar>
              <w:top w:w="0" w:type="dxa"/>
              <w:bottom w:w="0" w:type="dxa"/>
            </w:tcMar>
            <w:vAlign w:val="center"/>
          </w:tcPr>
          <w:p w14:paraId="547BF43B"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325555F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物联网热水器及监测系统等</w:t>
            </w:r>
          </w:p>
        </w:tc>
        <w:tc>
          <w:tcPr>
            <w:tcW w:w="1433" w:type="dxa"/>
            <w:vAlign w:val="center"/>
          </w:tcPr>
          <w:p w14:paraId="53A829F3" w14:textId="5F5DD349"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0.69</w:t>
            </w:r>
          </w:p>
        </w:tc>
        <w:tc>
          <w:tcPr>
            <w:tcW w:w="1442" w:type="dxa"/>
            <w:vAlign w:val="center"/>
          </w:tcPr>
          <w:p w14:paraId="755E3208" w14:textId="00C6AAF9"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2.11</w:t>
            </w:r>
          </w:p>
        </w:tc>
        <w:tc>
          <w:tcPr>
            <w:tcW w:w="1439" w:type="dxa"/>
            <w:tcMar>
              <w:top w:w="0" w:type="dxa"/>
              <w:bottom w:w="0" w:type="dxa"/>
            </w:tcMar>
            <w:vAlign w:val="center"/>
          </w:tcPr>
          <w:p w14:paraId="0ECF0EF1" w14:textId="0EC26BA4"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11.57</w:t>
            </w:r>
          </w:p>
        </w:tc>
      </w:tr>
      <w:tr w:rsidR="00FD6916" w:rsidRPr="00DA3766" w14:paraId="0DF2D79B" w14:textId="77777777" w:rsidTr="00DA3766">
        <w:trPr>
          <w:trHeight w:val="397"/>
          <w:jc w:val="center"/>
        </w:trPr>
        <w:tc>
          <w:tcPr>
            <w:tcW w:w="638" w:type="dxa"/>
            <w:tcMar>
              <w:top w:w="0" w:type="dxa"/>
              <w:bottom w:w="0" w:type="dxa"/>
            </w:tcMar>
            <w:vAlign w:val="center"/>
          </w:tcPr>
          <w:p w14:paraId="6827A8F7"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5489FD78"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支付系统软件等</w:t>
            </w:r>
          </w:p>
        </w:tc>
        <w:tc>
          <w:tcPr>
            <w:tcW w:w="1433" w:type="dxa"/>
            <w:vAlign w:val="center"/>
          </w:tcPr>
          <w:p w14:paraId="073B347F" w14:textId="2D7F8D62"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0.77</w:t>
            </w:r>
          </w:p>
        </w:tc>
        <w:tc>
          <w:tcPr>
            <w:tcW w:w="1442" w:type="dxa"/>
            <w:vAlign w:val="center"/>
          </w:tcPr>
          <w:p w14:paraId="0559A131" w14:textId="6099B20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4.91</w:t>
            </w:r>
          </w:p>
        </w:tc>
        <w:tc>
          <w:tcPr>
            <w:tcW w:w="1439" w:type="dxa"/>
            <w:tcMar>
              <w:top w:w="0" w:type="dxa"/>
              <w:bottom w:w="0" w:type="dxa"/>
            </w:tcMar>
            <w:vAlign w:val="center"/>
          </w:tcPr>
          <w:p w14:paraId="4CCDDA75" w14:textId="39B2462E"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339.04</w:t>
            </w:r>
          </w:p>
        </w:tc>
      </w:tr>
      <w:tr w:rsidR="00FD6916" w:rsidRPr="00DA3766" w14:paraId="620E5C91" w14:textId="77777777" w:rsidTr="00DA3766">
        <w:trPr>
          <w:trHeight w:val="397"/>
          <w:jc w:val="center"/>
        </w:trPr>
        <w:tc>
          <w:tcPr>
            <w:tcW w:w="638" w:type="dxa"/>
            <w:tcMar>
              <w:top w:w="0" w:type="dxa"/>
              <w:bottom w:w="0" w:type="dxa"/>
            </w:tcMar>
            <w:vAlign w:val="center"/>
          </w:tcPr>
          <w:p w14:paraId="3846145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738684C6"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自动售货机现金支付协议转换系统等</w:t>
            </w:r>
          </w:p>
        </w:tc>
        <w:tc>
          <w:tcPr>
            <w:tcW w:w="1433" w:type="dxa"/>
            <w:vAlign w:val="center"/>
          </w:tcPr>
          <w:p w14:paraId="66F377D8" w14:textId="115FB7BB"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42" w:type="dxa"/>
            <w:vAlign w:val="center"/>
          </w:tcPr>
          <w:p w14:paraId="254995ED" w14:textId="034E95E7"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39" w:type="dxa"/>
            <w:tcMar>
              <w:top w:w="0" w:type="dxa"/>
              <w:bottom w:w="0" w:type="dxa"/>
            </w:tcMar>
            <w:vAlign w:val="center"/>
          </w:tcPr>
          <w:p w14:paraId="0AA08ADB" w14:textId="5A8978FD"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157.50</w:t>
            </w:r>
          </w:p>
        </w:tc>
      </w:tr>
      <w:tr w:rsidR="00FD6916" w:rsidRPr="00DA3766" w14:paraId="31FEE826" w14:textId="77777777" w:rsidTr="00DA3766">
        <w:trPr>
          <w:trHeight w:val="397"/>
          <w:jc w:val="center"/>
        </w:trPr>
        <w:tc>
          <w:tcPr>
            <w:tcW w:w="4214" w:type="dxa"/>
            <w:gridSpan w:val="2"/>
            <w:tcMar>
              <w:top w:w="0" w:type="dxa"/>
              <w:bottom w:w="0" w:type="dxa"/>
            </w:tcMar>
            <w:vAlign w:val="center"/>
          </w:tcPr>
          <w:p w14:paraId="5C021BDD" w14:textId="77777777" w:rsidR="00FD6916" w:rsidRPr="00DA3766" w:rsidRDefault="00FD6916"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433" w:type="dxa"/>
            <w:vAlign w:val="center"/>
          </w:tcPr>
          <w:p w14:paraId="6CA58263" w14:textId="07CD79E5"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1.46</w:t>
            </w:r>
          </w:p>
        </w:tc>
        <w:tc>
          <w:tcPr>
            <w:tcW w:w="1442" w:type="dxa"/>
            <w:vAlign w:val="center"/>
          </w:tcPr>
          <w:p w14:paraId="2487F1D3" w14:textId="1B829B9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7.03</w:t>
            </w:r>
          </w:p>
        </w:tc>
        <w:tc>
          <w:tcPr>
            <w:tcW w:w="1439" w:type="dxa"/>
            <w:tcMar>
              <w:top w:w="0" w:type="dxa"/>
              <w:bottom w:w="0" w:type="dxa"/>
            </w:tcMar>
            <w:vAlign w:val="center"/>
          </w:tcPr>
          <w:p w14:paraId="57F3CA6B" w14:textId="130973A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737.11</w:t>
            </w:r>
          </w:p>
        </w:tc>
      </w:tr>
    </w:tbl>
    <w:p w14:paraId="399A6484" w14:textId="52FDC5FA" w:rsidR="00C91525" w:rsidRPr="00DA3766" w:rsidRDefault="004D53C4" w:rsidP="004C2193">
      <w:pPr>
        <w:pStyle w:val="005"/>
        <w:spacing w:before="120" w:after="120"/>
        <w:ind w:firstLine="480"/>
      </w:pPr>
      <w:r w:rsidRPr="00DA3766">
        <w:t>报告期内，计提减值准备的无形资产主要为标的公司</w:t>
      </w:r>
      <w:r w:rsidR="00FD6916" w:rsidRPr="00DA3766">
        <w:t>各</w:t>
      </w:r>
      <w:r w:rsidRPr="00DA3766">
        <w:t>子公司</w:t>
      </w:r>
      <w:r w:rsidR="00FD6916" w:rsidRPr="00DA3766">
        <w:t>所持有的</w:t>
      </w:r>
      <w:r w:rsidRPr="00DA3766">
        <w:t>专利技术，各子公司的主要经营活动为利用专利技术提供服务获取收益。经测算，上诉无形资产预计未来现金流量的净值小于账面价值；同时由于</w:t>
      </w:r>
      <w:r w:rsidR="00FD6916" w:rsidRPr="00DA3766">
        <w:t>相关</w:t>
      </w:r>
      <w:r w:rsidRPr="00DA3766">
        <w:t>无形资产均为企业根据自身经营业务定制的，公开市场上难以找到与之相同或相似的可比交易案例，不存在公允价值，因此按预计未来现金流量现值与资产账面价值的差异计提无形资产减值准备。根据相关测算分析，上述无形资产</w:t>
      </w:r>
      <w:r w:rsidRPr="00DA3766">
        <w:t>2025</w:t>
      </w:r>
      <w:r w:rsidRPr="00DA3766">
        <w:t>年</w:t>
      </w:r>
      <w:r w:rsidRPr="00DA3766">
        <w:t>6</w:t>
      </w:r>
      <w:r w:rsidRPr="00DA3766">
        <w:t>月</w:t>
      </w:r>
      <w:r w:rsidRPr="00DA3766">
        <w:t>30</w:t>
      </w:r>
      <w:r w:rsidRPr="00DA3766">
        <w:t>日减值准备</w:t>
      </w:r>
      <w:r w:rsidR="00FD6916" w:rsidRPr="00DA3766">
        <w:t>余额</w:t>
      </w:r>
      <w:r w:rsidRPr="00DA3766">
        <w:t>为</w:t>
      </w:r>
      <w:r w:rsidRPr="00DA3766">
        <w:t>745.60</w:t>
      </w:r>
      <w:r w:rsidRPr="00DA3766">
        <w:t>万元，占</w:t>
      </w:r>
      <w:r w:rsidR="00FD6916" w:rsidRPr="00DA3766">
        <w:t>相关无形资产</w:t>
      </w:r>
      <w:r w:rsidRPr="00DA3766">
        <w:t>原账面金额的比例为</w:t>
      </w:r>
      <w:r w:rsidRPr="00DA3766">
        <w:t>53.64%</w:t>
      </w:r>
      <w:r w:rsidRPr="00DA3766">
        <w:t>，相关无形资产减值准备计提</w:t>
      </w:r>
      <w:r w:rsidR="007A53E6" w:rsidRPr="00DA3766">
        <w:t>较为充分</w:t>
      </w:r>
      <w:r w:rsidRPr="00DA3766">
        <w:t>。</w:t>
      </w:r>
    </w:p>
    <w:p w14:paraId="4960D831" w14:textId="77777777" w:rsidR="00E76498" w:rsidRPr="00DA3766" w:rsidRDefault="00E76498" w:rsidP="00E76498">
      <w:pPr>
        <w:pStyle w:val="002"/>
        <w:spacing w:before="120" w:after="120"/>
        <w:ind w:firstLine="482"/>
      </w:pPr>
      <w:bookmarkStart w:id="100" w:name="_Toc220344119"/>
      <w:r w:rsidRPr="00DA3766">
        <w:rPr>
          <w:bCs w:val="0"/>
          <w:szCs w:val="22"/>
        </w:rPr>
        <w:t>六</w:t>
      </w:r>
      <w:r w:rsidRPr="00DA3766">
        <w:t>、</w:t>
      </w:r>
      <w:r>
        <w:rPr>
          <w:rFonts w:hint="eastAsia"/>
        </w:rPr>
        <w:t>中介机构</w:t>
      </w:r>
      <w:r w:rsidRPr="00DA3766">
        <w:t>核查过程及核查意见</w:t>
      </w:r>
    </w:p>
    <w:p w14:paraId="23529C9B" w14:textId="77777777" w:rsidR="00E76498" w:rsidRDefault="00E76498" w:rsidP="00E76498">
      <w:pPr>
        <w:pStyle w:val="003"/>
        <w:spacing w:before="120" w:after="120"/>
        <w:ind w:firstLine="482"/>
      </w:pPr>
      <w:r>
        <w:rPr>
          <w:rFonts w:hint="eastAsia"/>
        </w:rPr>
        <w:t>（一）独立财务顾问核查过程及核查意见</w:t>
      </w:r>
    </w:p>
    <w:p w14:paraId="334EA0C1"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6A79D9A9" w14:textId="77777777" w:rsidR="00E76498" w:rsidRPr="00DA3766" w:rsidRDefault="00E76498" w:rsidP="00E76498">
      <w:pPr>
        <w:pStyle w:val="005"/>
        <w:spacing w:before="120" w:after="120"/>
        <w:ind w:firstLine="480"/>
      </w:pPr>
      <w:r w:rsidRPr="00DA3766">
        <w:t>针对前述事项，独立财务顾问主要实施了以下核查程序：</w:t>
      </w:r>
    </w:p>
    <w:p w14:paraId="5FA02885" w14:textId="77777777" w:rsidR="00E76498" w:rsidRPr="00DA3766" w:rsidRDefault="00E76498" w:rsidP="00E76498">
      <w:pPr>
        <w:pStyle w:val="005"/>
        <w:spacing w:before="120" w:after="120"/>
        <w:ind w:firstLine="480"/>
        <w:rPr>
          <w:szCs w:val="24"/>
          <w14:ligatures w14:val="standardContextual"/>
        </w:rPr>
      </w:pPr>
      <w:r>
        <w:rPr>
          <w:rFonts w:hint="eastAsia"/>
        </w:rPr>
        <w:t>（</w:t>
      </w:r>
      <w:r>
        <w:rPr>
          <w:rFonts w:hint="eastAsia"/>
        </w:rPr>
        <w:t>1</w:t>
      </w:r>
      <w:r>
        <w:rPr>
          <w:rFonts w:hint="eastAsia"/>
        </w:rPr>
        <w:t>）</w:t>
      </w:r>
      <w:r w:rsidRPr="00DA3766">
        <w:rPr>
          <w:szCs w:val="24"/>
          <w14:ligatures w14:val="standardContextual"/>
        </w:rPr>
        <w:t>了解标的公司主要其他应收款的性质和产生原因</w:t>
      </w:r>
      <w:r w:rsidRPr="00DA3766">
        <w:t>，</w:t>
      </w:r>
      <w:r w:rsidRPr="00DA3766">
        <w:rPr>
          <w:szCs w:val="24"/>
          <w14:ligatures w14:val="standardContextual"/>
        </w:rPr>
        <w:t>获取标的公司其他</w:t>
      </w:r>
      <w:r w:rsidRPr="00DA3766">
        <w:rPr>
          <w:szCs w:val="24"/>
          <w14:ligatures w14:val="standardContextual"/>
        </w:rPr>
        <w:lastRenderedPageBreak/>
        <w:t>应收款明细表、账龄分析表并分析其构成及变动情况</w:t>
      </w:r>
      <w:r w:rsidRPr="00DA3766">
        <w:t>，</w:t>
      </w:r>
      <w:r w:rsidRPr="00DA3766">
        <w:rPr>
          <w:szCs w:val="24"/>
          <w14:ligatures w14:val="standardContextual"/>
        </w:rPr>
        <w:t>了解标的公司其他应收款坏账计提政策</w:t>
      </w:r>
      <w:bookmarkStart w:id="101" w:name="OLE_LINK48"/>
      <w:r w:rsidRPr="00DA3766">
        <w:rPr>
          <w:szCs w:val="24"/>
          <w14:ligatures w14:val="standardContextual"/>
        </w:rPr>
        <w:t>，获取其他应收款坏账准备计提明细表并对其进行复核</w:t>
      </w:r>
      <w:bookmarkEnd w:id="101"/>
      <w:r w:rsidRPr="00DA3766">
        <w:rPr>
          <w:szCs w:val="24"/>
          <w14:ligatures w14:val="standardContextual"/>
        </w:rPr>
        <w:t>，了解标的公司其他应收款主要对象与标的公司的关联关系并检查是否存在资金占用情况，对标的公司主要其他应收款执行函证程序；</w:t>
      </w:r>
    </w:p>
    <w:p w14:paraId="1E3F6763" w14:textId="77777777" w:rsidR="00E76498" w:rsidRPr="00DA3766" w:rsidRDefault="00E76498" w:rsidP="00E76498">
      <w:pPr>
        <w:pStyle w:val="005"/>
        <w:spacing w:before="120" w:after="120"/>
        <w:ind w:firstLine="480"/>
        <w:rPr>
          <w:szCs w:val="24"/>
          <w14:ligatures w14:val="standardContextual"/>
        </w:rPr>
      </w:pPr>
      <w:r>
        <w:rPr>
          <w:rFonts w:hint="eastAsia"/>
          <w:szCs w:val="24"/>
          <w14:ligatures w14:val="standardContextual"/>
        </w:rPr>
        <w:t>（</w:t>
      </w:r>
      <w:r>
        <w:rPr>
          <w:rFonts w:hint="eastAsia"/>
          <w:szCs w:val="24"/>
          <w14:ligatures w14:val="standardContextual"/>
        </w:rPr>
        <w:t>2</w:t>
      </w:r>
      <w:r>
        <w:rPr>
          <w:rFonts w:hint="eastAsia"/>
          <w:szCs w:val="24"/>
          <w14:ligatures w14:val="standardContextual"/>
        </w:rPr>
        <w:t>）</w:t>
      </w:r>
      <w:r w:rsidRPr="00DA3766">
        <w:rPr>
          <w:szCs w:val="24"/>
          <w14:ligatures w14:val="standardContextual"/>
        </w:rPr>
        <w:t>获取</w:t>
      </w:r>
      <w:bookmarkStart w:id="102" w:name="OLE_LINK42"/>
      <w:r w:rsidRPr="00DA3766">
        <w:rPr>
          <w:szCs w:val="24"/>
          <w14:ligatures w14:val="standardContextual"/>
        </w:rPr>
        <w:t>标的公司存单</w:t>
      </w:r>
      <w:bookmarkEnd w:id="102"/>
      <w:r w:rsidRPr="00DA3766">
        <w:rPr>
          <w:szCs w:val="24"/>
          <w14:ligatures w14:val="standardContextual"/>
        </w:rPr>
        <w:t>明细表，查阅标的公司存单，对标的公司执行银行函证程序；</w:t>
      </w:r>
    </w:p>
    <w:p w14:paraId="016DF81E" w14:textId="77777777" w:rsidR="00E76498" w:rsidRPr="00DA3766" w:rsidRDefault="00E76498" w:rsidP="00E76498">
      <w:pPr>
        <w:pStyle w:val="005"/>
        <w:spacing w:before="120" w:after="120"/>
        <w:ind w:firstLine="480"/>
        <w:rPr>
          <w:szCs w:val="24"/>
          <w14:ligatures w14:val="standardContextual"/>
        </w:rPr>
      </w:pPr>
      <w:r>
        <w:rPr>
          <w:rFonts w:hint="eastAsia"/>
          <w:szCs w:val="24"/>
          <w14:ligatures w14:val="standardContextual"/>
        </w:rPr>
        <w:t>（</w:t>
      </w:r>
      <w:r>
        <w:rPr>
          <w:rFonts w:hint="eastAsia"/>
          <w:szCs w:val="24"/>
          <w14:ligatures w14:val="standardContextual"/>
        </w:rPr>
        <w:t>3</w:t>
      </w:r>
      <w:r>
        <w:rPr>
          <w:rFonts w:hint="eastAsia"/>
          <w:szCs w:val="24"/>
          <w14:ligatures w14:val="standardContextual"/>
        </w:rPr>
        <w:t>）</w:t>
      </w:r>
      <w:r w:rsidRPr="00DA3766">
        <w:rPr>
          <w:szCs w:val="24"/>
          <w14:ligatures w14:val="standardContextual"/>
        </w:rPr>
        <w:t>了解标的公司在本次交易前形成的商誉情况，了解</w:t>
      </w:r>
      <w:r w:rsidRPr="00DA3766">
        <w:t>所在行业发展情况、广州宝点的经营情况</w:t>
      </w:r>
      <w:r w:rsidRPr="00DA3766">
        <w:rPr>
          <w:szCs w:val="24"/>
          <w14:ligatures w14:val="standardContextual"/>
        </w:rPr>
        <w:t>，获取广州宝点财务报表，查阅与本次交易相关的资产评估报告等文件，获取与商誉相关的假设以及基准日商誉确定的计算过程并检查其准确性，分析商誉会计处理是否符合企业会计准则的规定；</w:t>
      </w:r>
    </w:p>
    <w:p w14:paraId="72D43E62" w14:textId="77777777" w:rsidR="00E76498" w:rsidRPr="00DA3766" w:rsidRDefault="00E76498" w:rsidP="00E76498">
      <w:pPr>
        <w:pStyle w:val="005"/>
        <w:spacing w:before="120" w:after="120"/>
        <w:ind w:firstLine="480"/>
        <w:rPr>
          <w:szCs w:val="24"/>
          <w14:ligatures w14:val="standardContextual"/>
        </w:rPr>
      </w:pPr>
      <w:r>
        <w:rPr>
          <w:rFonts w:hint="eastAsia"/>
          <w:szCs w:val="24"/>
          <w14:ligatures w14:val="standardContextual"/>
        </w:rPr>
        <w:t>（</w:t>
      </w:r>
      <w:r>
        <w:rPr>
          <w:rFonts w:hint="eastAsia"/>
          <w:szCs w:val="24"/>
          <w14:ligatures w14:val="standardContextual"/>
        </w:rPr>
        <w:t>4</w:t>
      </w:r>
      <w:r>
        <w:rPr>
          <w:rFonts w:hint="eastAsia"/>
          <w:szCs w:val="24"/>
          <w14:ligatures w14:val="standardContextual"/>
        </w:rPr>
        <w:t>）</w:t>
      </w:r>
      <w:r w:rsidRPr="00DA3766">
        <w:rPr>
          <w:szCs w:val="24"/>
          <w14:ligatures w14:val="standardContextual"/>
        </w:rPr>
        <w:t>查阅标的公司财务报告和审计报告，获取标的公司现金流量表及相关明细，分析</w:t>
      </w:r>
      <w:r w:rsidRPr="00DA3766">
        <w:t>收到和支付其他与经营活动有关的现金的构成和</w:t>
      </w:r>
      <w:r w:rsidRPr="00DA3766">
        <w:rPr>
          <w:szCs w:val="24"/>
          <w14:ligatures w14:val="standardContextual"/>
        </w:rPr>
        <w:t>变动情况，以及与资产负债表、净利润的勾稽关系；</w:t>
      </w:r>
    </w:p>
    <w:p w14:paraId="536A2B3D" w14:textId="77777777" w:rsidR="00E76498" w:rsidRPr="00DA3766" w:rsidRDefault="00E76498" w:rsidP="00E76498">
      <w:pPr>
        <w:pStyle w:val="005"/>
        <w:spacing w:before="120" w:after="120"/>
        <w:ind w:firstLine="480"/>
      </w:pPr>
      <w:r>
        <w:rPr>
          <w:rFonts w:hint="eastAsia"/>
          <w:szCs w:val="24"/>
          <w14:ligatures w14:val="standardContextual"/>
        </w:rPr>
        <w:t>（</w:t>
      </w:r>
      <w:r>
        <w:rPr>
          <w:rFonts w:hint="eastAsia"/>
          <w:szCs w:val="24"/>
          <w14:ligatures w14:val="standardContextual"/>
        </w:rPr>
        <w:t>5</w:t>
      </w:r>
      <w:r>
        <w:rPr>
          <w:rFonts w:hint="eastAsia"/>
          <w:szCs w:val="24"/>
          <w14:ligatures w14:val="standardContextual"/>
        </w:rPr>
        <w:t>）</w:t>
      </w:r>
      <w:r w:rsidRPr="00DA3766">
        <w:rPr>
          <w:szCs w:val="24"/>
          <w14:ligatures w14:val="standardContextual"/>
        </w:rPr>
        <w:t>查阅标的公司无形资产明细表及其权属证书，了解标的公司外购无形资产情况并查阅相关交易协议，核查标的公司确认的无形资产是否符合会计准则规定的确认条件和计量要求，获取无形资产减值准备计提明细表并对其进行复核，核查无形资产是否存在减值风险。</w:t>
      </w:r>
    </w:p>
    <w:p w14:paraId="2B09AF49"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2D963B1E" w14:textId="77777777" w:rsidR="00E76498" w:rsidRPr="00DA3766" w:rsidRDefault="00E76498" w:rsidP="00E76498">
      <w:pPr>
        <w:pStyle w:val="005"/>
        <w:spacing w:before="120" w:after="120"/>
        <w:ind w:firstLine="480"/>
      </w:pPr>
      <w:r w:rsidRPr="00DA3766">
        <w:t>经核查，独立财务顾问认为：</w:t>
      </w:r>
    </w:p>
    <w:p w14:paraId="7766BF31"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标的公司报告期内其他应收款中合作意向金、资金拆出的产生具有合理性，回收风险较小，坏账准备计提较为充分；</w:t>
      </w:r>
    </w:p>
    <w:p w14:paraId="3BC1BE13"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标的公司最近一期末大额存单不存在质押或权利受限的情况；</w:t>
      </w:r>
    </w:p>
    <w:p w14:paraId="12A5C1BC"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标的公司报告期内商誉减值准备计提较为充分；</w:t>
      </w:r>
    </w:p>
    <w:p w14:paraId="7C06132C"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标的公司报告期内收到和支付其他与经营活动有关的现金具备商业实质，报告期内的金额变动具有合理性；</w:t>
      </w:r>
    </w:p>
    <w:p w14:paraId="101A82F0"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标的公司外购专利权、软件著作权及作品著作权具有合理性，自关联方购买无形资产具备公允性，标的公司报告期内相关减值准备计提具有合理性且</w:t>
      </w:r>
      <w:r w:rsidRPr="00DA3766">
        <w:lastRenderedPageBreak/>
        <w:t>较为充分。</w:t>
      </w:r>
    </w:p>
    <w:p w14:paraId="641DDFB7" w14:textId="77777777" w:rsidR="00E76498" w:rsidRPr="00DA3766" w:rsidRDefault="00E76498" w:rsidP="00E76498">
      <w:pPr>
        <w:pStyle w:val="003"/>
        <w:spacing w:before="120" w:after="120"/>
        <w:ind w:firstLine="482"/>
      </w:pPr>
      <w:r>
        <w:rPr>
          <w:rFonts w:hint="eastAsia"/>
        </w:rPr>
        <w:t>（二）会计师</w:t>
      </w:r>
      <w:r w:rsidRPr="00DA3766">
        <w:t>核查过程及核查意见</w:t>
      </w:r>
    </w:p>
    <w:p w14:paraId="691C67F7"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01CD4B92" w14:textId="77777777" w:rsidR="00E76498" w:rsidRDefault="00E76498" w:rsidP="00E76498">
      <w:pPr>
        <w:pStyle w:val="005"/>
        <w:spacing w:before="120" w:after="120"/>
        <w:ind w:firstLine="480"/>
      </w:pPr>
      <w:r>
        <w:rPr>
          <w:rFonts w:hint="eastAsia"/>
        </w:rPr>
        <w:t>针对前述事项，会计师主要实施了以下核查程序：</w:t>
      </w:r>
    </w:p>
    <w:p w14:paraId="3BD8D58A" w14:textId="77777777" w:rsidR="00E76498" w:rsidRDefault="00E76498" w:rsidP="00E76498">
      <w:pPr>
        <w:pStyle w:val="005"/>
        <w:spacing w:before="120" w:after="120"/>
        <w:ind w:firstLine="480"/>
      </w:pPr>
      <w:r>
        <w:rPr>
          <w:rFonts w:hint="eastAsia"/>
        </w:rPr>
        <w:t>（</w:t>
      </w:r>
      <w:r>
        <w:rPr>
          <w:rFonts w:hint="eastAsia"/>
        </w:rPr>
        <w:t>1</w:t>
      </w:r>
      <w:r>
        <w:rPr>
          <w:rFonts w:hint="eastAsia"/>
        </w:rPr>
        <w:t>）了解标的公司主要其他应收款的性质和产生原因，获取标的公司其他应收款明细表、账龄分析表并分析其构成及变动情况，了解标的公司其他应收款坏账计提政策，获取其他应收款坏账准备计提明细表并对其进行复核，了解标的公司其他应收款主要对象与标的公司的关联关系并检查是否存在资金占用情况，对标的公司主要其他应收款执行函证程序；</w:t>
      </w:r>
    </w:p>
    <w:p w14:paraId="0884DD24" w14:textId="77777777" w:rsidR="00E76498" w:rsidRDefault="00E76498" w:rsidP="00E76498">
      <w:pPr>
        <w:pStyle w:val="005"/>
        <w:spacing w:before="120" w:after="120"/>
        <w:ind w:firstLine="480"/>
      </w:pPr>
      <w:r>
        <w:rPr>
          <w:rFonts w:hint="eastAsia"/>
        </w:rPr>
        <w:t>（</w:t>
      </w:r>
      <w:r>
        <w:rPr>
          <w:rFonts w:hint="eastAsia"/>
        </w:rPr>
        <w:t>2</w:t>
      </w:r>
      <w:r>
        <w:rPr>
          <w:rFonts w:hint="eastAsia"/>
        </w:rPr>
        <w:t>）获取标的公司存单明细表，查阅标的公司存单，对标的公司执行银行函证程序；</w:t>
      </w:r>
    </w:p>
    <w:p w14:paraId="6C245590" w14:textId="77777777" w:rsidR="00E76498" w:rsidRDefault="00E76498" w:rsidP="00E76498">
      <w:pPr>
        <w:pStyle w:val="005"/>
        <w:spacing w:before="120" w:after="120"/>
        <w:ind w:firstLine="480"/>
      </w:pPr>
      <w:r>
        <w:rPr>
          <w:rFonts w:hint="eastAsia"/>
        </w:rPr>
        <w:t>（</w:t>
      </w:r>
      <w:r>
        <w:rPr>
          <w:rFonts w:hint="eastAsia"/>
        </w:rPr>
        <w:t>3</w:t>
      </w:r>
      <w:r>
        <w:rPr>
          <w:rFonts w:hint="eastAsia"/>
        </w:rPr>
        <w:t>）了解标的公司在本次交易前形成的商誉情况，了解所在行业发展情况、广州宝点的经营情况，获取广州宝点财务报表，查阅与本次交易相关的资产评估报告等文件，获取与商誉相关的假设以及基准日商誉确定的计算过程并检查其准确性，分析商誉会计处理是否符合企业会计准则的规定；</w:t>
      </w:r>
    </w:p>
    <w:p w14:paraId="48F36AF3" w14:textId="77777777" w:rsidR="00E76498" w:rsidRDefault="00E76498" w:rsidP="00E76498">
      <w:pPr>
        <w:pStyle w:val="005"/>
        <w:spacing w:before="120" w:after="120"/>
        <w:ind w:firstLine="480"/>
      </w:pPr>
      <w:r>
        <w:rPr>
          <w:rFonts w:hint="eastAsia"/>
        </w:rPr>
        <w:t>（</w:t>
      </w:r>
      <w:r>
        <w:rPr>
          <w:rFonts w:hint="eastAsia"/>
        </w:rPr>
        <w:t>4</w:t>
      </w:r>
      <w:r>
        <w:rPr>
          <w:rFonts w:hint="eastAsia"/>
        </w:rPr>
        <w:t>）查阅标的公司财务报告，获取标的公司现金流量表及相关明细，分析收到和支付其他与经营活动有关的现金的构成和变动情况，以及与资产负债表、净利润的勾稽关系；</w:t>
      </w:r>
    </w:p>
    <w:p w14:paraId="3D5ACD03" w14:textId="77777777" w:rsidR="00E76498" w:rsidRDefault="00E76498" w:rsidP="00E76498">
      <w:pPr>
        <w:pStyle w:val="005"/>
        <w:spacing w:before="120" w:after="120"/>
        <w:ind w:firstLine="480"/>
      </w:pPr>
      <w:r>
        <w:rPr>
          <w:rFonts w:hint="eastAsia"/>
        </w:rPr>
        <w:t>（</w:t>
      </w:r>
      <w:r>
        <w:rPr>
          <w:rFonts w:hint="eastAsia"/>
        </w:rPr>
        <w:t>5</w:t>
      </w:r>
      <w:r>
        <w:rPr>
          <w:rFonts w:hint="eastAsia"/>
        </w:rPr>
        <w:t>）查阅标的公司无形资产明细表及其权属证书，了解标的公司外购无形资产情况并查阅相关交易协议，核查标的公司确认的无形资产是否符合会计准则规定的确认条件和计量要求，获取无形资产减值准备计提明细表并对其进行复核，核查无形资产是否存在减值风险。</w:t>
      </w:r>
    </w:p>
    <w:p w14:paraId="5F77B2AC" w14:textId="77777777" w:rsidR="00E76498" w:rsidRPr="00DA3766" w:rsidRDefault="00E76498" w:rsidP="00E76498">
      <w:pPr>
        <w:pStyle w:val="004"/>
        <w:spacing w:before="120" w:after="120"/>
        <w:ind w:firstLine="482"/>
      </w:pPr>
      <w:r>
        <w:rPr>
          <w:rFonts w:hint="eastAsia"/>
        </w:rPr>
        <w:t>2</w:t>
      </w:r>
      <w:r>
        <w:rPr>
          <w:rFonts w:hint="eastAsia"/>
        </w:rPr>
        <w:t>、核查意见</w:t>
      </w:r>
    </w:p>
    <w:p w14:paraId="0E0E4E5F" w14:textId="77777777" w:rsidR="00E76498" w:rsidRPr="00E84881" w:rsidRDefault="00E76498" w:rsidP="00E76498">
      <w:pPr>
        <w:pStyle w:val="005"/>
        <w:spacing w:before="120" w:after="120"/>
        <w:ind w:firstLine="480"/>
      </w:pPr>
      <w:r w:rsidRPr="00E84881">
        <w:t>经核查，会计师认为：</w:t>
      </w:r>
    </w:p>
    <w:p w14:paraId="55E15CD7" w14:textId="77777777" w:rsidR="00E76498" w:rsidRPr="00E84881" w:rsidRDefault="00E76498" w:rsidP="00E76498">
      <w:pPr>
        <w:pStyle w:val="005"/>
        <w:spacing w:before="120" w:after="120"/>
        <w:ind w:firstLine="480"/>
      </w:pPr>
      <w:r>
        <w:rPr>
          <w:rFonts w:hint="eastAsia"/>
        </w:rPr>
        <w:t>（</w:t>
      </w:r>
      <w:r>
        <w:rPr>
          <w:rFonts w:hint="eastAsia"/>
        </w:rPr>
        <w:t>1</w:t>
      </w:r>
      <w:r>
        <w:rPr>
          <w:rFonts w:hint="eastAsia"/>
        </w:rPr>
        <w:t>）</w:t>
      </w:r>
      <w:r w:rsidRPr="00E84881">
        <w:t>标的公司报告期内其他应收款中合作意向金、资金拆出的产生具有合理性，回收风险较小，坏账准备计提较为充分；</w:t>
      </w:r>
    </w:p>
    <w:p w14:paraId="41B38523" w14:textId="77777777" w:rsidR="00E76498" w:rsidRPr="00E84881" w:rsidRDefault="00E76498" w:rsidP="00E76498">
      <w:pPr>
        <w:pStyle w:val="005"/>
        <w:spacing w:before="120" w:after="120"/>
        <w:ind w:firstLine="480"/>
      </w:pPr>
      <w:r>
        <w:rPr>
          <w:rFonts w:hint="eastAsia"/>
        </w:rPr>
        <w:t>（</w:t>
      </w:r>
      <w:r>
        <w:rPr>
          <w:rFonts w:hint="eastAsia"/>
        </w:rPr>
        <w:t>2</w:t>
      </w:r>
      <w:r>
        <w:rPr>
          <w:rFonts w:hint="eastAsia"/>
        </w:rPr>
        <w:t>）</w:t>
      </w:r>
      <w:r w:rsidRPr="00E84881">
        <w:t>标的公司最近一期末大额存单不存在质押或权利受限的情况；</w:t>
      </w:r>
    </w:p>
    <w:p w14:paraId="1F07722C" w14:textId="77777777" w:rsidR="00E76498" w:rsidRPr="00E84881" w:rsidRDefault="00E76498" w:rsidP="00E76498">
      <w:pPr>
        <w:pStyle w:val="005"/>
        <w:spacing w:before="120" w:after="120"/>
        <w:ind w:firstLine="480"/>
      </w:pPr>
      <w:r>
        <w:rPr>
          <w:rFonts w:hint="eastAsia"/>
        </w:rPr>
        <w:lastRenderedPageBreak/>
        <w:t>（</w:t>
      </w:r>
      <w:r>
        <w:rPr>
          <w:rFonts w:hint="eastAsia"/>
        </w:rPr>
        <w:t>3</w:t>
      </w:r>
      <w:r>
        <w:rPr>
          <w:rFonts w:hint="eastAsia"/>
        </w:rPr>
        <w:t>）</w:t>
      </w:r>
      <w:r w:rsidRPr="00E84881">
        <w:t>标的公司报告期内商誉减值准备计提较为充分；</w:t>
      </w:r>
    </w:p>
    <w:p w14:paraId="7BB3CF62" w14:textId="77777777" w:rsidR="00E76498" w:rsidRPr="00E84881" w:rsidRDefault="00E76498" w:rsidP="00E76498">
      <w:pPr>
        <w:pStyle w:val="005"/>
        <w:spacing w:before="120" w:after="120"/>
        <w:ind w:firstLine="480"/>
      </w:pPr>
      <w:r>
        <w:rPr>
          <w:rFonts w:hint="eastAsia"/>
        </w:rPr>
        <w:t>（</w:t>
      </w:r>
      <w:r>
        <w:rPr>
          <w:rFonts w:hint="eastAsia"/>
        </w:rPr>
        <w:t>4</w:t>
      </w:r>
      <w:r>
        <w:rPr>
          <w:rFonts w:hint="eastAsia"/>
        </w:rPr>
        <w:t>）</w:t>
      </w:r>
      <w:r w:rsidRPr="00E84881">
        <w:t>标的公司报告期内收到和支付其他与经营活动有关的现金具备商业实质，报告期内的金额变动具有合理性；</w:t>
      </w:r>
    </w:p>
    <w:p w14:paraId="3C27D4CB" w14:textId="77777777" w:rsidR="00E76498" w:rsidRPr="00E84881" w:rsidRDefault="00E76498" w:rsidP="00E76498">
      <w:pPr>
        <w:pStyle w:val="005"/>
        <w:spacing w:before="120" w:after="120"/>
        <w:ind w:firstLine="480"/>
        <w:rPr>
          <w:highlight w:val="yellow"/>
        </w:rPr>
      </w:pPr>
      <w:r>
        <w:rPr>
          <w:rFonts w:hint="eastAsia"/>
        </w:rPr>
        <w:t>（</w:t>
      </w:r>
      <w:r>
        <w:rPr>
          <w:rFonts w:hint="eastAsia"/>
        </w:rPr>
        <w:t>5</w:t>
      </w:r>
      <w:r>
        <w:rPr>
          <w:rFonts w:hint="eastAsia"/>
        </w:rPr>
        <w:t>）</w:t>
      </w:r>
      <w:r w:rsidRPr="00E84881">
        <w:t>标的公司外购专利权、软件著作权及作品著作权具有合理性，自关联方购买无形资产具备公允性，标的公司报告期内相关减值准备计提具有合理性且较为充分。</w:t>
      </w:r>
    </w:p>
    <w:p w14:paraId="528966C5" w14:textId="6E747847" w:rsidR="00E93DA8" w:rsidRPr="00DA3766" w:rsidRDefault="00E93DA8" w:rsidP="00E93DA8">
      <w:pPr>
        <w:pStyle w:val="001"/>
        <w:spacing w:before="120" w:after="120"/>
        <w:ind w:firstLine="480"/>
      </w:pPr>
      <w:r w:rsidRPr="00DA3766">
        <w:lastRenderedPageBreak/>
        <w:t>问题</w:t>
      </w:r>
      <w:r w:rsidRPr="00DA3766">
        <w:t>4</w:t>
      </w:r>
      <w:r w:rsidRPr="00DA3766">
        <w:t>、关于收益法评估</w:t>
      </w:r>
      <w:bookmarkEnd w:id="100"/>
    </w:p>
    <w:p w14:paraId="7C38871A" w14:textId="691703D9" w:rsidR="00E93DA8" w:rsidRPr="00DA3766" w:rsidRDefault="00E93DA8" w:rsidP="00E93DA8">
      <w:pPr>
        <w:pStyle w:val="0050"/>
        <w:spacing w:before="120" w:after="120"/>
        <w:ind w:firstLine="480"/>
      </w:pPr>
      <w:r w:rsidRPr="00DA3766">
        <w:t>申请文件显示：（</w:t>
      </w:r>
      <w:r w:rsidRPr="00DA3766">
        <w:t>1</w:t>
      </w:r>
      <w:r w:rsidRPr="00DA3766">
        <w:t>）本次交易采用收益法评估结果作为定价依据，评估值为</w:t>
      </w:r>
      <w:r w:rsidRPr="00DA3766">
        <w:t>12.10</w:t>
      </w:r>
      <w:r w:rsidRPr="00DA3766">
        <w:t>亿元，增值率为</w:t>
      </w:r>
      <w:r w:rsidRPr="00DA3766">
        <w:t>649.77%</w:t>
      </w:r>
      <w:r w:rsidRPr="00DA3766">
        <w:t>。（</w:t>
      </w:r>
      <w:r w:rsidRPr="00DA3766">
        <w:t>2</w:t>
      </w:r>
      <w:r w:rsidRPr="00DA3766">
        <w:t>）收益法评估过程中，预测标的资产</w:t>
      </w:r>
      <w:r w:rsidRPr="00DA3766">
        <w:t>2025</w:t>
      </w:r>
      <w:r w:rsidRPr="00DA3766">
        <w:t>年</w:t>
      </w:r>
      <w:r w:rsidRPr="00DA3766">
        <w:t>-2029</w:t>
      </w:r>
      <w:r w:rsidRPr="00DA3766">
        <w:t>年（以下简称预测期）营业收入由</w:t>
      </w:r>
      <w:r w:rsidRPr="00DA3766">
        <w:t>5.25</w:t>
      </w:r>
      <w:r w:rsidRPr="00DA3766">
        <w:t>亿元增长至</w:t>
      </w:r>
      <w:r w:rsidRPr="00DA3766">
        <w:t>6.42</w:t>
      </w:r>
      <w:r w:rsidRPr="00DA3766">
        <w:t>亿元，增长率在约</w:t>
      </w:r>
      <w:r w:rsidRPr="00DA3766">
        <w:t>3.67%-17.38%</w:t>
      </w:r>
      <w:r w:rsidRPr="00DA3766">
        <w:t>之间，其中</w:t>
      </w:r>
      <w:r w:rsidR="007A44DA" w:rsidRPr="00DA3766">
        <w:t>SaaS</w:t>
      </w:r>
      <w:r w:rsidRPr="00DA3766">
        <w:t>云平台收入由</w:t>
      </w:r>
      <w:r w:rsidRPr="00DA3766">
        <w:t>2.54</w:t>
      </w:r>
      <w:r w:rsidRPr="00DA3766">
        <w:t>亿元增长至</w:t>
      </w:r>
      <w:r w:rsidRPr="00DA3766">
        <w:t>3.36</w:t>
      </w:r>
      <w:r w:rsidRPr="00DA3766">
        <w:t>亿元，增长率在约</w:t>
      </w:r>
      <w:r w:rsidRPr="00DA3766">
        <w:t>4.59%-36.69%</w:t>
      </w:r>
      <w:r w:rsidRPr="00DA3766">
        <w:t>之间；</w:t>
      </w:r>
      <w:r w:rsidRPr="00DA3766">
        <w:t>IoT</w:t>
      </w:r>
      <w:r w:rsidRPr="00DA3766">
        <w:t>智能硬件收入基本稳定在</w:t>
      </w:r>
      <w:r w:rsidRPr="00DA3766">
        <w:t>1.7</w:t>
      </w:r>
      <w:r w:rsidRPr="00DA3766">
        <w:t>亿元左右；数字增值服务收入由</w:t>
      </w:r>
      <w:r w:rsidRPr="00DA3766">
        <w:t>0.91</w:t>
      </w:r>
      <w:r w:rsidRPr="00DA3766">
        <w:t>亿元增长至</w:t>
      </w:r>
      <w:r w:rsidRPr="00DA3766">
        <w:t>1.26</w:t>
      </w:r>
      <w:r w:rsidRPr="00DA3766">
        <w:t>亿元，增长率在约</w:t>
      </w:r>
      <w:r w:rsidRPr="00DA3766">
        <w:t>5.30%-12.35%</w:t>
      </w:r>
      <w:r w:rsidRPr="00DA3766">
        <w:t>之间。（</w:t>
      </w:r>
      <w:r w:rsidRPr="00DA3766">
        <w:t>3</w:t>
      </w:r>
      <w:r w:rsidRPr="00DA3766">
        <w:t>）预测期内，标的资产毛利率维持在</w:t>
      </w:r>
      <w:r w:rsidRPr="00DA3766">
        <w:t>62%</w:t>
      </w:r>
      <w:r w:rsidRPr="00DA3766">
        <w:t>左右，其中</w:t>
      </w:r>
      <w:r w:rsidR="007A44DA" w:rsidRPr="00DA3766">
        <w:t>SaaS</w:t>
      </w:r>
      <w:r w:rsidRPr="00DA3766">
        <w:t>云平台毛利率约在</w:t>
      </w:r>
      <w:r w:rsidRPr="00DA3766">
        <w:t>78%-81%</w:t>
      </w:r>
      <w:r w:rsidRPr="00DA3766">
        <w:t>之间；</w:t>
      </w:r>
      <w:r w:rsidRPr="00DA3766">
        <w:t>IoT</w:t>
      </w:r>
      <w:r w:rsidRPr="00DA3766">
        <w:t>智能硬件毛利率约在</w:t>
      </w:r>
      <w:r w:rsidRPr="00DA3766">
        <w:t>31%-36%</w:t>
      </w:r>
      <w:r w:rsidRPr="00DA3766">
        <w:t>之间；数字增值服务毛利率约在</w:t>
      </w:r>
      <w:r w:rsidRPr="00DA3766">
        <w:t>58%-61%</w:t>
      </w:r>
      <w:r w:rsidRPr="00DA3766">
        <w:t>之间。（</w:t>
      </w:r>
      <w:r w:rsidRPr="00DA3766">
        <w:t>4</w:t>
      </w:r>
      <w:r w:rsidRPr="00DA3766">
        <w:t>）预测期内，标的资产销售费用率、管理费用率和研发费用率低于报告期平均水平且呈逐年下降趋势。（</w:t>
      </w:r>
      <w:r w:rsidRPr="00DA3766">
        <w:t>5</w:t>
      </w:r>
      <w:r w:rsidRPr="00DA3766">
        <w:t>）本次收益法评估采用合并报表口径进行预测。标的资产合并范围内子公司适用的所得税税率、优惠政策存在差异，收益法评估中基于各主体自身情况得出其在预测期内的所得税费用，加总后得到全部所得税费用。（</w:t>
      </w:r>
      <w:r w:rsidRPr="00DA3766">
        <w:t>6</w:t>
      </w:r>
      <w:r w:rsidRPr="00DA3766">
        <w:t>）预测期内，折旧与摊销、资本性支出整体呈先下降后稳定趋势，各年营运资本增加额均为负值，日常资金周转需要的最佳货币资金保有量为</w:t>
      </w:r>
      <w:r w:rsidRPr="00DA3766">
        <w:t>1</w:t>
      </w:r>
      <w:r w:rsidRPr="00DA3766">
        <w:t>个月的付现成本费用。（</w:t>
      </w:r>
      <w:r w:rsidRPr="00DA3766">
        <w:t>7</w:t>
      </w:r>
      <w:r w:rsidRPr="00DA3766">
        <w:t>）标的资产对参股联营公司的长期股权投资评估价值为</w:t>
      </w:r>
      <w:r w:rsidRPr="00DA3766">
        <w:t>1428.09</w:t>
      </w:r>
      <w:r w:rsidRPr="00DA3766">
        <w:t>万元。湖南小充同学智能科技有限公司（以下简称湖南小充）期后计划注销，故按净资产与股比计算股权价值。（</w:t>
      </w:r>
      <w:r w:rsidRPr="00DA3766">
        <w:t>8</w:t>
      </w:r>
      <w:r w:rsidRPr="00DA3766">
        <w:t>）以评估基准日计算，标的资产市净率为</w:t>
      </w:r>
      <w:r w:rsidRPr="00DA3766">
        <w:t>7.47</w:t>
      </w:r>
      <w:r w:rsidRPr="00DA3766">
        <w:t>倍，高于同行业上市公司市净率平均数</w:t>
      </w:r>
      <w:r w:rsidRPr="00DA3766">
        <w:t>3.55</w:t>
      </w:r>
      <w:r w:rsidRPr="00DA3766">
        <w:t>倍和中位数</w:t>
      </w:r>
      <w:r w:rsidRPr="00DA3766">
        <w:t>3.59</w:t>
      </w:r>
      <w:r w:rsidRPr="00DA3766">
        <w:t>倍；选取的三家上市公司市盈率、市销率存在差异，四单可比交易案例市净率、市盈率也存在差异。（</w:t>
      </w:r>
      <w:r w:rsidRPr="00DA3766">
        <w:t>9</w:t>
      </w:r>
      <w:r w:rsidRPr="00DA3766">
        <w:t>）最近三年内，标的资产发生了</w:t>
      </w:r>
      <w:r w:rsidRPr="00DA3766">
        <w:t>4</w:t>
      </w:r>
      <w:r w:rsidRPr="00DA3766">
        <w:t>次减资、</w:t>
      </w:r>
      <w:r w:rsidRPr="00DA3766">
        <w:t>3</w:t>
      </w:r>
      <w:r w:rsidRPr="00DA3766">
        <w:t>次股权转让。</w:t>
      </w:r>
    </w:p>
    <w:p w14:paraId="1FA3F419" w14:textId="7453F3DA" w:rsidR="00E93DA8" w:rsidRPr="00DA3766" w:rsidRDefault="00E93DA8" w:rsidP="00E93DA8">
      <w:pPr>
        <w:pStyle w:val="0050"/>
        <w:spacing w:before="120" w:after="120"/>
        <w:ind w:firstLine="480"/>
      </w:pPr>
      <w:r w:rsidRPr="00DA3766">
        <w:t>请上市公司：（</w:t>
      </w:r>
      <w:r w:rsidRPr="00DA3766">
        <w:t>1</w:t>
      </w:r>
      <w:r w:rsidRPr="00DA3766">
        <w:t>）补充披露预测期各年各业务收入、毛利率等重要评估参数的具体预测情况、测算过程、测算依据及其合理性。（</w:t>
      </w:r>
      <w:r w:rsidRPr="00DA3766">
        <w:t>2</w:t>
      </w:r>
      <w:r w:rsidRPr="00DA3766">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sidRPr="00DA3766">
        <w:t>IoT</w:t>
      </w:r>
      <w:r w:rsidRPr="00DA3766">
        <w:t>智能硬件收入相对稳定的情况下</w:t>
      </w:r>
      <w:r w:rsidR="007A44DA" w:rsidRPr="00DA3766">
        <w:t>SaaS</w:t>
      </w:r>
      <w:r w:rsidRPr="00DA3766">
        <w:t>云平台、数字增值服务收入维持增长的合</w:t>
      </w:r>
      <w:r w:rsidRPr="00DA3766">
        <w:lastRenderedPageBreak/>
        <w:t>理性。（</w:t>
      </w:r>
      <w:r w:rsidRPr="00DA3766">
        <w:t>3</w:t>
      </w:r>
      <w:r w:rsidRPr="00DA3766">
        <w:t>）结合报告期内各项业务毛利率变动原因，各业务毛利率的主要影响因素及其未来变化情况，预测期内各业务毛利率较报告期、同行业可比公司是否存在差异等，补充披露各业务毛利率预测是否合理、谨慎。（</w:t>
      </w:r>
      <w:r w:rsidRPr="00DA3766">
        <w:t>4</w:t>
      </w:r>
      <w:r w:rsidRPr="00DA3766">
        <w:t>）结合各项期间费用主要明细项目的具体预测情况、过程及依据，补充披露预测期内期间费用率低于报告期平均水平且呈现逐年下降趋势的合理性，是否足以支撑标的资产的持续发展。（</w:t>
      </w:r>
      <w:r w:rsidRPr="00DA3766">
        <w:t>5</w:t>
      </w:r>
      <w:r w:rsidRPr="00DA3766">
        <w:t>）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r w:rsidRPr="00DA3766">
        <w:t>6</w:t>
      </w:r>
      <w:r w:rsidRPr="00DA3766">
        <w:t>）补充披露预测期内标的资产折旧与摊销、资本性支出、营运资金、溢余资产的具体测算过程及测算依据，折旧与摊销、资本性支出金额呈下降趋势的合理性，营运资本增加额均为负值的合理性，与预测销售规模是否匹配。（</w:t>
      </w:r>
      <w:r w:rsidRPr="00DA3766">
        <w:t>7</w:t>
      </w:r>
      <w:r w:rsidRPr="00DA3766">
        <w:t>）补充披露折现率确定过程中可比上市公司的选取情况及合理性，贝塔系数的具体确定过程，折现率的预测是否合理、谨慎。（</w:t>
      </w:r>
      <w:r w:rsidRPr="00DA3766">
        <w:t>8</w:t>
      </w:r>
      <w:r w:rsidRPr="00DA3766">
        <w:t>）补充披露长期股权投资的具体测算过程及测算依据；湖南小充的实际经营情况、资产负债情况及截至回函日的注销进展，以净资产与股比计算股权价值是否合理、公允。（</w:t>
      </w:r>
      <w:r w:rsidRPr="00DA3766">
        <w:t>9</w:t>
      </w:r>
      <w:r w:rsidRPr="00DA3766">
        <w:t>）补充说明标的资产市净率高于可比上市公司的原因及合理性；可比上市公司、可比交易案例估值水平存在差异的原因，能否合理反映行业估值水平，与标的资产是否具有可比性。（</w:t>
      </w:r>
      <w:r w:rsidRPr="00DA3766">
        <w:t>10</w:t>
      </w:r>
      <w:r w:rsidRPr="00DA3766">
        <w:t>）补充披露标的资产最近三年内减资、股权转让的交易作价情况，并计算出对应标的资产的估值及增减值情况，与本次重组评估结果存在差异的原因及合理性。（</w:t>
      </w:r>
      <w:r w:rsidRPr="00DA3766">
        <w:t>11</w:t>
      </w:r>
      <w:r w:rsidRPr="00DA3766">
        <w:t>）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50BAF40D" w14:textId="229A663A" w:rsidR="00E93DA8" w:rsidRPr="00DA3766" w:rsidRDefault="00E93DA8" w:rsidP="00E93DA8">
      <w:pPr>
        <w:pStyle w:val="0050"/>
        <w:spacing w:before="120" w:after="120"/>
        <w:ind w:firstLine="480"/>
      </w:pPr>
      <w:r w:rsidRPr="00DA3766">
        <w:t>请独立财务顾问、评估师核查并发表明确意见，请会计师核查（</w:t>
      </w:r>
      <w:r w:rsidRPr="00DA3766">
        <w:t>2</w:t>
      </w:r>
      <w:r w:rsidRPr="00DA3766">
        <w:t>）（</w:t>
      </w:r>
      <w:r w:rsidRPr="00DA3766">
        <w:t>3</w:t>
      </w:r>
      <w:r w:rsidRPr="00DA3766">
        <w:t>）（</w:t>
      </w:r>
      <w:r w:rsidRPr="00DA3766">
        <w:t>8</w:t>
      </w:r>
      <w:r w:rsidRPr="00DA3766">
        <w:t>）（</w:t>
      </w:r>
      <w:r w:rsidRPr="00DA3766">
        <w:t>11</w:t>
      </w:r>
      <w:r w:rsidRPr="00DA3766">
        <w:t>）并发表明确意见。</w:t>
      </w:r>
    </w:p>
    <w:p w14:paraId="2F317210" w14:textId="77777777" w:rsidR="00E93DA8" w:rsidRPr="00DA3766" w:rsidRDefault="00E93DA8" w:rsidP="00E93DA8">
      <w:pPr>
        <w:pStyle w:val="005"/>
        <w:spacing w:before="120" w:after="120"/>
        <w:ind w:firstLine="480"/>
      </w:pPr>
      <w:r w:rsidRPr="00DA3766">
        <w:t>【回复】</w:t>
      </w:r>
    </w:p>
    <w:p w14:paraId="691086BC"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一、补充披露预测期各年各业务收入、毛利率等重要评估参数的具体预测情况、测算过程、测算依据及其合理性</w:t>
      </w:r>
    </w:p>
    <w:p w14:paraId="3A0DC34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DA3766">
        <w:rPr>
          <w:rFonts w:ascii="Times New Roman" w:hAnsi="Times New Roman" w:cs="Times New Roman"/>
          <w:b/>
          <w:bCs/>
          <w:kern w:val="2"/>
          <w:szCs w:val="28"/>
        </w:rPr>
        <w:t>IoT</w:t>
      </w:r>
      <w:r w:rsidRPr="00DA3766">
        <w:rPr>
          <w:rFonts w:ascii="Times New Roman" w:hAnsi="Times New Roman" w:cs="Times New Roman"/>
          <w:b/>
          <w:bCs/>
          <w:kern w:val="2"/>
          <w:szCs w:val="28"/>
        </w:rPr>
        <w:t>智能硬件类业务</w:t>
      </w:r>
    </w:p>
    <w:p w14:paraId="3D091A4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21416145" w14:textId="77777777" w:rsidR="00EB3B4C" w:rsidRPr="00DA3766" w:rsidRDefault="00EB3B4C" w:rsidP="004C2193">
      <w:pPr>
        <w:pStyle w:val="005"/>
        <w:spacing w:before="120" w:after="120"/>
        <w:ind w:firstLine="480"/>
      </w:pPr>
      <w:r w:rsidRPr="00DA3766">
        <w:t>本次评估对标的公司未来</w:t>
      </w:r>
      <w:r w:rsidRPr="00DA3766">
        <w:t>IoT</w:t>
      </w:r>
      <w:r w:rsidRPr="00DA3766">
        <w:t>智能硬件进行收入预测时，参考了历史经营情况，结合各类产品设备单价、出货量以及标的公司业务发展规划等因素进行综合预测。具体测算过程如下：</w:t>
      </w:r>
    </w:p>
    <w:tbl>
      <w:tblPr>
        <w:tblW w:w="1040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1296"/>
        <w:gridCol w:w="936"/>
        <w:gridCol w:w="936"/>
        <w:gridCol w:w="936"/>
        <w:gridCol w:w="936"/>
        <w:gridCol w:w="936"/>
        <w:gridCol w:w="936"/>
        <w:gridCol w:w="936"/>
        <w:gridCol w:w="936"/>
        <w:gridCol w:w="936"/>
      </w:tblGrid>
      <w:tr w:rsidR="00EB3B4C" w:rsidRPr="00DA3766" w14:paraId="3E8533BF" w14:textId="77777777" w:rsidTr="00582BF8">
        <w:trPr>
          <w:trHeight w:val="397"/>
          <w:tblHeader/>
          <w:jc w:val="center"/>
        </w:trPr>
        <w:tc>
          <w:tcPr>
            <w:tcW w:w="686" w:type="dxa"/>
            <w:vMerge w:val="restart"/>
            <w:vAlign w:val="center"/>
          </w:tcPr>
          <w:p w14:paraId="643D613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分类</w:t>
            </w:r>
          </w:p>
        </w:tc>
        <w:tc>
          <w:tcPr>
            <w:tcW w:w="0" w:type="auto"/>
            <w:vMerge w:val="restart"/>
            <w:vAlign w:val="center"/>
          </w:tcPr>
          <w:p w14:paraId="21C864D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2808" w:type="dxa"/>
            <w:gridSpan w:val="3"/>
            <w:vAlign w:val="center"/>
          </w:tcPr>
          <w:p w14:paraId="1FD038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5616" w:type="dxa"/>
            <w:gridSpan w:val="6"/>
            <w:vAlign w:val="center"/>
          </w:tcPr>
          <w:p w14:paraId="1214AED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EB3B4C" w:rsidRPr="00DA3766" w14:paraId="6D099507" w14:textId="77777777" w:rsidTr="00582BF8">
        <w:trPr>
          <w:trHeight w:val="397"/>
          <w:tblHeader/>
          <w:jc w:val="center"/>
        </w:trPr>
        <w:tc>
          <w:tcPr>
            <w:tcW w:w="686" w:type="dxa"/>
            <w:vMerge/>
            <w:vAlign w:val="center"/>
            <w:hideMark/>
          </w:tcPr>
          <w:p w14:paraId="171EE99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0" w:type="auto"/>
            <w:vMerge/>
            <w:vAlign w:val="center"/>
            <w:hideMark/>
          </w:tcPr>
          <w:p w14:paraId="17F469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936" w:type="dxa"/>
            <w:vAlign w:val="center"/>
            <w:hideMark/>
          </w:tcPr>
          <w:p w14:paraId="6DEC71F5"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p>
          <w:p w14:paraId="168BA16F" w14:textId="22DCA99C"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066384D7"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p>
          <w:p w14:paraId="05BCEF80" w14:textId="32EBE44E"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3C3CC2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936" w:type="dxa"/>
            <w:vAlign w:val="center"/>
            <w:hideMark/>
          </w:tcPr>
          <w:p w14:paraId="1EA240A8"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p>
          <w:p w14:paraId="0202D4F5" w14:textId="519728F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2F0BBE49"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p>
          <w:p w14:paraId="41B07F44" w14:textId="708FCA96"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575BD50D"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p>
          <w:p w14:paraId="2B0F1964" w14:textId="7909379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71A6EDA7"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p>
          <w:p w14:paraId="7D4DD8F5" w14:textId="2BF8104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66959AA8"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p>
          <w:p w14:paraId="2E8921B8" w14:textId="145B0C94"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0516EEA6" w14:textId="77777777" w:rsidR="00582BF8"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p>
          <w:p w14:paraId="4EB66035" w14:textId="5BCE0F79" w:rsidR="000C4294"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p w14:paraId="5F702A09" w14:textId="4595B548" w:rsidR="00EB3B4C" w:rsidRPr="00DA3766"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及以后</w:t>
            </w:r>
          </w:p>
        </w:tc>
      </w:tr>
      <w:tr w:rsidR="00872105" w:rsidRPr="00DA3766" w14:paraId="3C795246" w14:textId="77777777" w:rsidTr="00582BF8">
        <w:trPr>
          <w:trHeight w:val="397"/>
          <w:jc w:val="center"/>
        </w:trPr>
        <w:tc>
          <w:tcPr>
            <w:tcW w:w="686" w:type="dxa"/>
            <w:vMerge w:val="restart"/>
            <w:vAlign w:val="center"/>
            <w:hideMark/>
          </w:tcPr>
          <w:p w14:paraId="23A70DC1"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非场地设备及</w:t>
            </w:r>
          </w:p>
          <w:p w14:paraId="5AC76148"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其他</w:t>
            </w:r>
          </w:p>
        </w:tc>
        <w:tc>
          <w:tcPr>
            <w:tcW w:w="0" w:type="auto"/>
            <w:vAlign w:val="center"/>
            <w:hideMark/>
          </w:tcPr>
          <w:p w14:paraId="2DEBDB87"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销售收入</w:t>
            </w:r>
          </w:p>
          <w:p w14:paraId="4C5191C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（万元）</w:t>
            </w:r>
          </w:p>
        </w:tc>
        <w:tc>
          <w:tcPr>
            <w:tcW w:w="936" w:type="dxa"/>
            <w:vAlign w:val="center"/>
            <w:hideMark/>
          </w:tcPr>
          <w:p w14:paraId="70514611" w14:textId="344B99E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7,873.65 </w:t>
            </w:r>
          </w:p>
        </w:tc>
        <w:tc>
          <w:tcPr>
            <w:tcW w:w="936" w:type="dxa"/>
            <w:vAlign w:val="center"/>
            <w:hideMark/>
          </w:tcPr>
          <w:p w14:paraId="78F9F9C7" w14:textId="0CC9E70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7,263.76 </w:t>
            </w:r>
          </w:p>
        </w:tc>
        <w:tc>
          <w:tcPr>
            <w:tcW w:w="936" w:type="dxa"/>
            <w:vAlign w:val="center"/>
            <w:hideMark/>
          </w:tcPr>
          <w:p w14:paraId="28F02E05" w14:textId="4E0A70A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3,638.10 </w:t>
            </w:r>
          </w:p>
        </w:tc>
        <w:tc>
          <w:tcPr>
            <w:tcW w:w="936" w:type="dxa"/>
            <w:vAlign w:val="center"/>
            <w:hideMark/>
          </w:tcPr>
          <w:p w14:paraId="212250DB" w14:textId="1C36DDF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7,120.73 </w:t>
            </w:r>
          </w:p>
        </w:tc>
        <w:tc>
          <w:tcPr>
            <w:tcW w:w="936" w:type="dxa"/>
            <w:vAlign w:val="center"/>
            <w:hideMark/>
          </w:tcPr>
          <w:p w14:paraId="3C84AFA2" w14:textId="449F40A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7,218.43 </w:t>
            </w:r>
          </w:p>
        </w:tc>
        <w:tc>
          <w:tcPr>
            <w:tcW w:w="936" w:type="dxa"/>
            <w:vAlign w:val="center"/>
            <w:hideMark/>
          </w:tcPr>
          <w:p w14:paraId="4952BE08" w14:textId="37104BD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7,666.43 </w:t>
            </w:r>
          </w:p>
        </w:tc>
        <w:tc>
          <w:tcPr>
            <w:tcW w:w="936" w:type="dxa"/>
            <w:vAlign w:val="center"/>
            <w:hideMark/>
          </w:tcPr>
          <w:p w14:paraId="06510D21" w14:textId="7B4D509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8,114.42 </w:t>
            </w:r>
          </w:p>
        </w:tc>
        <w:tc>
          <w:tcPr>
            <w:tcW w:w="936" w:type="dxa"/>
            <w:vAlign w:val="center"/>
            <w:hideMark/>
          </w:tcPr>
          <w:p w14:paraId="6E7164C1" w14:textId="318AF2BA"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8,545.49 </w:t>
            </w:r>
          </w:p>
        </w:tc>
        <w:tc>
          <w:tcPr>
            <w:tcW w:w="936" w:type="dxa"/>
            <w:vAlign w:val="center"/>
            <w:hideMark/>
          </w:tcPr>
          <w:p w14:paraId="0F33420B" w14:textId="0E30D88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8,545.49 </w:t>
            </w:r>
          </w:p>
        </w:tc>
      </w:tr>
      <w:tr w:rsidR="00161003" w:rsidRPr="00DA3766" w14:paraId="471EFFFE" w14:textId="77777777" w:rsidTr="00582BF8">
        <w:trPr>
          <w:trHeight w:val="397"/>
          <w:jc w:val="center"/>
        </w:trPr>
        <w:tc>
          <w:tcPr>
            <w:tcW w:w="686" w:type="dxa"/>
            <w:vMerge/>
            <w:vAlign w:val="center"/>
            <w:hideMark/>
          </w:tcPr>
          <w:p w14:paraId="15561CB3" w14:textId="77777777" w:rsidR="00161003" w:rsidRPr="00DA3766" w:rsidRDefault="00161003" w:rsidP="00161003">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2397CDA1" w14:textId="77777777" w:rsidR="00161003" w:rsidRPr="00DA3766" w:rsidRDefault="00161003" w:rsidP="00161003">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数量</w:t>
            </w:r>
          </w:p>
          <w:p w14:paraId="11B861B9" w14:textId="77777777" w:rsidR="00161003" w:rsidRPr="00DA3766" w:rsidRDefault="00161003" w:rsidP="00161003">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（万台）</w:t>
            </w:r>
          </w:p>
        </w:tc>
        <w:tc>
          <w:tcPr>
            <w:tcW w:w="936" w:type="dxa"/>
            <w:vAlign w:val="center"/>
            <w:hideMark/>
          </w:tcPr>
          <w:p w14:paraId="6989AD94" w14:textId="50289473"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CA55AF">
              <w:rPr>
                <w:rFonts w:ascii="Times New Roman" w:hAnsi="Times New Roman" w:cs="Times New Roman"/>
                <w:color w:val="000000"/>
                <w:sz w:val="18"/>
                <w:szCs w:val="21"/>
              </w:rPr>
              <w:t>83.</w:t>
            </w:r>
            <w:r>
              <w:rPr>
                <w:rFonts w:ascii="Times New Roman" w:hAnsi="Times New Roman" w:cs="Times New Roman" w:hint="eastAsia"/>
                <w:color w:val="000000"/>
                <w:sz w:val="18"/>
                <w:szCs w:val="21"/>
              </w:rPr>
              <w:t>87</w:t>
            </w:r>
            <w:r w:rsidRPr="00CA55AF">
              <w:rPr>
                <w:rFonts w:ascii="Times New Roman" w:hAnsi="Times New Roman" w:cs="Times New Roman"/>
                <w:color w:val="000000"/>
                <w:sz w:val="18"/>
                <w:szCs w:val="21"/>
              </w:rPr>
              <w:t xml:space="preserve"> </w:t>
            </w:r>
          </w:p>
        </w:tc>
        <w:tc>
          <w:tcPr>
            <w:tcW w:w="936" w:type="dxa"/>
            <w:vAlign w:val="center"/>
            <w:hideMark/>
          </w:tcPr>
          <w:p w14:paraId="61D4E985" w14:textId="401C13DE"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71</w:t>
            </w:r>
            <w:r w:rsidRPr="00CA55AF">
              <w:rPr>
                <w:rFonts w:ascii="Times New Roman" w:hAnsi="Times New Roman" w:cs="Times New Roman"/>
                <w:color w:val="000000"/>
                <w:sz w:val="18"/>
                <w:szCs w:val="21"/>
              </w:rPr>
              <w:t>.</w:t>
            </w:r>
            <w:r>
              <w:rPr>
                <w:rFonts w:ascii="Times New Roman" w:hAnsi="Times New Roman" w:cs="Times New Roman" w:hint="eastAsia"/>
                <w:color w:val="000000"/>
                <w:sz w:val="18"/>
                <w:szCs w:val="21"/>
              </w:rPr>
              <w:t>69</w:t>
            </w:r>
            <w:r w:rsidRPr="00CA55AF">
              <w:rPr>
                <w:rFonts w:ascii="Times New Roman" w:hAnsi="Times New Roman" w:cs="Times New Roman"/>
                <w:color w:val="000000"/>
                <w:sz w:val="18"/>
                <w:szCs w:val="21"/>
              </w:rPr>
              <w:t xml:space="preserve"> </w:t>
            </w:r>
          </w:p>
        </w:tc>
        <w:tc>
          <w:tcPr>
            <w:tcW w:w="936" w:type="dxa"/>
            <w:vAlign w:val="center"/>
            <w:hideMark/>
          </w:tcPr>
          <w:p w14:paraId="400F7C97" w14:textId="11C7EE2E"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32.65</w:t>
            </w:r>
            <w:r w:rsidRPr="00CA55AF">
              <w:rPr>
                <w:rFonts w:ascii="Times New Roman" w:hAnsi="Times New Roman" w:cs="Times New Roman"/>
                <w:color w:val="000000"/>
                <w:sz w:val="18"/>
                <w:szCs w:val="21"/>
              </w:rPr>
              <w:t xml:space="preserve"> </w:t>
            </w:r>
          </w:p>
        </w:tc>
        <w:tc>
          <w:tcPr>
            <w:tcW w:w="936" w:type="dxa"/>
            <w:vAlign w:val="center"/>
            <w:hideMark/>
          </w:tcPr>
          <w:p w14:paraId="2D2B8E90" w14:textId="3F7D37EA"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64.00 </w:t>
            </w:r>
          </w:p>
        </w:tc>
        <w:tc>
          <w:tcPr>
            <w:tcW w:w="936" w:type="dxa"/>
            <w:vAlign w:val="center"/>
            <w:hideMark/>
          </w:tcPr>
          <w:p w14:paraId="7B08FEC1" w14:textId="6BBB4453"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69.70 </w:t>
            </w:r>
          </w:p>
        </w:tc>
        <w:tc>
          <w:tcPr>
            <w:tcW w:w="936" w:type="dxa"/>
            <w:vAlign w:val="center"/>
            <w:hideMark/>
          </w:tcPr>
          <w:p w14:paraId="23222727" w14:textId="4AD32439"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75.50 </w:t>
            </w:r>
          </w:p>
        </w:tc>
        <w:tc>
          <w:tcPr>
            <w:tcW w:w="936" w:type="dxa"/>
            <w:vAlign w:val="center"/>
            <w:hideMark/>
          </w:tcPr>
          <w:p w14:paraId="7044D284" w14:textId="1BC70849"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81.30 </w:t>
            </w:r>
          </w:p>
        </w:tc>
        <w:tc>
          <w:tcPr>
            <w:tcW w:w="936" w:type="dxa"/>
            <w:vAlign w:val="center"/>
            <w:hideMark/>
          </w:tcPr>
          <w:p w14:paraId="1B4CF982" w14:textId="2DC0E075"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86.80 </w:t>
            </w:r>
          </w:p>
        </w:tc>
        <w:tc>
          <w:tcPr>
            <w:tcW w:w="936" w:type="dxa"/>
            <w:vAlign w:val="center"/>
            <w:hideMark/>
          </w:tcPr>
          <w:p w14:paraId="730CA4E6" w14:textId="6571CA53"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BB61FC">
              <w:rPr>
                <w:rFonts w:ascii="Times" w:hAnsi="Times" w:hint="eastAsia"/>
                <w:color w:val="000000"/>
                <w:sz w:val="18"/>
                <w:szCs w:val="21"/>
              </w:rPr>
              <w:t xml:space="preserve">86.80 </w:t>
            </w:r>
          </w:p>
        </w:tc>
      </w:tr>
      <w:tr w:rsidR="00161003" w:rsidRPr="00DA3766" w14:paraId="05F707F7" w14:textId="77777777" w:rsidTr="00582BF8">
        <w:trPr>
          <w:trHeight w:val="397"/>
          <w:jc w:val="center"/>
        </w:trPr>
        <w:tc>
          <w:tcPr>
            <w:tcW w:w="686" w:type="dxa"/>
            <w:vMerge/>
            <w:vAlign w:val="center"/>
            <w:hideMark/>
          </w:tcPr>
          <w:p w14:paraId="0B4F979B" w14:textId="77777777" w:rsidR="00161003" w:rsidRPr="00DA3766" w:rsidRDefault="00161003" w:rsidP="00161003">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0777D11B" w14:textId="77777777" w:rsidR="00161003" w:rsidRPr="00DA3766" w:rsidRDefault="00161003" w:rsidP="00161003">
            <w:pPr>
              <w:adjustRightInd w:val="0"/>
              <w:snapToGrid w:val="0"/>
              <w:spacing w:beforeLines="0" w:before="0" w:afterLines="0" w:after="0" w:line="240" w:lineRule="auto"/>
              <w:ind w:firstLineChars="0" w:firstLine="0"/>
              <w:rPr>
                <w:rFonts w:ascii="Times New Roman" w:hAnsi="Times New Roman" w:cs="Times New Roman"/>
                <w:bCs/>
                <w:color w:val="000000"/>
                <w:sz w:val="18"/>
                <w:szCs w:val="21"/>
              </w:rPr>
            </w:pPr>
            <w:r w:rsidRPr="00DA3766">
              <w:rPr>
                <w:rFonts w:ascii="Times New Roman" w:hAnsi="Times New Roman" w:cs="Times New Roman"/>
                <w:bCs/>
                <w:color w:val="000000"/>
                <w:sz w:val="18"/>
                <w:szCs w:val="21"/>
              </w:rPr>
              <w:t>单价（元）</w:t>
            </w:r>
          </w:p>
        </w:tc>
        <w:tc>
          <w:tcPr>
            <w:tcW w:w="936" w:type="dxa"/>
            <w:vAlign w:val="center"/>
            <w:hideMark/>
          </w:tcPr>
          <w:p w14:paraId="1A9DAA57" w14:textId="7B2787FB"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93.88</w:t>
            </w:r>
            <w:r w:rsidRPr="00CA55AF">
              <w:rPr>
                <w:rFonts w:ascii="Times New Roman" w:hAnsi="Times New Roman" w:cs="Times New Roman"/>
                <w:color w:val="000000"/>
                <w:sz w:val="18"/>
                <w:szCs w:val="21"/>
              </w:rPr>
              <w:t xml:space="preserve"> </w:t>
            </w:r>
          </w:p>
        </w:tc>
        <w:tc>
          <w:tcPr>
            <w:tcW w:w="936" w:type="dxa"/>
            <w:vAlign w:val="center"/>
            <w:hideMark/>
          </w:tcPr>
          <w:p w14:paraId="2D9C818E" w14:textId="15B7FB5F"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101.32</w:t>
            </w:r>
            <w:r w:rsidRPr="00CA55AF">
              <w:rPr>
                <w:rFonts w:ascii="Times New Roman" w:hAnsi="Times New Roman" w:cs="Times New Roman"/>
                <w:color w:val="000000"/>
                <w:sz w:val="18"/>
                <w:szCs w:val="21"/>
              </w:rPr>
              <w:t xml:space="preserve"> </w:t>
            </w:r>
          </w:p>
        </w:tc>
        <w:tc>
          <w:tcPr>
            <w:tcW w:w="936" w:type="dxa"/>
            <w:vAlign w:val="center"/>
            <w:hideMark/>
          </w:tcPr>
          <w:p w14:paraId="6822F608" w14:textId="1D661CFC"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111.42</w:t>
            </w:r>
            <w:r w:rsidRPr="00CA55AF">
              <w:rPr>
                <w:rFonts w:ascii="Times New Roman" w:hAnsi="Times New Roman" w:cs="Times New Roman"/>
                <w:color w:val="000000"/>
                <w:sz w:val="18"/>
                <w:szCs w:val="21"/>
              </w:rPr>
              <w:t xml:space="preserve"> </w:t>
            </w:r>
          </w:p>
        </w:tc>
        <w:tc>
          <w:tcPr>
            <w:tcW w:w="936" w:type="dxa"/>
            <w:vAlign w:val="center"/>
            <w:hideMark/>
          </w:tcPr>
          <w:p w14:paraId="20457BC2" w14:textId="171BAE1F"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111.26 </w:t>
            </w:r>
          </w:p>
        </w:tc>
        <w:tc>
          <w:tcPr>
            <w:tcW w:w="936" w:type="dxa"/>
            <w:vAlign w:val="center"/>
            <w:hideMark/>
          </w:tcPr>
          <w:p w14:paraId="24A975B4" w14:textId="6E27273F"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103.56 </w:t>
            </w:r>
          </w:p>
        </w:tc>
        <w:tc>
          <w:tcPr>
            <w:tcW w:w="936" w:type="dxa"/>
            <w:vAlign w:val="center"/>
            <w:hideMark/>
          </w:tcPr>
          <w:p w14:paraId="14154506" w14:textId="41F96D62"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101.54 </w:t>
            </w:r>
          </w:p>
        </w:tc>
        <w:tc>
          <w:tcPr>
            <w:tcW w:w="936" w:type="dxa"/>
            <w:vAlign w:val="center"/>
            <w:hideMark/>
          </w:tcPr>
          <w:p w14:paraId="0F05A75D" w14:textId="51EC01E4"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99.81 </w:t>
            </w:r>
          </w:p>
        </w:tc>
        <w:tc>
          <w:tcPr>
            <w:tcW w:w="936" w:type="dxa"/>
            <w:vAlign w:val="center"/>
            <w:hideMark/>
          </w:tcPr>
          <w:p w14:paraId="66F24664" w14:textId="45F356BD"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98.45 </w:t>
            </w:r>
          </w:p>
        </w:tc>
        <w:tc>
          <w:tcPr>
            <w:tcW w:w="936" w:type="dxa"/>
            <w:vAlign w:val="center"/>
            <w:hideMark/>
          </w:tcPr>
          <w:p w14:paraId="77835F96" w14:textId="523501A7" w:rsidR="00161003" w:rsidRPr="00DA3766" w:rsidRDefault="00161003" w:rsidP="00161003">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98.45 </w:t>
            </w:r>
          </w:p>
        </w:tc>
      </w:tr>
      <w:tr w:rsidR="00872105" w:rsidRPr="00DA3766" w14:paraId="5493E414" w14:textId="77777777" w:rsidTr="00582BF8">
        <w:trPr>
          <w:trHeight w:val="397"/>
          <w:jc w:val="center"/>
        </w:trPr>
        <w:tc>
          <w:tcPr>
            <w:tcW w:w="686" w:type="dxa"/>
            <w:vMerge w:val="restart"/>
            <w:vAlign w:val="center"/>
            <w:hideMark/>
          </w:tcPr>
          <w:p w14:paraId="70F9359E"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场地整体</w:t>
            </w:r>
          </w:p>
          <w:p w14:paraId="238AD2A8"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解决方案</w:t>
            </w:r>
          </w:p>
        </w:tc>
        <w:tc>
          <w:tcPr>
            <w:tcW w:w="0" w:type="auto"/>
            <w:vAlign w:val="center"/>
            <w:hideMark/>
          </w:tcPr>
          <w:p w14:paraId="1FC02C02"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销售收入</w:t>
            </w:r>
          </w:p>
          <w:p w14:paraId="2A650C5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（万元）</w:t>
            </w:r>
          </w:p>
        </w:tc>
        <w:tc>
          <w:tcPr>
            <w:tcW w:w="936" w:type="dxa"/>
            <w:vAlign w:val="center"/>
            <w:hideMark/>
          </w:tcPr>
          <w:p w14:paraId="01962CC3" w14:textId="2B00FBF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6,728.18 </w:t>
            </w:r>
          </w:p>
        </w:tc>
        <w:tc>
          <w:tcPr>
            <w:tcW w:w="936" w:type="dxa"/>
            <w:vAlign w:val="center"/>
            <w:hideMark/>
          </w:tcPr>
          <w:p w14:paraId="793FE431" w14:textId="1105D656"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9,704.27 </w:t>
            </w:r>
          </w:p>
        </w:tc>
        <w:tc>
          <w:tcPr>
            <w:tcW w:w="936" w:type="dxa"/>
            <w:vAlign w:val="center"/>
            <w:hideMark/>
          </w:tcPr>
          <w:p w14:paraId="23222437" w14:textId="187B6F4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5,140.81 </w:t>
            </w:r>
          </w:p>
        </w:tc>
        <w:tc>
          <w:tcPr>
            <w:tcW w:w="936" w:type="dxa"/>
            <w:vAlign w:val="center"/>
            <w:hideMark/>
          </w:tcPr>
          <w:p w14:paraId="6FD40D19" w14:textId="06B390EA"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10,321.36 </w:t>
            </w:r>
          </w:p>
        </w:tc>
        <w:tc>
          <w:tcPr>
            <w:tcW w:w="936" w:type="dxa"/>
            <w:vAlign w:val="center"/>
            <w:hideMark/>
          </w:tcPr>
          <w:p w14:paraId="35075DFC" w14:textId="5864992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10,213.85 </w:t>
            </w:r>
          </w:p>
        </w:tc>
        <w:tc>
          <w:tcPr>
            <w:tcW w:w="936" w:type="dxa"/>
            <w:vAlign w:val="center"/>
            <w:hideMark/>
          </w:tcPr>
          <w:p w14:paraId="76AD6795" w14:textId="69E41D9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9,676.28 </w:t>
            </w:r>
          </w:p>
        </w:tc>
        <w:tc>
          <w:tcPr>
            <w:tcW w:w="936" w:type="dxa"/>
            <w:vAlign w:val="center"/>
            <w:hideMark/>
          </w:tcPr>
          <w:p w14:paraId="756BB391" w14:textId="78048713"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9,138.71 </w:t>
            </w:r>
          </w:p>
        </w:tc>
        <w:tc>
          <w:tcPr>
            <w:tcW w:w="936" w:type="dxa"/>
            <w:vAlign w:val="center"/>
            <w:hideMark/>
          </w:tcPr>
          <w:p w14:paraId="3FD4A601" w14:textId="1544BCF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8,869.92 </w:t>
            </w:r>
          </w:p>
        </w:tc>
        <w:tc>
          <w:tcPr>
            <w:tcW w:w="936" w:type="dxa"/>
            <w:vAlign w:val="center"/>
            <w:hideMark/>
          </w:tcPr>
          <w:p w14:paraId="5BF15698" w14:textId="6E68A02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8,869.92 </w:t>
            </w:r>
          </w:p>
        </w:tc>
      </w:tr>
      <w:tr w:rsidR="00872105" w:rsidRPr="00DA3766" w14:paraId="36658265" w14:textId="77777777" w:rsidTr="00582BF8">
        <w:trPr>
          <w:trHeight w:val="397"/>
          <w:jc w:val="center"/>
        </w:trPr>
        <w:tc>
          <w:tcPr>
            <w:tcW w:w="686" w:type="dxa"/>
            <w:vMerge/>
            <w:vAlign w:val="center"/>
            <w:hideMark/>
          </w:tcPr>
          <w:p w14:paraId="48A1AB75"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7D3B7952"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数量</w:t>
            </w:r>
          </w:p>
          <w:p w14:paraId="6DAA4C7A"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（场地，个）</w:t>
            </w:r>
          </w:p>
        </w:tc>
        <w:tc>
          <w:tcPr>
            <w:tcW w:w="936" w:type="dxa"/>
            <w:vAlign w:val="center"/>
            <w:hideMark/>
          </w:tcPr>
          <w:p w14:paraId="3944D0BE" w14:textId="3713BAB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2,090</w:t>
            </w:r>
          </w:p>
        </w:tc>
        <w:tc>
          <w:tcPr>
            <w:tcW w:w="936" w:type="dxa"/>
            <w:vAlign w:val="center"/>
            <w:hideMark/>
          </w:tcPr>
          <w:p w14:paraId="2008DC92" w14:textId="23227A1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1,901</w:t>
            </w:r>
          </w:p>
        </w:tc>
        <w:tc>
          <w:tcPr>
            <w:tcW w:w="936" w:type="dxa"/>
            <w:vAlign w:val="center"/>
            <w:hideMark/>
          </w:tcPr>
          <w:p w14:paraId="0F0294D3" w14:textId="00B8A08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983</w:t>
            </w:r>
          </w:p>
        </w:tc>
        <w:tc>
          <w:tcPr>
            <w:tcW w:w="936" w:type="dxa"/>
            <w:vAlign w:val="center"/>
            <w:hideMark/>
          </w:tcPr>
          <w:p w14:paraId="71141693" w14:textId="266CCD9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1,920</w:t>
            </w:r>
          </w:p>
        </w:tc>
        <w:tc>
          <w:tcPr>
            <w:tcW w:w="936" w:type="dxa"/>
            <w:vAlign w:val="center"/>
            <w:hideMark/>
          </w:tcPr>
          <w:p w14:paraId="2AB300E3" w14:textId="402E878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1,900</w:t>
            </w:r>
          </w:p>
        </w:tc>
        <w:tc>
          <w:tcPr>
            <w:tcW w:w="936" w:type="dxa"/>
            <w:vAlign w:val="center"/>
            <w:hideMark/>
          </w:tcPr>
          <w:p w14:paraId="3035C521" w14:textId="6BFB59D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1,800</w:t>
            </w:r>
          </w:p>
        </w:tc>
        <w:tc>
          <w:tcPr>
            <w:tcW w:w="936" w:type="dxa"/>
            <w:vAlign w:val="center"/>
            <w:hideMark/>
          </w:tcPr>
          <w:p w14:paraId="19D85377" w14:textId="4F8D817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1,700</w:t>
            </w:r>
          </w:p>
        </w:tc>
        <w:tc>
          <w:tcPr>
            <w:tcW w:w="936" w:type="dxa"/>
            <w:vAlign w:val="center"/>
            <w:hideMark/>
          </w:tcPr>
          <w:p w14:paraId="1B06B2DB" w14:textId="54AB5FE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1,650</w:t>
            </w:r>
          </w:p>
        </w:tc>
        <w:tc>
          <w:tcPr>
            <w:tcW w:w="936" w:type="dxa"/>
            <w:vAlign w:val="center"/>
            <w:hideMark/>
          </w:tcPr>
          <w:p w14:paraId="6B083EFE" w14:textId="74649BA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1,650</w:t>
            </w:r>
          </w:p>
        </w:tc>
      </w:tr>
      <w:tr w:rsidR="00872105" w:rsidRPr="00DA3766" w14:paraId="3181C9E0" w14:textId="77777777" w:rsidTr="00582BF8">
        <w:trPr>
          <w:trHeight w:val="397"/>
          <w:jc w:val="center"/>
        </w:trPr>
        <w:tc>
          <w:tcPr>
            <w:tcW w:w="686" w:type="dxa"/>
            <w:vMerge/>
            <w:vAlign w:val="center"/>
            <w:hideMark/>
          </w:tcPr>
          <w:p w14:paraId="6F483AB9"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4101C9D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Cs/>
                <w:color w:val="000000"/>
                <w:sz w:val="18"/>
                <w:szCs w:val="21"/>
              </w:rPr>
            </w:pPr>
            <w:r w:rsidRPr="00DA3766">
              <w:rPr>
                <w:rFonts w:ascii="Times New Roman" w:hAnsi="Times New Roman" w:cs="Times New Roman"/>
                <w:bCs/>
                <w:color w:val="000000"/>
                <w:sz w:val="18"/>
                <w:szCs w:val="21"/>
              </w:rPr>
              <w:t>单价（万元）</w:t>
            </w:r>
          </w:p>
        </w:tc>
        <w:tc>
          <w:tcPr>
            <w:tcW w:w="936" w:type="dxa"/>
            <w:vAlign w:val="center"/>
            <w:hideMark/>
          </w:tcPr>
          <w:p w14:paraId="7CA8EFAE" w14:textId="7CF8931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3.22 </w:t>
            </w:r>
          </w:p>
        </w:tc>
        <w:tc>
          <w:tcPr>
            <w:tcW w:w="936" w:type="dxa"/>
            <w:vAlign w:val="center"/>
            <w:hideMark/>
          </w:tcPr>
          <w:p w14:paraId="77FFD759" w14:textId="35AB076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5.10 </w:t>
            </w:r>
          </w:p>
        </w:tc>
        <w:tc>
          <w:tcPr>
            <w:tcW w:w="936" w:type="dxa"/>
            <w:vAlign w:val="center"/>
            <w:hideMark/>
          </w:tcPr>
          <w:p w14:paraId="2CF57C53" w14:textId="231FFE5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5.23 </w:t>
            </w:r>
          </w:p>
        </w:tc>
        <w:tc>
          <w:tcPr>
            <w:tcW w:w="936" w:type="dxa"/>
            <w:vAlign w:val="center"/>
            <w:hideMark/>
          </w:tcPr>
          <w:p w14:paraId="60AF53E4" w14:textId="707F220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41324691" w14:textId="73954886"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40CA025D" w14:textId="091ECEC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20C993E3" w14:textId="3DA6B01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703B26BB" w14:textId="3E4A229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2849C7C6" w14:textId="582043A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r>
      <w:tr w:rsidR="00872105" w:rsidRPr="00582BF8" w14:paraId="30961617" w14:textId="77777777" w:rsidTr="00582BF8">
        <w:trPr>
          <w:trHeight w:val="397"/>
          <w:jc w:val="center"/>
        </w:trPr>
        <w:tc>
          <w:tcPr>
            <w:tcW w:w="686" w:type="dxa"/>
            <w:vAlign w:val="center"/>
            <w:hideMark/>
          </w:tcPr>
          <w:p w14:paraId="5B2A7323" w14:textId="77777777" w:rsidR="00872105" w:rsidRPr="00582BF8"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合计</w:t>
            </w:r>
          </w:p>
        </w:tc>
        <w:tc>
          <w:tcPr>
            <w:tcW w:w="0" w:type="auto"/>
            <w:vAlign w:val="center"/>
            <w:hideMark/>
          </w:tcPr>
          <w:p w14:paraId="068FDA9D" w14:textId="77777777" w:rsidR="00872105" w:rsidRPr="00582BF8" w:rsidRDefault="00872105" w:rsidP="00872105">
            <w:pPr>
              <w:adjustRightInd w:val="0"/>
              <w:snapToGrid w:val="0"/>
              <w:spacing w:beforeLines="0" w:before="0" w:afterLines="0" w:after="0" w:line="240" w:lineRule="auto"/>
              <w:ind w:firstLineChars="0" w:firstLine="0"/>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销售收入</w:t>
            </w:r>
          </w:p>
          <w:p w14:paraId="57C264CB" w14:textId="77777777" w:rsidR="00872105" w:rsidRPr="00582BF8" w:rsidRDefault="00872105" w:rsidP="00872105">
            <w:pPr>
              <w:adjustRightInd w:val="0"/>
              <w:snapToGrid w:val="0"/>
              <w:spacing w:beforeLines="0" w:before="0" w:afterLines="0" w:after="0" w:line="240" w:lineRule="auto"/>
              <w:ind w:firstLineChars="0" w:firstLine="0"/>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（万元）</w:t>
            </w:r>
          </w:p>
        </w:tc>
        <w:tc>
          <w:tcPr>
            <w:tcW w:w="936" w:type="dxa"/>
            <w:vAlign w:val="center"/>
            <w:hideMark/>
          </w:tcPr>
          <w:p w14:paraId="57A19C95" w14:textId="0819AD2A"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14,601.82</w:t>
            </w:r>
          </w:p>
        </w:tc>
        <w:tc>
          <w:tcPr>
            <w:tcW w:w="936" w:type="dxa"/>
            <w:vAlign w:val="center"/>
            <w:hideMark/>
          </w:tcPr>
          <w:p w14:paraId="6E00DBFD" w14:textId="27740FA9"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16,968.02</w:t>
            </w:r>
          </w:p>
        </w:tc>
        <w:tc>
          <w:tcPr>
            <w:tcW w:w="936" w:type="dxa"/>
            <w:vAlign w:val="center"/>
            <w:hideMark/>
          </w:tcPr>
          <w:p w14:paraId="32046D46" w14:textId="788AE0DE"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8,778.91</w:t>
            </w:r>
          </w:p>
        </w:tc>
        <w:tc>
          <w:tcPr>
            <w:tcW w:w="936" w:type="dxa"/>
            <w:vAlign w:val="center"/>
            <w:hideMark/>
          </w:tcPr>
          <w:p w14:paraId="6EE0F3B6" w14:textId="3B2766B2"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17,442.09</w:t>
            </w:r>
          </w:p>
        </w:tc>
        <w:tc>
          <w:tcPr>
            <w:tcW w:w="936" w:type="dxa"/>
            <w:vAlign w:val="center"/>
            <w:hideMark/>
          </w:tcPr>
          <w:p w14:paraId="46F292CA" w14:textId="756C8F43"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17,432.28</w:t>
            </w:r>
          </w:p>
        </w:tc>
        <w:tc>
          <w:tcPr>
            <w:tcW w:w="936" w:type="dxa"/>
            <w:vAlign w:val="center"/>
            <w:hideMark/>
          </w:tcPr>
          <w:p w14:paraId="62F62B05" w14:textId="63EBB059"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17,342.71</w:t>
            </w:r>
          </w:p>
        </w:tc>
        <w:tc>
          <w:tcPr>
            <w:tcW w:w="936" w:type="dxa"/>
            <w:vAlign w:val="center"/>
            <w:hideMark/>
          </w:tcPr>
          <w:p w14:paraId="18DD3E47" w14:textId="1F8DFD4D"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17,253.13</w:t>
            </w:r>
          </w:p>
        </w:tc>
        <w:tc>
          <w:tcPr>
            <w:tcW w:w="936" w:type="dxa"/>
            <w:vAlign w:val="center"/>
            <w:hideMark/>
          </w:tcPr>
          <w:p w14:paraId="7AAAED00" w14:textId="6A10B202"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17,415.41</w:t>
            </w:r>
          </w:p>
        </w:tc>
        <w:tc>
          <w:tcPr>
            <w:tcW w:w="936" w:type="dxa"/>
            <w:vAlign w:val="center"/>
            <w:hideMark/>
          </w:tcPr>
          <w:p w14:paraId="0A531695" w14:textId="4BEAB2A6"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17,415.41</w:t>
            </w:r>
          </w:p>
        </w:tc>
      </w:tr>
    </w:tbl>
    <w:p w14:paraId="08DA4088" w14:textId="1F35B04D" w:rsidR="00EB3B4C" w:rsidRPr="00DA3766" w:rsidRDefault="00EB3B4C" w:rsidP="004C2193">
      <w:pPr>
        <w:pStyle w:val="005"/>
        <w:spacing w:before="120" w:after="120"/>
        <w:ind w:firstLine="480"/>
      </w:pPr>
      <w:r w:rsidRPr="00DA3766">
        <w:t>本次评估针对于标的公司</w:t>
      </w:r>
      <w:r w:rsidRPr="00DA3766">
        <w:t>IoT</w:t>
      </w:r>
      <w:r w:rsidRPr="00DA3766">
        <w:t>智能硬件</w:t>
      </w:r>
      <w:r w:rsidR="00872105" w:rsidRPr="00872105">
        <w:rPr>
          <w:rFonts w:hint="eastAsia"/>
        </w:rPr>
        <w:t>类业务</w:t>
      </w:r>
      <w:r w:rsidRPr="00DA3766">
        <w:t>分为非场地设备及其他以及场地整体解决方案三类进行预测。其中，非场地设备及其他主要系包括模块类、主板类和终端类等多种类型产品及服务，场地整体解决方案主要系标的公司凭借其领先的市场地位，为客户提供包括出闸机、存售票设备、收银设备、卡头设备等场地配套设备的全套解决方案。</w:t>
      </w:r>
    </w:p>
    <w:p w14:paraId="37EA6285"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）非场地设备的销售预测分析</w:t>
      </w:r>
    </w:p>
    <w:p w14:paraId="35D25C3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）销售单价分析</w:t>
      </w:r>
    </w:p>
    <w:p w14:paraId="6229546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报告期内，非场地设备的销售单价有所增长，一方面主要系由于报告期内应用场景销售结构有所变化，销售单价较高的智慧出行类</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智能硬件收入占比持续增长，使得整体</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智能硬件单价有所增长，另一方面主要系由于</w:t>
      </w:r>
      <w:r w:rsidRPr="00DA3766">
        <w:rPr>
          <w:rFonts w:ascii="Times New Roman" w:hAnsi="Times New Roman" w:cs="Times New Roman"/>
          <w:kern w:val="2"/>
          <w:szCs w:val="22"/>
        </w:rPr>
        <w:t>2025</w:t>
      </w:r>
      <w:r w:rsidRPr="00DA3766">
        <w:rPr>
          <w:rFonts w:ascii="Times New Roman" w:hAnsi="Times New Roman" w:cs="Times New Roman"/>
          <w:kern w:val="2"/>
          <w:szCs w:val="22"/>
        </w:rPr>
        <w:t>年度</w:t>
      </w:r>
      <w:r w:rsidRPr="00DA3766">
        <w:rPr>
          <w:rFonts w:ascii="Times New Roman" w:hAnsi="Times New Roman" w:cs="Times New Roman"/>
          <w:kern w:val="2"/>
          <w:szCs w:val="22"/>
        </w:rPr>
        <w:t>1-6</w:t>
      </w:r>
      <w:r w:rsidRPr="00DA3766">
        <w:rPr>
          <w:rFonts w:ascii="Times New Roman" w:hAnsi="Times New Roman" w:cs="Times New Roman"/>
          <w:kern w:val="2"/>
          <w:szCs w:val="22"/>
        </w:rPr>
        <w:t>月存在部分销售单价较高的定制化的产品导致。</w:t>
      </w:r>
    </w:p>
    <w:p w14:paraId="669878EA" w14:textId="460B2CFD" w:rsidR="00EB3B4C" w:rsidRPr="00DA3766" w:rsidRDefault="00EB3B4C" w:rsidP="004C2193">
      <w:pPr>
        <w:pStyle w:val="005"/>
        <w:spacing w:before="120" w:after="120"/>
        <w:ind w:firstLine="480"/>
      </w:pPr>
      <w:r w:rsidRPr="00DA3766">
        <w:lastRenderedPageBreak/>
        <w:t>预测期内，非场地设备的销售单价有所下降后保持稳定，主要系由于</w:t>
      </w:r>
      <w:r w:rsidRPr="00DA3766">
        <w:t>2025</w:t>
      </w:r>
      <w:r w:rsidRPr="00DA3766">
        <w:t>年上半年部分定制化产品销售属于偶发性业务，其定价不具备持续性，自</w:t>
      </w:r>
      <w:r w:rsidRPr="00DA3766">
        <w:t>2025</w:t>
      </w:r>
      <w:r w:rsidRPr="00DA3766">
        <w:t>年下半年起，未再将该类情形纳入常规单价预测基础，使得预测期内销售单价自</w:t>
      </w:r>
      <w:r w:rsidRPr="00DA3766">
        <w:t>2025</w:t>
      </w:r>
      <w:r w:rsidRPr="00DA3766">
        <w:t>年全年上升至</w:t>
      </w:r>
      <w:r w:rsidR="00161003" w:rsidRPr="00DA3766">
        <w:t>11</w:t>
      </w:r>
      <w:r w:rsidR="00161003">
        <w:rPr>
          <w:rFonts w:hint="eastAsia"/>
        </w:rPr>
        <w:t>1.42</w:t>
      </w:r>
      <w:r w:rsidRPr="00DA3766">
        <w:t>元</w:t>
      </w:r>
      <w:r w:rsidRPr="00DA3766">
        <w:t>/</w:t>
      </w:r>
      <w:r w:rsidRPr="00DA3766">
        <w:t>台单价后开始下降，随着出行类场景的持续出货，单价水平亦会进一步有所变动。此外，标的公司下游应用场景已形成较为成熟的市场格局，产品价格透明度较高，标的公司凭借成本控制优势及</w:t>
      </w:r>
      <w:r w:rsidRPr="00DA3766">
        <w:t>SaaS</w:t>
      </w:r>
      <w:r w:rsidRPr="00DA3766">
        <w:t>平台的协同赋能，经过长期市场耕耘，已在相关领域建立了一定的市场份额，因此永续期整体的市场份额稳定后销售单价维持稳定具备合理性。</w:t>
      </w:r>
    </w:p>
    <w:p w14:paraId="0263A65E" w14:textId="77777777" w:rsidR="00EB3B4C" w:rsidRPr="00DA3766" w:rsidRDefault="00EB3B4C" w:rsidP="004C2193">
      <w:pPr>
        <w:pStyle w:val="005"/>
        <w:spacing w:before="120" w:after="120"/>
        <w:ind w:firstLine="480"/>
      </w:pPr>
      <w:r w:rsidRPr="00DA3766">
        <w:t>2</w:t>
      </w:r>
      <w:r w:rsidRPr="00DA3766">
        <w:t>）销售数量分析</w:t>
      </w:r>
    </w:p>
    <w:p w14:paraId="43F21334" w14:textId="31DAB136" w:rsidR="00EB3B4C" w:rsidRPr="00DA3766" w:rsidRDefault="00EB3B4C" w:rsidP="004C2193">
      <w:pPr>
        <w:pStyle w:val="005"/>
        <w:spacing w:before="120" w:after="120"/>
        <w:ind w:firstLine="480"/>
      </w:pPr>
      <w:r w:rsidRPr="00DA3766">
        <w:t>报告期内，非场地设备的销售数量有所下降，由</w:t>
      </w:r>
      <w:r w:rsidRPr="00DA3766">
        <w:t>2023</w:t>
      </w:r>
      <w:r w:rsidRPr="00DA3766">
        <w:t>年的</w:t>
      </w:r>
      <w:r w:rsidR="00970EB3" w:rsidRPr="00DA3766">
        <w:t>83.</w:t>
      </w:r>
      <w:r w:rsidR="00970EB3">
        <w:rPr>
          <w:rFonts w:hint="eastAsia"/>
        </w:rPr>
        <w:t>87</w:t>
      </w:r>
      <w:r w:rsidR="00970EB3" w:rsidRPr="00DA3766">
        <w:t>万台下降至</w:t>
      </w:r>
      <w:r w:rsidR="00970EB3" w:rsidRPr="00DA3766">
        <w:t>2024</w:t>
      </w:r>
      <w:r w:rsidR="00970EB3" w:rsidRPr="00DA3766">
        <w:t>年的</w:t>
      </w:r>
      <w:r w:rsidR="00970EB3">
        <w:rPr>
          <w:rFonts w:hint="eastAsia"/>
        </w:rPr>
        <w:t>71.69</w:t>
      </w:r>
      <w:r w:rsidR="00970EB3" w:rsidRPr="00DA3766">
        <w:t>万台</w:t>
      </w:r>
      <w:r w:rsidRPr="00DA3766">
        <w:t>，主要系受报告期期初全球公共卫生事件影响，</w:t>
      </w:r>
      <w:r w:rsidRPr="00DA3766">
        <w:t>2023</w:t>
      </w:r>
      <w:r w:rsidRPr="00DA3766">
        <w:t>年度智慧生活类</w:t>
      </w:r>
      <w:r w:rsidRPr="00DA3766">
        <w:t>IoT</w:t>
      </w:r>
      <w:r w:rsidRPr="00DA3766">
        <w:t>智能硬件需求出现阶段性集中释放，使得</w:t>
      </w:r>
      <w:r w:rsidRPr="00DA3766">
        <w:t>2023</w:t>
      </w:r>
      <w:r w:rsidRPr="00DA3766">
        <w:t>年度非场地设备数量在较高水平，</w:t>
      </w:r>
      <w:r w:rsidRPr="00DA3766">
        <w:t>2024</w:t>
      </w:r>
      <w:r w:rsidRPr="00DA3766">
        <w:t>年度销售数量有所回调。</w:t>
      </w:r>
    </w:p>
    <w:p w14:paraId="38D78E6E" w14:textId="522FC3BB" w:rsidR="00EB3B4C" w:rsidRPr="00DA3766" w:rsidRDefault="00EB3B4C" w:rsidP="004C2193">
      <w:pPr>
        <w:pStyle w:val="005"/>
        <w:spacing w:before="120" w:after="120"/>
        <w:ind w:firstLine="480"/>
      </w:pPr>
      <w:r w:rsidRPr="00DA3766">
        <w:t>预测期内，非场地设备的销售数量恢复增长，一方面标的公司已在智慧生活、智慧零售及智慧出行等领域建立了较为稳固的市场地位，并形成了较强的客户黏性，另一方面在</w:t>
      </w:r>
      <w:r w:rsidRPr="00DA3766">
        <w:t>AI</w:t>
      </w:r>
      <w:r w:rsidRPr="00DA3766">
        <w:t>、</w:t>
      </w:r>
      <w:r w:rsidRPr="00DA3766">
        <w:t>5G</w:t>
      </w:r>
      <w:r w:rsidRPr="00DA3766">
        <w:t>等技术的推动下，物联网设备仍具备持续的迭代与升级空间。</w:t>
      </w:r>
      <w:r w:rsidR="00506CB2" w:rsidRPr="00DA3766">
        <w:t>标的</w:t>
      </w:r>
      <w:r w:rsidRPr="00DA3766">
        <w:t>公司凭借在硬件领域扎实的技术积累、行业领先的软件能力以及强大的中后台系统支持，能够持续进行产品升级，巩固市场份额并支撑出货规模的稳步提升，因此预测期内标的公司非场地设备销售数量规模年增长率在</w:t>
      </w:r>
      <w:r w:rsidRPr="00DA3766">
        <w:t>5%</w:t>
      </w:r>
      <w:r w:rsidRPr="00DA3766">
        <w:t>至</w:t>
      </w:r>
      <w:r w:rsidRPr="00DA3766">
        <w:t>7%</w:t>
      </w:r>
      <w:r w:rsidRPr="00DA3766">
        <w:t>区间，具备合理性。</w:t>
      </w:r>
    </w:p>
    <w:p w14:paraId="407FE8F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综上，标的公司非场地设备的销售数量、销售单价及销售收入的预测具备合理性。</w:t>
      </w:r>
    </w:p>
    <w:p w14:paraId="0618AE1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）场地整体解决方案</w:t>
      </w:r>
    </w:p>
    <w:p w14:paraId="7BDA51F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）销售单价分析</w:t>
      </w:r>
    </w:p>
    <w:p w14:paraId="018816E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报告期内，标的公司场地整体解决方案的销售单价有所增长，主要系标的公司于</w:t>
      </w:r>
      <w:r w:rsidRPr="00DA3766">
        <w:rPr>
          <w:rFonts w:ascii="Times New Roman" w:hAnsi="Times New Roman" w:cs="Times New Roman"/>
          <w:kern w:val="2"/>
          <w:szCs w:val="22"/>
        </w:rPr>
        <w:t>2024</w:t>
      </w:r>
      <w:r w:rsidRPr="00DA3766">
        <w:rPr>
          <w:rFonts w:ascii="Times New Roman" w:hAnsi="Times New Roman" w:cs="Times New Roman"/>
          <w:kern w:val="2"/>
          <w:szCs w:val="22"/>
        </w:rPr>
        <w:t>年度进一步优化和丰富场地整体解决方案内容，在减少客户配置成本的同时进一步提高了销售单价。</w:t>
      </w:r>
    </w:p>
    <w:p w14:paraId="5CE3543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预测期内，鉴于标的公司作为行业主要参与者之一，凭借其市场地位和较强</w:t>
      </w:r>
      <w:r w:rsidRPr="00DA3766">
        <w:rPr>
          <w:rFonts w:ascii="Times New Roman" w:hAnsi="Times New Roman" w:cs="Times New Roman"/>
          <w:kern w:val="2"/>
          <w:szCs w:val="22"/>
        </w:rPr>
        <w:lastRenderedPageBreak/>
        <w:t>的产品价格竞争力，场地整体解决方案销售单价未来保持稳定具备合理性。</w:t>
      </w:r>
    </w:p>
    <w:p w14:paraId="18219F1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）销售数量分析</w:t>
      </w:r>
    </w:p>
    <w:p w14:paraId="5CE0F8A4" w14:textId="2634255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标的公司场地整体解决方案销售数量有所下降，主要系由于该业务下游应用为商业综合体、社区及商圈等终端场景，尽管近年来商业综合体及社区建设持续发展，但随着国内城市化进程逐步趋于稳定，新增终端场景数量及增长速度预计将有所放缓，未来市场需求结构将更多转向存量场景的改造与升级，市场竞争亦可能进一步加剧。基于上述行业趋势，本次预测中假设</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公司新增场地拓展速度将逐步放缓，销售规模相应呈下降趋势。与此同时，</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公司将持续为现有合作场地提供设备迭代与更新服务，从而保持该部分存量业务的稳定销售规模。综上，预测期内标的公司场地整体解决方案销售数量有所下降具备合理性。</w:t>
      </w:r>
    </w:p>
    <w:p w14:paraId="3DAF89C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1244E40C"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）报告期及预测期内各年度的毛利率预测情况</w:t>
      </w:r>
    </w:p>
    <w:p w14:paraId="77ED4A8A" w14:textId="77777777" w:rsidR="00EB3B4C" w:rsidRPr="00DA3766" w:rsidRDefault="00EB3B4C" w:rsidP="004C2193">
      <w:pPr>
        <w:widowControl w:val="0"/>
        <w:spacing w:before="120" w:after="120"/>
        <w:ind w:firstLine="464"/>
        <w:jc w:val="both"/>
        <w:rPr>
          <w:rFonts w:ascii="Times New Roman" w:hAnsi="Times New Roman" w:cs="Times New Roman"/>
          <w:kern w:val="2"/>
          <w:szCs w:val="22"/>
        </w:rPr>
      </w:pPr>
      <w:r w:rsidRPr="004C2193">
        <w:rPr>
          <w:rFonts w:ascii="Times New Roman" w:hAnsi="Times New Roman" w:cs="Times New Roman"/>
          <w:spacing w:val="-4"/>
          <w:kern w:val="2"/>
          <w:szCs w:val="22"/>
        </w:rPr>
        <w:t>报告期及预测期内各年度标的公司</w:t>
      </w:r>
      <w:r w:rsidRPr="004C2193">
        <w:rPr>
          <w:rFonts w:ascii="Times New Roman" w:hAnsi="Times New Roman" w:cs="Times New Roman"/>
          <w:spacing w:val="-4"/>
          <w:kern w:val="2"/>
          <w:szCs w:val="22"/>
        </w:rPr>
        <w:t>IoT</w:t>
      </w:r>
      <w:r w:rsidRPr="004C2193">
        <w:rPr>
          <w:rFonts w:ascii="Times New Roman" w:hAnsi="Times New Roman" w:cs="Times New Roman"/>
          <w:spacing w:val="-4"/>
          <w:kern w:val="2"/>
          <w:szCs w:val="22"/>
        </w:rPr>
        <w:t>智能硬件类业务毛利率预测情况如下</w:t>
      </w:r>
      <w:r w:rsidRPr="00DA3766">
        <w:rPr>
          <w:rFonts w:ascii="Times New Roman" w:hAnsi="Times New Roman" w:cs="Times New Roman"/>
          <w:kern w:val="2"/>
          <w:szCs w:val="22"/>
        </w:rPr>
        <w:t>：</w:t>
      </w:r>
    </w:p>
    <w:tbl>
      <w:tblPr>
        <w:tblW w:w="8875"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7"/>
        <w:gridCol w:w="861"/>
        <w:gridCol w:w="861"/>
        <w:gridCol w:w="862"/>
        <w:gridCol w:w="862"/>
        <w:gridCol w:w="862"/>
        <w:gridCol w:w="862"/>
        <w:gridCol w:w="862"/>
        <w:gridCol w:w="862"/>
      </w:tblGrid>
      <w:tr w:rsidR="00EB3B4C" w:rsidRPr="00DA3766" w14:paraId="22355C70" w14:textId="77777777" w:rsidTr="00DA3766">
        <w:trPr>
          <w:trHeight w:val="397"/>
          <w:tblHeader/>
          <w:jc w:val="center"/>
        </w:trPr>
        <w:tc>
          <w:tcPr>
            <w:tcW w:w="1981" w:type="dxa"/>
            <w:gridSpan w:val="2"/>
            <w:vMerge w:val="restart"/>
            <w:vAlign w:val="center"/>
          </w:tcPr>
          <w:p w14:paraId="65519A73"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项目</w:t>
            </w:r>
            <w:r w:rsidRPr="00DA3766">
              <w:rPr>
                <w:rFonts w:ascii="Times New Roman" w:hAnsi="Times New Roman" w:cs="Times New Roman"/>
                <w:b/>
                <w:color w:val="000000"/>
                <w:kern w:val="2"/>
                <w:sz w:val="18"/>
                <w:szCs w:val="18"/>
                <w14:ligatures w14:val="standardContextual"/>
              </w:rPr>
              <w:t>\</w:t>
            </w:r>
            <w:r w:rsidRPr="00DA3766">
              <w:rPr>
                <w:rFonts w:ascii="Times New Roman" w:hAnsi="Times New Roman" w:cs="Times New Roman"/>
                <w:b/>
                <w:color w:val="000000"/>
                <w:kern w:val="2"/>
                <w:sz w:val="18"/>
                <w:szCs w:val="18"/>
                <w14:ligatures w14:val="standardContextual"/>
              </w:rPr>
              <w:t>年份</w:t>
            </w:r>
          </w:p>
        </w:tc>
        <w:tc>
          <w:tcPr>
            <w:tcW w:w="2584" w:type="dxa"/>
            <w:gridSpan w:val="3"/>
            <w:vAlign w:val="center"/>
          </w:tcPr>
          <w:p w14:paraId="069F139C"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报告期</w:t>
            </w:r>
          </w:p>
        </w:tc>
        <w:tc>
          <w:tcPr>
            <w:tcW w:w="4310" w:type="dxa"/>
            <w:gridSpan w:val="5"/>
            <w:vAlign w:val="center"/>
          </w:tcPr>
          <w:p w14:paraId="1FBFF561"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预测期</w:t>
            </w:r>
          </w:p>
        </w:tc>
      </w:tr>
      <w:tr w:rsidR="00EB3B4C" w:rsidRPr="00DA3766" w14:paraId="77084913" w14:textId="77777777" w:rsidTr="00DA3766">
        <w:trPr>
          <w:trHeight w:val="397"/>
          <w:tblHeader/>
          <w:jc w:val="center"/>
        </w:trPr>
        <w:tc>
          <w:tcPr>
            <w:tcW w:w="1981" w:type="dxa"/>
            <w:gridSpan w:val="2"/>
            <w:vMerge/>
            <w:vAlign w:val="center"/>
            <w:hideMark/>
          </w:tcPr>
          <w:p w14:paraId="7427F22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p>
        </w:tc>
        <w:tc>
          <w:tcPr>
            <w:tcW w:w="861" w:type="dxa"/>
            <w:vAlign w:val="center"/>
            <w:hideMark/>
          </w:tcPr>
          <w:p w14:paraId="0B348581"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2023</w:t>
            </w:r>
          </w:p>
          <w:p w14:paraId="3B80B3BB" w14:textId="78F25298"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1" w:type="dxa"/>
            <w:vAlign w:val="center"/>
            <w:hideMark/>
          </w:tcPr>
          <w:p w14:paraId="03577BEC"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2024</w:t>
            </w:r>
          </w:p>
          <w:p w14:paraId="537BDB62" w14:textId="4E39B306"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tcPr>
          <w:p w14:paraId="2B8308F8"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2025</w:t>
            </w:r>
            <w:r w:rsidRPr="00DA3766">
              <w:rPr>
                <w:rFonts w:ascii="Times New Roman" w:hAnsi="Times New Roman" w:cs="Times New Roman"/>
                <w:b/>
                <w:color w:val="000000"/>
                <w:kern w:val="2"/>
                <w:sz w:val="18"/>
                <w:szCs w:val="18"/>
                <w14:ligatures w14:val="standardContextual"/>
              </w:rPr>
              <w:t>年</w:t>
            </w:r>
          </w:p>
          <w:p w14:paraId="519C1F42" w14:textId="5CFBE3D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1-6</w:t>
            </w:r>
            <w:r w:rsidRPr="00DA3766">
              <w:rPr>
                <w:rFonts w:ascii="Times New Roman" w:hAnsi="Times New Roman" w:cs="Times New Roman"/>
                <w:b/>
                <w:color w:val="000000"/>
                <w:kern w:val="2"/>
                <w:sz w:val="18"/>
                <w:szCs w:val="18"/>
                <w14:ligatures w14:val="standardContextual"/>
              </w:rPr>
              <w:t>月</w:t>
            </w:r>
          </w:p>
        </w:tc>
        <w:tc>
          <w:tcPr>
            <w:tcW w:w="862" w:type="dxa"/>
            <w:vAlign w:val="center"/>
            <w:hideMark/>
          </w:tcPr>
          <w:p w14:paraId="1695C00E"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2025</w:t>
            </w:r>
          </w:p>
          <w:p w14:paraId="6D680CF4" w14:textId="09F58885"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46608F77"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2026</w:t>
            </w:r>
          </w:p>
          <w:p w14:paraId="4BC5CEA5" w14:textId="016C925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3D36B95F"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2027</w:t>
            </w:r>
          </w:p>
          <w:p w14:paraId="7E958041" w14:textId="777239F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7426B6D5"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2028</w:t>
            </w:r>
          </w:p>
          <w:p w14:paraId="48664888" w14:textId="0C40FE32"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34647E89"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2029</w:t>
            </w:r>
          </w:p>
          <w:p w14:paraId="16F95A42" w14:textId="0E57145B"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r>
      <w:tr w:rsidR="00161003" w:rsidRPr="00DA3766" w14:paraId="737AE596" w14:textId="77777777" w:rsidTr="00DA3766">
        <w:trPr>
          <w:trHeight w:val="397"/>
          <w:jc w:val="center"/>
        </w:trPr>
        <w:tc>
          <w:tcPr>
            <w:tcW w:w="704" w:type="dxa"/>
            <w:vMerge w:val="restart"/>
            <w:vAlign w:val="center"/>
            <w:hideMark/>
          </w:tcPr>
          <w:p w14:paraId="13E85976"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非场地设备及其他</w:t>
            </w:r>
          </w:p>
        </w:tc>
        <w:tc>
          <w:tcPr>
            <w:tcW w:w="1277" w:type="dxa"/>
            <w:vAlign w:val="center"/>
            <w:hideMark/>
          </w:tcPr>
          <w:p w14:paraId="53BCCB93"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销售单价</w:t>
            </w:r>
          </w:p>
          <w:p w14:paraId="0CDA99BA"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（元）</w:t>
            </w:r>
          </w:p>
        </w:tc>
        <w:tc>
          <w:tcPr>
            <w:tcW w:w="861" w:type="dxa"/>
            <w:vAlign w:val="center"/>
            <w:hideMark/>
          </w:tcPr>
          <w:p w14:paraId="39482773" w14:textId="6331D0B6"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93.88</w:t>
            </w:r>
          </w:p>
        </w:tc>
        <w:tc>
          <w:tcPr>
            <w:tcW w:w="861" w:type="dxa"/>
            <w:vAlign w:val="center"/>
            <w:hideMark/>
          </w:tcPr>
          <w:p w14:paraId="201E2711" w14:textId="4AEAA38C"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101.32</w:t>
            </w:r>
          </w:p>
        </w:tc>
        <w:tc>
          <w:tcPr>
            <w:tcW w:w="862" w:type="dxa"/>
            <w:vAlign w:val="center"/>
          </w:tcPr>
          <w:p w14:paraId="3FCD8B2C" w14:textId="27970B63"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111.42</w:t>
            </w:r>
          </w:p>
        </w:tc>
        <w:tc>
          <w:tcPr>
            <w:tcW w:w="862" w:type="dxa"/>
            <w:vAlign w:val="center"/>
            <w:hideMark/>
          </w:tcPr>
          <w:p w14:paraId="4B60E236" w14:textId="6A4B6C5A"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111.26 </w:t>
            </w:r>
          </w:p>
        </w:tc>
        <w:tc>
          <w:tcPr>
            <w:tcW w:w="862" w:type="dxa"/>
            <w:vAlign w:val="center"/>
            <w:hideMark/>
          </w:tcPr>
          <w:p w14:paraId="5ED3198B" w14:textId="175B8190"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103.56 </w:t>
            </w:r>
          </w:p>
        </w:tc>
        <w:tc>
          <w:tcPr>
            <w:tcW w:w="862" w:type="dxa"/>
            <w:vAlign w:val="center"/>
            <w:hideMark/>
          </w:tcPr>
          <w:p w14:paraId="6387C0DC" w14:textId="30583567"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101.54 </w:t>
            </w:r>
          </w:p>
        </w:tc>
        <w:tc>
          <w:tcPr>
            <w:tcW w:w="862" w:type="dxa"/>
            <w:vAlign w:val="center"/>
            <w:hideMark/>
          </w:tcPr>
          <w:p w14:paraId="69FEB02E" w14:textId="442EB353"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99.81 </w:t>
            </w:r>
          </w:p>
        </w:tc>
        <w:tc>
          <w:tcPr>
            <w:tcW w:w="862" w:type="dxa"/>
            <w:vAlign w:val="center"/>
            <w:hideMark/>
          </w:tcPr>
          <w:p w14:paraId="6AB9C301" w14:textId="43E7737F"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98.45 </w:t>
            </w:r>
          </w:p>
        </w:tc>
      </w:tr>
      <w:tr w:rsidR="00161003" w:rsidRPr="00DA3766" w14:paraId="775E03CB" w14:textId="77777777" w:rsidTr="00DA3766">
        <w:trPr>
          <w:trHeight w:val="397"/>
          <w:jc w:val="center"/>
        </w:trPr>
        <w:tc>
          <w:tcPr>
            <w:tcW w:w="704" w:type="dxa"/>
            <w:vMerge/>
            <w:vAlign w:val="center"/>
          </w:tcPr>
          <w:p w14:paraId="4CC69EBB"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7AC453DB"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成本单价</w:t>
            </w:r>
          </w:p>
          <w:p w14:paraId="58D1F649" w14:textId="77777777" w:rsidR="00161003" w:rsidRPr="00DA3766" w:rsidRDefault="00161003" w:rsidP="00161003">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（元</w:t>
            </w:r>
            <w:r w:rsidRPr="00DA3766">
              <w:rPr>
                <w:rFonts w:ascii="Times New Roman" w:hAnsi="Times New Roman" w:cs="Times New Roman"/>
                <w:color w:val="000000"/>
                <w:kern w:val="2"/>
                <w:sz w:val="18"/>
                <w:szCs w:val="18"/>
                <w14:ligatures w14:val="standardContextual"/>
              </w:rPr>
              <w:t>/</w:t>
            </w:r>
            <w:r w:rsidRPr="00DA3766">
              <w:rPr>
                <w:rFonts w:ascii="Times New Roman" w:hAnsi="Times New Roman" w:cs="Times New Roman"/>
                <w:color w:val="000000"/>
                <w:kern w:val="2"/>
                <w:sz w:val="18"/>
                <w:szCs w:val="18"/>
                <w14:ligatures w14:val="standardContextual"/>
              </w:rPr>
              <w:t>个）</w:t>
            </w:r>
          </w:p>
        </w:tc>
        <w:tc>
          <w:tcPr>
            <w:tcW w:w="861" w:type="dxa"/>
            <w:vAlign w:val="center"/>
          </w:tcPr>
          <w:p w14:paraId="09E246EF" w14:textId="5CBA3437"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69.56</w:t>
            </w:r>
          </w:p>
        </w:tc>
        <w:tc>
          <w:tcPr>
            <w:tcW w:w="861" w:type="dxa"/>
            <w:vAlign w:val="center"/>
          </w:tcPr>
          <w:p w14:paraId="48C7EE54" w14:textId="27FE6022"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70.96</w:t>
            </w:r>
          </w:p>
        </w:tc>
        <w:tc>
          <w:tcPr>
            <w:tcW w:w="862" w:type="dxa"/>
            <w:vAlign w:val="center"/>
          </w:tcPr>
          <w:p w14:paraId="390EEC80" w14:textId="6A7B1D5F"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81.12</w:t>
            </w:r>
          </w:p>
        </w:tc>
        <w:tc>
          <w:tcPr>
            <w:tcW w:w="862" w:type="dxa"/>
            <w:vAlign w:val="center"/>
          </w:tcPr>
          <w:p w14:paraId="0C93B821" w14:textId="1008732A"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85.02 </w:t>
            </w:r>
          </w:p>
        </w:tc>
        <w:tc>
          <w:tcPr>
            <w:tcW w:w="862" w:type="dxa"/>
            <w:vAlign w:val="center"/>
          </w:tcPr>
          <w:p w14:paraId="1A0B845C" w14:textId="65ED30B4"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82.88 </w:t>
            </w:r>
          </w:p>
        </w:tc>
        <w:tc>
          <w:tcPr>
            <w:tcW w:w="862" w:type="dxa"/>
            <w:vAlign w:val="center"/>
          </w:tcPr>
          <w:p w14:paraId="46E18401" w14:textId="5A6F47B8"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81.71 </w:t>
            </w:r>
          </w:p>
        </w:tc>
        <w:tc>
          <w:tcPr>
            <w:tcW w:w="862" w:type="dxa"/>
            <w:vAlign w:val="center"/>
          </w:tcPr>
          <w:p w14:paraId="5491F83F" w14:textId="1B883C29"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80.70 </w:t>
            </w:r>
          </w:p>
        </w:tc>
        <w:tc>
          <w:tcPr>
            <w:tcW w:w="862" w:type="dxa"/>
            <w:vAlign w:val="center"/>
          </w:tcPr>
          <w:p w14:paraId="7EED7993" w14:textId="36C779D6" w:rsidR="00161003" w:rsidRPr="00DA3766" w:rsidRDefault="00161003" w:rsidP="00161003">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79.96 </w:t>
            </w:r>
          </w:p>
        </w:tc>
      </w:tr>
      <w:tr w:rsidR="00872105" w:rsidRPr="00DA3766" w14:paraId="799B00B1" w14:textId="77777777" w:rsidTr="00DA3766">
        <w:trPr>
          <w:trHeight w:val="397"/>
          <w:jc w:val="center"/>
        </w:trPr>
        <w:tc>
          <w:tcPr>
            <w:tcW w:w="704" w:type="dxa"/>
            <w:vMerge/>
            <w:vAlign w:val="center"/>
            <w:hideMark/>
          </w:tcPr>
          <w:p w14:paraId="6CC48BA3"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hideMark/>
          </w:tcPr>
          <w:p w14:paraId="4B2DE706"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18"/>
                <w:szCs w:val="18"/>
                <w14:ligatures w14:val="standardContextual"/>
              </w:rPr>
            </w:pPr>
            <w:r w:rsidRPr="00DA3766">
              <w:rPr>
                <w:rFonts w:ascii="Times New Roman" w:hAnsi="Times New Roman" w:cs="Times New Roman"/>
                <w:bCs/>
                <w:color w:val="000000"/>
                <w:kern w:val="2"/>
                <w:sz w:val="18"/>
                <w:szCs w:val="18"/>
                <w14:ligatures w14:val="standardContextual"/>
              </w:rPr>
              <w:t>毛利率</w:t>
            </w:r>
          </w:p>
        </w:tc>
        <w:tc>
          <w:tcPr>
            <w:tcW w:w="861" w:type="dxa"/>
            <w:vAlign w:val="center"/>
            <w:hideMark/>
          </w:tcPr>
          <w:p w14:paraId="3B049FEE" w14:textId="304168B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25.91%</w:t>
            </w:r>
          </w:p>
        </w:tc>
        <w:tc>
          <w:tcPr>
            <w:tcW w:w="861" w:type="dxa"/>
            <w:vAlign w:val="center"/>
            <w:hideMark/>
          </w:tcPr>
          <w:p w14:paraId="3B7843A1" w14:textId="3DF56FC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29.96%</w:t>
            </w:r>
          </w:p>
        </w:tc>
        <w:tc>
          <w:tcPr>
            <w:tcW w:w="862" w:type="dxa"/>
            <w:vAlign w:val="center"/>
          </w:tcPr>
          <w:p w14:paraId="0FC74CFC" w14:textId="6429BA3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27.20%</w:t>
            </w:r>
          </w:p>
        </w:tc>
        <w:tc>
          <w:tcPr>
            <w:tcW w:w="862" w:type="dxa"/>
            <w:vAlign w:val="center"/>
            <w:hideMark/>
          </w:tcPr>
          <w:p w14:paraId="6BE11CB0" w14:textId="40D5336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23.58%</w:t>
            </w:r>
          </w:p>
        </w:tc>
        <w:tc>
          <w:tcPr>
            <w:tcW w:w="862" w:type="dxa"/>
            <w:vAlign w:val="center"/>
            <w:hideMark/>
          </w:tcPr>
          <w:p w14:paraId="36166E2B" w14:textId="70EECD11"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19.97%</w:t>
            </w:r>
          </w:p>
        </w:tc>
        <w:tc>
          <w:tcPr>
            <w:tcW w:w="862" w:type="dxa"/>
            <w:vAlign w:val="center"/>
            <w:hideMark/>
          </w:tcPr>
          <w:p w14:paraId="158D468F" w14:textId="2844C44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19.53%</w:t>
            </w:r>
          </w:p>
        </w:tc>
        <w:tc>
          <w:tcPr>
            <w:tcW w:w="862" w:type="dxa"/>
            <w:vAlign w:val="center"/>
            <w:hideMark/>
          </w:tcPr>
          <w:p w14:paraId="67D894BE" w14:textId="2CC5A24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19.15%</w:t>
            </w:r>
          </w:p>
        </w:tc>
        <w:tc>
          <w:tcPr>
            <w:tcW w:w="862" w:type="dxa"/>
            <w:vAlign w:val="center"/>
            <w:hideMark/>
          </w:tcPr>
          <w:p w14:paraId="7ACF3116" w14:textId="4B32C0A2"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18.78%</w:t>
            </w:r>
          </w:p>
        </w:tc>
      </w:tr>
      <w:tr w:rsidR="00872105" w:rsidRPr="00DA3766" w14:paraId="67293095" w14:textId="77777777" w:rsidTr="00DA3766">
        <w:trPr>
          <w:trHeight w:val="397"/>
          <w:jc w:val="center"/>
        </w:trPr>
        <w:tc>
          <w:tcPr>
            <w:tcW w:w="704" w:type="dxa"/>
            <w:vMerge w:val="restart"/>
            <w:vAlign w:val="center"/>
            <w:hideMark/>
          </w:tcPr>
          <w:p w14:paraId="4A766F2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场地整体</w:t>
            </w:r>
          </w:p>
          <w:p w14:paraId="3C91FCF6"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解决方案</w:t>
            </w:r>
          </w:p>
        </w:tc>
        <w:tc>
          <w:tcPr>
            <w:tcW w:w="1277" w:type="dxa"/>
            <w:vAlign w:val="center"/>
            <w:hideMark/>
          </w:tcPr>
          <w:p w14:paraId="47A23725"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销售单价</w:t>
            </w:r>
          </w:p>
          <w:p w14:paraId="352A4EC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（万元）</w:t>
            </w:r>
          </w:p>
        </w:tc>
        <w:tc>
          <w:tcPr>
            <w:tcW w:w="861" w:type="dxa"/>
            <w:vAlign w:val="center"/>
            <w:hideMark/>
          </w:tcPr>
          <w:p w14:paraId="331BDA17" w14:textId="3F0DA02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3.22 </w:t>
            </w:r>
          </w:p>
        </w:tc>
        <w:tc>
          <w:tcPr>
            <w:tcW w:w="861" w:type="dxa"/>
            <w:vAlign w:val="center"/>
            <w:hideMark/>
          </w:tcPr>
          <w:p w14:paraId="4E8A82FD" w14:textId="4BE24C1B"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5.10 </w:t>
            </w:r>
          </w:p>
        </w:tc>
        <w:tc>
          <w:tcPr>
            <w:tcW w:w="862" w:type="dxa"/>
            <w:vAlign w:val="center"/>
          </w:tcPr>
          <w:p w14:paraId="32D00D8F" w14:textId="5018AC0F"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5.23 </w:t>
            </w:r>
          </w:p>
        </w:tc>
        <w:tc>
          <w:tcPr>
            <w:tcW w:w="862" w:type="dxa"/>
            <w:vAlign w:val="center"/>
            <w:hideMark/>
          </w:tcPr>
          <w:p w14:paraId="72A50522" w14:textId="1B8E0A9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3FC2CF8E" w14:textId="302E746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2FA14B23" w14:textId="722B6B42"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59CC3B4E" w14:textId="5E21E6B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0B0C0504" w14:textId="6E55E30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r>
      <w:tr w:rsidR="00872105" w:rsidRPr="00DA3766" w14:paraId="23A7B995" w14:textId="77777777" w:rsidTr="00DA3766">
        <w:trPr>
          <w:trHeight w:val="397"/>
          <w:jc w:val="center"/>
        </w:trPr>
        <w:tc>
          <w:tcPr>
            <w:tcW w:w="704" w:type="dxa"/>
            <w:vMerge/>
            <w:vAlign w:val="center"/>
          </w:tcPr>
          <w:p w14:paraId="3239C4EF"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6D44C184"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成本单价</w:t>
            </w:r>
          </w:p>
          <w:p w14:paraId="01C0C3BE"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（万元</w:t>
            </w:r>
            <w:r w:rsidRPr="00DA3766">
              <w:rPr>
                <w:rFonts w:ascii="Times New Roman" w:hAnsi="Times New Roman" w:cs="Times New Roman"/>
                <w:color w:val="000000"/>
                <w:kern w:val="2"/>
                <w:sz w:val="18"/>
                <w:szCs w:val="18"/>
                <w14:ligatures w14:val="standardContextual"/>
              </w:rPr>
              <w:t>/</w:t>
            </w:r>
            <w:r w:rsidRPr="00DA3766">
              <w:rPr>
                <w:rFonts w:ascii="Times New Roman" w:hAnsi="Times New Roman" w:cs="Times New Roman"/>
                <w:color w:val="000000"/>
                <w:kern w:val="2"/>
                <w:sz w:val="18"/>
                <w:szCs w:val="18"/>
                <w14:ligatures w14:val="standardContextual"/>
              </w:rPr>
              <w:t>个）</w:t>
            </w:r>
          </w:p>
        </w:tc>
        <w:tc>
          <w:tcPr>
            <w:tcW w:w="861" w:type="dxa"/>
            <w:vAlign w:val="center"/>
          </w:tcPr>
          <w:p w14:paraId="5B21FAF5" w14:textId="139B20B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2.04 </w:t>
            </w:r>
          </w:p>
        </w:tc>
        <w:tc>
          <w:tcPr>
            <w:tcW w:w="861" w:type="dxa"/>
            <w:vAlign w:val="center"/>
          </w:tcPr>
          <w:p w14:paraId="41A565EB" w14:textId="2BE7002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2.90 </w:t>
            </w:r>
          </w:p>
        </w:tc>
        <w:tc>
          <w:tcPr>
            <w:tcW w:w="862" w:type="dxa"/>
            <w:vAlign w:val="center"/>
          </w:tcPr>
          <w:p w14:paraId="0143BBD8" w14:textId="2B29BA9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2.90 </w:t>
            </w:r>
          </w:p>
        </w:tc>
        <w:tc>
          <w:tcPr>
            <w:tcW w:w="862" w:type="dxa"/>
            <w:vAlign w:val="center"/>
          </w:tcPr>
          <w:p w14:paraId="1E8A0E49" w14:textId="50118E3A"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3152BE91" w14:textId="6AE0D38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4E65A0EC" w14:textId="2AE6360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2BDB5092" w14:textId="5A35B83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17AEB022" w14:textId="7DB78DA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r>
      <w:tr w:rsidR="00872105" w:rsidRPr="00DA3766" w14:paraId="45B25619" w14:textId="77777777" w:rsidTr="00DA3766">
        <w:trPr>
          <w:trHeight w:val="397"/>
          <w:jc w:val="center"/>
        </w:trPr>
        <w:tc>
          <w:tcPr>
            <w:tcW w:w="704" w:type="dxa"/>
            <w:vMerge/>
            <w:vAlign w:val="center"/>
          </w:tcPr>
          <w:p w14:paraId="7487499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051E219C"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毛利率</w:t>
            </w:r>
          </w:p>
        </w:tc>
        <w:tc>
          <w:tcPr>
            <w:tcW w:w="861" w:type="dxa"/>
            <w:vAlign w:val="center"/>
          </w:tcPr>
          <w:p w14:paraId="6FFC20BB" w14:textId="0C54CEE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36.74%</w:t>
            </w:r>
          </w:p>
        </w:tc>
        <w:tc>
          <w:tcPr>
            <w:tcW w:w="861" w:type="dxa"/>
            <w:vAlign w:val="center"/>
          </w:tcPr>
          <w:p w14:paraId="36809594" w14:textId="290DCF6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43.23%</w:t>
            </w:r>
          </w:p>
        </w:tc>
        <w:tc>
          <w:tcPr>
            <w:tcW w:w="862" w:type="dxa"/>
            <w:vAlign w:val="center"/>
          </w:tcPr>
          <w:p w14:paraId="7DF71B1D" w14:textId="00436230"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44.59%</w:t>
            </w:r>
          </w:p>
        </w:tc>
        <w:tc>
          <w:tcPr>
            <w:tcW w:w="862" w:type="dxa"/>
            <w:vAlign w:val="center"/>
          </w:tcPr>
          <w:p w14:paraId="0BD82B43" w14:textId="752AE3B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7F006966" w14:textId="7190F2F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4DD879DF" w14:textId="19E2D34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04C837C2" w14:textId="1DB9A17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100FB57E" w14:textId="2A88AD8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r>
      <w:tr w:rsidR="00872105" w:rsidRPr="00DA3766" w14:paraId="586A3962" w14:textId="77777777" w:rsidTr="00DA3766">
        <w:trPr>
          <w:trHeight w:val="397"/>
          <w:jc w:val="center"/>
        </w:trPr>
        <w:tc>
          <w:tcPr>
            <w:tcW w:w="1981" w:type="dxa"/>
            <w:gridSpan w:val="2"/>
            <w:vAlign w:val="center"/>
            <w:hideMark/>
          </w:tcPr>
          <w:p w14:paraId="659DE72E"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bCs/>
                <w:color w:val="000000"/>
                <w:kern w:val="2"/>
                <w:sz w:val="18"/>
                <w:szCs w:val="18"/>
                <w14:ligatures w14:val="standardContextual"/>
              </w:rPr>
              <w:t>综合毛利率</w:t>
            </w:r>
          </w:p>
        </w:tc>
        <w:tc>
          <w:tcPr>
            <w:tcW w:w="861" w:type="dxa"/>
            <w:vAlign w:val="center"/>
            <w:hideMark/>
          </w:tcPr>
          <w:p w14:paraId="75BAB157" w14:textId="00916FD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30.90%</w:t>
            </w:r>
          </w:p>
        </w:tc>
        <w:tc>
          <w:tcPr>
            <w:tcW w:w="861" w:type="dxa"/>
            <w:vAlign w:val="center"/>
            <w:hideMark/>
          </w:tcPr>
          <w:p w14:paraId="16324A73" w14:textId="62ABB293"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37.55%</w:t>
            </w:r>
          </w:p>
        </w:tc>
        <w:tc>
          <w:tcPr>
            <w:tcW w:w="862" w:type="dxa"/>
            <w:vAlign w:val="center"/>
          </w:tcPr>
          <w:p w14:paraId="225ECA5D" w14:textId="2E0473D3"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37.38%</w:t>
            </w:r>
          </w:p>
        </w:tc>
        <w:tc>
          <w:tcPr>
            <w:tcW w:w="862" w:type="dxa"/>
            <w:vAlign w:val="center"/>
            <w:hideMark/>
          </w:tcPr>
          <w:p w14:paraId="2986082F" w14:textId="4AB91F3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36.22%</w:t>
            </w:r>
          </w:p>
        </w:tc>
        <w:tc>
          <w:tcPr>
            <w:tcW w:w="862" w:type="dxa"/>
            <w:vAlign w:val="center"/>
            <w:hideMark/>
          </w:tcPr>
          <w:p w14:paraId="15F4C7F9" w14:textId="2FAF5B0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34.72%</w:t>
            </w:r>
          </w:p>
        </w:tc>
        <w:tc>
          <w:tcPr>
            <w:tcW w:w="862" w:type="dxa"/>
            <w:vAlign w:val="center"/>
            <w:hideMark/>
          </w:tcPr>
          <w:p w14:paraId="6AA84736" w14:textId="37F61F6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33.86%</w:t>
            </w:r>
          </w:p>
        </w:tc>
        <w:tc>
          <w:tcPr>
            <w:tcW w:w="862" w:type="dxa"/>
            <w:vAlign w:val="center"/>
            <w:hideMark/>
          </w:tcPr>
          <w:p w14:paraId="54C0E5D1" w14:textId="083BDBCA"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32.99%</w:t>
            </w:r>
          </w:p>
        </w:tc>
        <w:tc>
          <w:tcPr>
            <w:tcW w:w="862" w:type="dxa"/>
            <w:vAlign w:val="center"/>
            <w:hideMark/>
          </w:tcPr>
          <w:p w14:paraId="073D5ECB" w14:textId="6508EE7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32.29%</w:t>
            </w:r>
          </w:p>
        </w:tc>
      </w:tr>
    </w:tbl>
    <w:p w14:paraId="7E2841CF"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）测算过程、测算依据及合理性分析</w:t>
      </w:r>
    </w:p>
    <w:p w14:paraId="6971A0E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）非场地设备的销售毛利率测算过程、测算依据及合理性分析</w:t>
      </w:r>
    </w:p>
    <w:p w14:paraId="47369DC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报告期内，标的公司非场地设备及其他的成本单价有所上升，毛利率有所下降，主要系由于报告期内应用场景销售收入结构有所变化，销售毛利率较低的智</w:t>
      </w:r>
      <w:r w:rsidRPr="00DA3766">
        <w:rPr>
          <w:rFonts w:ascii="Times New Roman" w:hAnsi="Times New Roman" w:cs="Times New Roman"/>
          <w:kern w:val="2"/>
          <w:szCs w:val="22"/>
        </w:rPr>
        <w:lastRenderedPageBreak/>
        <w:t>慧出行类</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智能硬件收入占比持续增长，使得非场地设备整体</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智能硬件毛利率有所下降。</w:t>
      </w:r>
    </w:p>
    <w:p w14:paraId="154EB4C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预测期内，标的公司非场地设备单位成本主要参照历史期间水平，并结合硬件下游应用场景的市场需求情况综合确定，整体毛利率预测情况具备合理性。</w:t>
      </w:r>
    </w:p>
    <w:p w14:paraId="077B057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）场地整体解决方案的销售毛利率测算过程、测算依据及合理性分析</w:t>
      </w:r>
    </w:p>
    <w:p w14:paraId="158CD29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报告期内，标的公司场地整体解决方案销售成本单价有所上升，但整体毛利率有所上升，主要系标的公司于</w:t>
      </w:r>
      <w:r w:rsidRPr="00DA3766">
        <w:rPr>
          <w:rFonts w:ascii="Times New Roman" w:hAnsi="Times New Roman" w:cs="Times New Roman"/>
          <w:kern w:val="2"/>
          <w:szCs w:val="22"/>
        </w:rPr>
        <w:t>2024</w:t>
      </w:r>
      <w:r w:rsidRPr="00DA3766">
        <w:rPr>
          <w:rFonts w:ascii="Times New Roman" w:hAnsi="Times New Roman" w:cs="Times New Roman"/>
          <w:kern w:val="2"/>
          <w:szCs w:val="22"/>
        </w:rPr>
        <w:t>年度进一步优化和丰富场地整体解决方案内容，使得单场地的收入及成本均有所增加，规模化销售后带动毛利率有所上升。预测期内，上述销售方案会持续推广，故对标的公司场地整体解决方案单位成本预计将维持稳定，进而毛利率亦按稳定水平预测。</w:t>
      </w:r>
    </w:p>
    <w:p w14:paraId="56788F9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智能硬件类业务预测期各年度毛利率预测情况、测算过程、测算依据具备合理性。</w:t>
      </w:r>
    </w:p>
    <w:p w14:paraId="6A29D41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云平台业务</w:t>
      </w:r>
    </w:p>
    <w:p w14:paraId="61BB868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7225882A"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云平台业务可提供商家服务、会员服务和收单外包服务，主</w:t>
      </w:r>
      <w:r w:rsidRPr="004C2193">
        <w:rPr>
          <w:rFonts w:ascii="Times New Roman" w:hAnsi="Times New Roman" w:cs="Times New Roman"/>
          <w:spacing w:val="-4"/>
          <w:kern w:val="2"/>
          <w:szCs w:val="22"/>
        </w:rPr>
        <w:t>要包括面向智能自助设备运营商等客户提供基础</w:t>
      </w:r>
      <w:r w:rsidRPr="004C2193">
        <w:rPr>
          <w:rFonts w:ascii="Times New Roman" w:hAnsi="Times New Roman" w:cs="Times New Roman"/>
          <w:spacing w:val="-4"/>
          <w:kern w:val="2"/>
          <w:szCs w:val="22"/>
        </w:rPr>
        <w:t>SaaS</w:t>
      </w:r>
      <w:r w:rsidRPr="004C2193">
        <w:rPr>
          <w:rFonts w:ascii="Times New Roman" w:hAnsi="Times New Roman" w:cs="Times New Roman"/>
          <w:spacing w:val="-4"/>
          <w:kern w:val="2"/>
          <w:szCs w:val="22"/>
        </w:rPr>
        <w:t>服务、增值</w:t>
      </w:r>
      <w:r w:rsidRPr="004C2193">
        <w:rPr>
          <w:rFonts w:ascii="Times New Roman" w:hAnsi="Times New Roman" w:cs="Times New Roman"/>
          <w:spacing w:val="-4"/>
          <w:kern w:val="2"/>
          <w:szCs w:val="22"/>
        </w:rPr>
        <w:t>SaaS</w:t>
      </w:r>
      <w:r w:rsidRPr="004C2193">
        <w:rPr>
          <w:rFonts w:ascii="Times New Roman" w:hAnsi="Times New Roman" w:cs="Times New Roman"/>
          <w:spacing w:val="-4"/>
          <w:kern w:val="2"/>
          <w:szCs w:val="22"/>
        </w:rPr>
        <w:t>服务等多元化</w:t>
      </w:r>
      <w:r w:rsidRPr="004C2193">
        <w:rPr>
          <w:rFonts w:ascii="Times New Roman" w:hAnsi="Times New Roman" w:cs="Times New Roman"/>
          <w:spacing w:val="-4"/>
          <w:kern w:val="2"/>
          <w:szCs w:val="22"/>
        </w:rPr>
        <w:t>SaaS</w:t>
      </w:r>
      <w:r w:rsidRPr="004C2193">
        <w:rPr>
          <w:rFonts w:ascii="Times New Roman" w:hAnsi="Times New Roman" w:cs="Times New Roman"/>
          <w:spacing w:val="-4"/>
          <w:kern w:val="2"/>
          <w:szCs w:val="22"/>
        </w:rPr>
        <w:t>服务，面向终端消费者群体提供各类服务套餐和相关定制服务，以及与第三方持牌支付机构开展收单外包合作。未来标的公司将通过不断丰富服务内容、提升产品价值、扩大服务规模等方式推动</w:t>
      </w:r>
      <w:r w:rsidRPr="004C2193">
        <w:rPr>
          <w:rFonts w:ascii="Times New Roman" w:hAnsi="Times New Roman" w:cs="Times New Roman"/>
          <w:spacing w:val="-4"/>
          <w:kern w:val="2"/>
          <w:szCs w:val="22"/>
        </w:rPr>
        <w:t>SaaS</w:t>
      </w:r>
      <w:r w:rsidRPr="004C2193">
        <w:rPr>
          <w:rFonts w:ascii="Times New Roman" w:hAnsi="Times New Roman" w:cs="Times New Roman"/>
          <w:spacing w:val="-4"/>
          <w:kern w:val="2"/>
          <w:szCs w:val="22"/>
        </w:rPr>
        <w:t>云平台的业务收入的持续增长。本次评估对标的公司未来</w:t>
      </w:r>
      <w:r w:rsidRPr="004C2193">
        <w:rPr>
          <w:rFonts w:ascii="Times New Roman" w:hAnsi="Times New Roman" w:cs="Times New Roman"/>
          <w:spacing w:val="-4"/>
          <w:kern w:val="2"/>
          <w:szCs w:val="22"/>
        </w:rPr>
        <w:t>SaaS</w:t>
      </w:r>
      <w:r w:rsidRPr="004C2193">
        <w:rPr>
          <w:rFonts w:ascii="Times New Roman" w:hAnsi="Times New Roman" w:cs="Times New Roman"/>
          <w:spacing w:val="-4"/>
          <w:kern w:val="2"/>
          <w:szCs w:val="22"/>
        </w:rPr>
        <w:t>云平台收入进行预测时，参考了历史经营数</w:t>
      </w:r>
      <w:r w:rsidRPr="00DA3766">
        <w:rPr>
          <w:rFonts w:ascii="Times New Roman" w:hAnsi="Times New Roman" w:cs="Times New Roman"/>
          <w:kern w:val="2"/>
          <w:szCs w:val="22"/>
        </w:rPr>
        <w:t>据，结合支付平台支付流水规模、会员用户数量规模、各类服务费率等因素进行综合预测。</w:t>
      </w:r>
    </w:p>
    <w:p w14:paraId="24E5B54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标的公司未来各期运营数据的预测，主要结合预测期内的活跃设备数量，通</w:t>
      </w:r>
      <w:r w:rsidRPr="004C2193">
        <w:rPr>
          <w:rFonts w:ascii="Times New Roman" w:hAnsi="Times New Roman" w:cs="Times New Roman"/>
          <w:spacing w:val="-4"/>
          <w:kern w:val="2"/>
          <w:szCs w:val="22"/>
        </w:rPr>
        <w:t>过</w:t>
      </w:r>
      <w:r w:rsidRPr="004C2193">
        <w:rPr>
          <w:rFonts w:cs="Times New Roman"/>
          <w:spacing w:val="-4"/>
          <w:kern w:val="2"/>
          <w:szCs w:val="22"/>
        </w:rPr>
        <w:t>“</w:t>
      </w:r>
      <w:r w:rsidRPr="004C2193">
        <w:rPr>
          <w:rFonts w:ascii="Times New Roman" w:hAnsi="Times New Roman" w:cs="Times New Roman"/>
          <w:spacing w:val="-4"/>
          <w:kern w:val="2"/>
          <w:szCs w:val="22"/>
        </w:rPr>
        <w:t>当期运营数据</w:t>
      </w:r>
      <w:r w:rsidRPr="004C2193">
        <w:rPr>
          <w:rFonts w:ascii="Times New Roman" w:hAnsi="Times New Roman" w:cs="Times New Roman"/>
          <w:spacing w:val="-4"/>
          <w:kern w:val="2"/>
          <w:szCs w:val="22"/>
        </w:rPr>
        <w:t>=</w:t>
      </w:r>
      <w:r w:rsidRPr="004C2193">
        <w:rPr>
          <w:rFonts w:ascii="Times New Roman" w:hAnsi="Times New Roman" w:cs="Times New Roman"/>
          <w:spacing w:val="-4"/>
          <w:kern w:val="2"/>
          <w:szCs w:val="22"/>
        </w:rPr>
        <w:t>当期活跃设备数量</w:t>
      </w:r>
      <w:r w:rsidRPr="004C2193">
        <w:rPr>
          <w:rFonts w:ascii="Times New Roman" w:hAnsi="Times New Roman" w:cs="Times New Roman"/>
          <w:spacing w:val="-4"/>
          <w:kern w:val="2"/>
          <w:szCs w:val="22"/>
        </w:rPr>
        <w:t>×</w:t>
      </w:r>
      <w:r w:rsidRPr="004C2193">
        <w:rPr>
          <w:rFonts w:ascii="Times New Roman" w:hAnsi="Times New Roman" w:cs="Times New Roman"/>
          <w:spacing w:val="-4"/>
          <w:kern w:val="2"/>
          <w:szCs w:val="22"/>
        </w:rPr>
        <w:t>单设备运营数据</w:t>
      </w:r>
      <w:r w:rsidRPr="004C2193">
        <w:rPr>
          <w:rFonts w:cs="Times New Roman"/>
          <w:spacing w:val="-4"/>
          <w:kern w:val="2"/>
          <w:szCs w:val="22"/>
        </w:rPr>
        <w:t>”</w:t>
      </w:r>
      <w:r w:rsidRPr="004C2193">
        <w:rPr>
          <w:rFonts w:ascii="Times New Roman" w:hAnsi="Times New Roman" w:cs="Times New Roman"/>
          <w:spacing w:val="-4"/>
          <w:kern w:val="2"/>
          <w:szCs w:val="22"/>
        </w:rPr>
        <w:t>的计算模型，得出各期运营数据的预测值。在运营数据中，支付流水金额主要影响商家服务业务和收单外包服务业务收入的测算，支付用户数影响会员服务业务收入的测算，具体情况如下：</w:t>
      </w:r>
    </w:p>
    <w:p w14:paraId="0440FAE1" w14:textId="78D0FFB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C33C4B">
        <w:rPr>
          <w:rFonts w:ascii="Times New Roman" w:hAnsi="Times New Roman" w:cs="Times New Roman" w:hint="eastAsia"/>
          <w:b/>
          <w:bCs/>
          <w:kern w:val="2"/>
          <w:szCs w:val="28"/>
        </w:rPr>
        <w:t>1</w:t>
      </w:r>
      <w:r w:rsidRPr="00DA3766">
        <w:rPr>
          <w:rFonts w:ascii="Times New Roman" w:hAnsi="Times New Roman" w:cs="Times New Roman"/>
          <w:b/>
          <w:bCs/>
          <w:kern w:val="2"/>
          <w:szCs w:val="28"/>
        </w:rPr>
        <w:t>）商家服务业务收入预测情况、测算过程、测算依据及其合理性</w:t>
      </w:r>
    </w:p>
    <w:p w14:paraId="4BE53BDD" w14:textId="77777777" w:rsidR="00EB3B4C" w:rsidRPr="00DA3766" w:rsidRDefault="00EB3B4C" w:rsidP="004C2193">
      <w:pPr>
        <w:pStyle w:val="005"/>
        <w:spacing w:before="120" w:after="120"/>
        <w:ind w:firstLine="480"/>
      </w:pPr>
      <w:r w:rsidRPr="00DA3766">
        <w:t>1</w:t>
      </w:r>
      <w:r w:rsidRPr="00DA3766">
        <w:t>）非场地设备类商家服务</w:t>
      </w:r>
    </w:p>
    <w:p w14:paraId="34367AFB" w14:textId="77777777" w:rsidR="00EB3B4C" w:rsidRPr="00DA3766" w:rsidRDefault="00EB3B4C" w:rsidP="004C2193">
      <w:pPr>
        <w:pStyle w:val="005"/>
        <w:spacing w:before="120" w:after="120"/>
        <w:ind w:firstLine="480"/>
      </w:pPr>
      <w:r w:rsidRPr="00DA3766">
        <w:lastRenderedPageBreak/>
        <w:t>非场地设备类商家服务业务收入预测主要依据商家流水及相应的收入转化率进行测算，其中商家流水与运营数据中的非场地设备年度支付金额一致。报告期及预测期内商家服务的收入预测情况如下：</w:t>
      </w:r>
    </w:p>
    <w:p w14:paraId="2918C60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59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936"/>
        <w:gridCol w:w="847"/>
        <w:gridCol w:w="866"/>
        <w:gridCol w:w="1079"/>
        <w:gridCol w:w="1079"/>
        <w:gridCol w:w="1079"/>
        <w:gridCol w:w="1079"/>
        <w:gridCol w:w="1077"/>
      </w:tblGrid>
      <w:tr w:rsidR="00EB3B4C" w:rsidRPr="00DA3766" w14:paraId="51102FD6" w14:textId="77777777" w:rsidTr="00582BF8">
        <w:trPr>
          <w:trHeight w:val="397"/>
          <w:tblHeader/>
          <w:jc w:val="center"/>
        </w:trPr>
        <w:tc>
          <w:tcPr>
            <w:tcW w:w="782" w:type="pct"/>
            <w:vMerge w:val="restart"/>
            <w:vAlign w:val="center"/>
          </w:tcPr>
          <w:p w14:paraId="3671C207"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1389" w:type="pct"/>
            <w:gridSpan w:val="3"/>
            <w:vAlign w:val="center"/>
          </w:tcPr>
          <w:p w14:paraId="452D44F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2829" w:type="pct"/>
            <w:gridSpan w:val="5"/>
            <w:vAlign w:val="center"/>
          </w:tcPr>
          <w:p w14:paraId="74BB509B"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582BF8" w:rsidRPr="00DA3766" w14:paraId="2438123B" w14:textId="77777777" w:rsidTr="00582BF8">
        <w:trPr>
          <w:trHeight w:val="397"/>
          <w:tblHeader/>
          <w:jc w:val="center"/>
        </w:trPr>
        <w:tc>
          <w:tcPr>
            <w:tcW w:w="782" w:type="pct"/>
            <w:vMerge/>
            <w:vAlign w:val="center"/>
            <w:hideMark/>
          </w:tcPr>
          <w:p w14:paraId="75080360"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491" w:type="pct"/>
            <w:vAlign w:val="center"/>
            <w:hideMark/>
          </w:tcPr>
          <w:p w14:paraId="4F766386"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r w:rsidRPr="00DA3766">
              <w:rPr>
                <w:rFonts w:ascii="Times New Roman" w:hAnsi="Times New Roman" w:cs="Times New Roman"/>
                <w:b/>
                <w:color w:val="000000"/>
                <w:sz w:val="18"/>
                <w:szCs w:val="21"/>
              </w:rPr>
              <w:t>年</w:t>
            </w:r>
          </w:p>
        </w:tc>
        <w:tc>
          <w:tcPr>
            <w:tcW w:w="444" w:type="pct"/>
            <w:vAlign w:val="center"/>
            <w:hideMark/>
          </w:tcPr>
          <w:p w14:paraId="0BD4EA0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r w:rsidRPr="00DA3766">
              <w:rPr>
                <w:rFonts w:ascii="Times New Roman" w:hAnsi="Times New Roman" w:cs="Times New Roman"/>
                <w:b/>
                <w:color w:val="000000"/>
                <w:sz w:val="18"/>
                <w:szCs w:val="21"/>
              </w:rPr>
              <w:t>年</w:t>
            </w:r>
          </w:p>
        </w:tc>
        <w:tc>
          <w:tcPr>
            <w:tcW w:w="454" w:type="pct"/>
            <w:vAlign w:val="center"/>
            <w:hideMark/>
          </w:tcPr>
          <w:p w14:paraId="0222693C"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566" w:type="pct"/>
            <w:vAlign w:val="center"/>
            <w:hideMark/>
          </w:tcPr>
          <w:p w14:paraId="7D2BC4BC"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年度</w:t>
            </w:r>
          </w:p>
        </w:tc>
        <w:tc>
          <w:tcPr>
            <w:tcW w:w="566" w:type="pct"/>
            <w:vAlign w:val="center"/>
            <w:hideMark/>
          </w:tcPr>
          <w:p w14:paraId="13276B5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年度</w:t>
            </w:r>
          </w:p>
        </w:tc>
        <w:tc>
          <w:tcPr>
            <w:tcW w:w="566" w:type="pct"/>
            <w:vAlign w:val="center"/>
            <w:hideMark/>
          </w:tcPr>
          <w:p w14:paraId="6A4EC47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年度</w:t>
            </w:r>
          </w:p>
        </w:tc>
        <w:tc>
          <w:tcPr>
            <w:tcW w:w="566" w:type="pct"/>
            <w:vAlign w:val="center"/>
            <w:hideMark/>
          </w:tcPr>
          <w:p w14:paraId="6AD523A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年度</w:t>
            </w:r>
          </w:p>
        </w:tc>
        <w:tc>
          <w:tcPr>
            <w:tcW w:w="563" w:type="pct"/>
            <w:vAlign w:val="center"/>
            <w:hideMark/>
          </w:tcPr>
          <w:p w14:paraId="0DC6F1D4"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年度</w:t>
            </w:r>
          </w:p>
        </w:tc>
      </w:tr>
      <w:tr w:rsidR="00582BF8" w:rsidRPr="00DA3766" w14:paraId="004D03C8" w14:textId="77777777" w:rsidTr="00582BF8">
        <w:trPr>
          <w:trHeight w:val="397"/>
          <w:jc w:val="center"/>
        </w:trPr>
        <w:tc>
          <w:tcPr>
            <w:tcW w:w="782" w:type="pct"/>
            <w:vAlign w:val="center"/>
            <w:hideMark/>
          </w:tcPr>
          <w:p w14:paraId="16202E76"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支付流水金额</w:t>
            </w:r>
            <w:r w:rsidRPr="00DA3766">
              <w:rPr>
                <w:rFonts w:ascii="Times New Roman" w:hAnsi="Times New Roman" w:cs="Times New Roman"/>
                <w:color w:val="000000"/>
                <w:sz w:val="18"/>
                <w:szCs w:val="21"/>
              </w:rPr>
              <w:t>A</w:t>
            </w:r>
          </w:p>
        </w:tc>
        <w:tc>
          <w:tcPr>
            <w:tcW w:w="491" w:type="pct"/>
            <w:vAlign w:val="center"/>
            <w:hideMark/>
          </w:tcPr>
          <w:p w14:paraId="6BA3343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1,031,116 </w:t>
            </w:r>
          </w:p>
        </w:tc>
        <w:tc>
          <w:tcPr>
            <w:tcW w:w="444" w:type="pct"/>
            <w:vAlign w:val="center"/>
            <w:hideMark/>
          </w:tcPr>
          <w:p w14:paraId="6F17098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981,985 </w:t>
            </w:r>
          </w:p>
        </w:tc>
        <w:tc>
          <w:tcPr>
            <w:tcW w:w="454" w:type="pct"/>
            <w:vAlign w:val="center"/>
            <w:hideMark/>
          </w:tcPr>
          <w:p w14:paraId="61D5817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434,597 </w:t>
            </w:r>
          </w:p>
        </w:tc>
        <w:tc>
          <w:tcPr>
            <w:tcW w:w="566" w:type="pct"/>
            <w:vAlign w:val="center"/>
            <w:hideMark/>
          </w:tcPr>
          <w:p w14:paraId="56D3C09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1,015,925 </w:t>
            </w:r>
          </w:p>
        </w:tc>
        <w:tc>
          <w:tcPr>
            <w:tcW w:w="566" w:type="pct"/>
            <w:vAlign w:val="center"/>
            <w:hideMark/>
          </w:tcPr>
          <w:p w14:paraId="148F3F7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1,050,000 </w:t>
            </w:r>
          </w:p>
        </w:tc>
        <w:tc>
          <w:tcPr>
            <w:tcW w:w="566" w:type="pct"/>
            <w:vAlign w:val="center"/>
            <w:hideMark/>
          </w:tcPr>
          <w:p w14:paraId="568261F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1,084,769 </w:t>
            </w:r>
          </w:p>
        </w:tc>
        <w:tc>
          <w:tcPr>
            <w:tcW w:w="566" w:type="pct"/>
            <w:vAlign w:val="center"/>
            <w:hideMark/>
          </w:tcPr>
          <w:p w14:paraId="62F5213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1,115,751 </w:t>
            </w:r>
          </w:p>
        </w:tc>
        <w:tc>
          <w:tcPr>
            <w:tcW w:w="563" w:type="pct"/>
            <w:vAlign w:val="center"/>
            <w:hideMark/>
          </w:tcPr>
          <w:p w14:paraId="7108F9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1,146,878 </w:t>
            </w:r>
          </w:p>
        </w:tc>
      </w:tr>
      <w:tr w:rsidR="00582BF8" w:rsidRPr="00DA3766" w14:paraId="5C0CA7CB" w14:textId="77777777" w:rsidTr="00582BF8">
        <w:trPr>
          <w:trHeight w:val="397"/>
          <w:jc w:val="center"/>
        </w:trPr>
        <w:tc>
          <w:tcPr>
            <w:tcW w:w="782" w:type="pct"/>
            <w:vAlign w:val="center"/>
            <w:hideMark/>
          </w:tcPr>
          <w:p w14:paraId="2596B2A6"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收入流水转化率</w:t>
            </w:r>
            <w:r w:rsidRPr="00DA3766">
              <w:rPr>
                <w:rFonts w:ascii="Times New Roman" w:hAnsi="Times New Roman" w:cs="Times New Roman"/>
                <w:color w:val="000000"/>
                <w:sz w:val="18"/>
                <w:szCs w:val="21"/>
              </w:rPr>
              <w:t>B</w:t>
            </w:r>
          </w:p>
        </w:tc>
        <w:tc>
          <w:tcPr>
            <w:tcW w:w="491" w:type="pct"/>
            <w:vAlign w:val="center"/>
            <w:hideMark/>
          </w:tcPr>
          <w:p w14:paraId="21505D7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0.96%</w:t>
            </w:r>
          </w:p>
        </w:tc>
        <w:tc>
          <w:tcPr>
            <w:tcW w:w="444" w:type="pct"/>
            <w:vAlign w:val="center"/>
            <w:hideMark/>
          </w:tcPr>
          <w:p w14:paraId="231EEB0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0.87%</w:t>
            </w:r>
          </w:p>
        </w:tc>
        <w:tc>
          <w:tcPr>
            <w:tcW w:w="454" w:type="pct"/>
            <w:vAlign w:val="center"/>
            <w:hideMark/>
          </w:tcPr>
          <w:p w14:paraId="742A95D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66" w:type="pct"/>
            <w:vAlign w:val="center"/>
            <w:hideMark/>
          </w:tcPr>
          <w:p w14:paraId="20C2A14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0.93%</w:t>
            </w:r>
          </w:p>
        </w:tc>
        <w:tc>
          <w:tcPr>
            <w:tcW w:w="566" w:type="pct"/>
            <w:vAlign w:val="center"/>
            <w:hideMark/>
          </w:tcPr>
          <w:p w14:paraId="65B23B1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0.93%</w:t>
            </w:r>
          </w:p>
        </w:tc>
        <w:tc>
          <w:tcPr>
            <w:tcW w:w="566" w:type="pct"/>
            <w:vAlign w:val="center"/>
            <w:hideMark/>
          </w:tcPr>
          <w:p w14:paraId="0190FB4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0.94%</w:t>
            </w:r>
          </w:p>
        </w:tc>
        <w:tc>
          <w:tcPr>
            <w:tcW w:w="566" w:type="pct"/>
            <w:vAlign w:val="center"/>
            <w:hideMark/>
          </w:tcPr>
          <w:p w14:paraId="3205AA0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0.95%</w:t>
            </w:r>
          </w:p>
        </w:tc>
        <w:tc>
          <w:tcPr>
            <w:tcW w:w="563" w:type="pct"/>
            <w:vAlign w:val="center"/>
            <w:hideMark/>
          </w:tcPr>
          <w:p w14:paraId="1E591F2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0.96%</w:t>
            </w:r>
          </w:p>
        </w:tc>
      </w:tr>
      <w:tr w:rsidR="00582BF8" w:rsidRPr="00DA3766" w14:paraId="0F73CCDA" w14:textId="77777777" w:rsidTr="00582BF8">
        <w:trPr>
          <w:trHeight w:val="397"/>
          <w:jc w:val="center"/>
        </w:trPr>
        <w:tc>
          <w:tcPr>
            <w:tcW w:w="782" w:type="pct"/>
            <w:vAlign w:val="center"/>
          </w:tcPr>
          <w:p w14:paraId="6C8DF4AB"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商家服务销售收入</w:t>
            </w:r>
            <w:r w:rsidRPr="00DA3766">
              <w:rPr>
                <w:rFonts w:ascii="Times New Roman" w:hAnsi="Times New Roman" w:cs="Times New Roman"/>
                <w:b/>
                <w:bCs/>
                <w:color w:val="000000"/>
                <w:sz w:val="18"/>
                <w:szCs w:val="21"/>
              </w:rPr>
              <w:t>C=A*B</w:t>
            </w:r>
          </w:p>
        </w:tc>
        <w:tc>
          <w:tcPr>
            <w:tcW w:w="491" w:type="pct"/>
            <w:vAlign w:val="center"/>
          </w:tcPr>
          <w:p w14:paraId="1CF02515"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9,866.13 </w:t>
            </w:r>
          </w:p>
        </w:tc>
        <w:tc>
          <w:tcPr>
            <w:tcW w:w="444" w:type="pct"/>
            <w:vAlign w:val="center"/>
          </w:tcPr>
          <w:p w14:paraId="43CB4BE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8,495.40 </w:t>
            </w:r>
          </w:p>
        </w:tc>
        <w:tc>
          <w:tcPr>
            <w:tcW w:w="454" w:type="pct"/>
            <w:vAlign w:val="center"/>
          </w:tcPr>
          <w:p w14:paraId="692BBC6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4,334.30 </w:t>
            </w:r>
          </w:p>
        </w:tc>
        <w:tc>
          <w:tcPr>
            <w:tcW w:w="566" w:type="pct"/>
            <w:vAlign w:val="center"/>
          </w:tcPr>
          <w:p w14:paraId="4DE6987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9,399.37 </w:t>
            </w:r>
          </w:p>
        </w:tc>
        <w:tc>
          <w:tcPr>
            <w:tcW w:w="566" w:type="pct"/>
            <w:vAlign w:val="center"/>
          </w:tcPr>
          <w:p w14:paraId="22734AF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9,783.93 </w:t>
            </w:r>
          </w:p>
        </w:tc>
        <w:tc>
          <w:tcPr>
            <w:tcW w:w="566" w:type="pct"/>
            <w:vAlign w:val="center"/>
          </w:tcPr>
          <w:p w14:paraId="3C10DC9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10,207.99 </w:t>
            </w:r>
          </w:p>
        </w:tc>
        <w:tc>
          <w:tcPr>
            <w:tcW w:w="566" w:type="pct"/>
            <w:vAlign w:val="center"/>
          </w:tcPr>
          <w:p w14:paraId="6DEBA9C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10,579.05 </w:t>
            </w:r>
          </w:p>
        </w:tc>
        <w:tc>
          <w:tcPr>
            <w:tcW w:w="563" w:type="pct"/>
            <w:vAlign w:val="center"/>
          </w:tcPr>
          <w:p w14:paraId="04DC389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10,969.79 </w:t>
            </w:r>
          </w:p>
        </w:tc>
      </w:tr>
    </w:tbl>
    <w:p w14:paraId="6886926C" w14:textId="20EE11E9"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收入流水转化率存在一定波动，主要受宏观经济及消费环境影响。预测期内，收入流水转化率预计将逐步提升，主要基于下游业务场景中流水结构发生变化，收入流水转化率较高的智慧出行场景流水贡献预计将持续增长，此外随着促消费政策逐步见效，收入流水转化率也将进一步提高。综上，标的公司非场地设备类商家服务业务收入预测具备合理性。</w:t>
      </w:r>
    </w:p>
    <w:p w14:paraId="0DAC212A" w14:textId="77777777" w:rsidR="00EB3B4C" w:rsidRPr="00DA3766" w:rsidRDefault="00EB3B4C" w:rsidP="00DA3766">
      <w:pPr>
        <w:pStyle w:val="005"/>
        <w:spacing w:before="120" w:after="120"/>
        <w:ind w:firstLine="480"/>
      </w:pPr>
      <w:r w:rsidRPr="00DA3766">
        <w:t>2</w:t>
      </w:r>
      <w:r w:rsidRPr="00DA3766">
        <w:t>）场地整体解决方案类商家服务</w:t>
      </w:r>
    </w:p>
    <w:p w14:paraId="1F80F943" w14:textId="77777777" w:rsidR="00EB3B4C" w:rsidRPr="00DA3766" w:rsidRDefault="00EB3B4C" w:rsidP="00DA3766">
      <w:pPr>
        <w:pStyle w:val="005"/>
        <w:spacing w:before="120" w:after="120"/>
        <w:ind w:firstLine="480"/>
      </w:pPr>
      <w:r w:rsidRPr="00DA3766">
        <w:t>场地整体解决方案类商家服务业务由于其主要为商家提供按年度收取费用的云服务和运营等订阅服务，因此其收入预测主要依据销售单价和活跃场地数量进行测算，同时考虑了少量偶发性的其他商家服务收入。商家服务业务收入预测具体情况如下：</w:t>
      </w:r>
    </w:p>
    <w:tbl>
      <w:tblPr>
        <w:tblW w:w="55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960"/>
        <w:gridCol w:w="964"/>
        <w:gridCol w:w="989"/>
        <w:gridCol w:w="989"/>
        <w:gridCol w:w="989"/>
        <w:gridCol w:w="989"/>
        <w:gridCol w:w="989"/>
      </w:tblGrid>
      <w:tr w:rsidR="00EB3B4C" w:rsidRPr="00582BF8" w14:paraId="58AEB401" w14:textId="77777777" w:rsidTr="00582BF8">
        <w:trPr>
          <w:trHeight w:val="397"/>
          <w:tblHeader/>
          <w:jc w:val="center"/>
        </w:trPr>
        <w:tc>
          <w:tcPr>
            <w:tcW w:w="1374" w:type="pct"/>
            <w:vMerge w:val="restart"/>
            <w:vAlign w:val="center"/>
          </w:tcPr>
          <w:p w14:paraId="31E7513D"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项目</w:t>
            </w:r>
            <w:r w:rsidRPr="00582BF8">
              <w:rPr>
                <w:rFonts w:ascii="Times New Roman" w:hAnsi="Times New Roman" w:cs="Times New Roman"/>
                <w:b/>
                <w:color w:val="000000"/>
                <w:sz w:val="18"/>
                <w:szCs w:val="18"/>
              </w:rPr>
              <w:t>\</w:t>
            </w:r>
            <w:r w:rsidRPr="00582BF8">
              <w:rPr>
                <w:rFonts w:ascii="Times New Roman" w:hAnsi="Times New Roman" w:cs="Times New Roman"/>
                <w:b/>
                <w:color w:val="000000"/>
                <w:sz w:val="18"/>
                <w:szCs w:val="18"/>
              </w:rPr>
              <w:t>年份</w:t>
            </w:r>
          </w:p>
        </w:tc>
        <w:tc>
          <w:tcPr>
            <w:tcW w:w="1016" w:type="pct"/>
            <w:gridSpan w:val="2"/>
            <w:vAlign w:val="center"/>
          </w:tcPr>
          <w:p w14:paraId="12245918"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报告期</w:t>
            </w:r>
          </w:p>
        </w:tc>
        <w:tc>
          <w:tcPr>
            <w:tcW w:w="2611" w:type="pct"/>
            <w:gridSpan w:val="5"/>
            <w:vAlign w:val="center"/>
          </w:tcPr>
          <w:p w14:paraId="177AAF95"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预测期</w:t>
            </w:r>
          </w:p>
        </w:tc>
      </w:tr>
      <w:tr w:rsidR="00EB3B4C" w:rsidRPr="00582BF8" w14:paraId="414BFCB6" w14:textId="77777777" w:rsidTr="00582BF8">
        <w:trPr>
          <w:trHeight w:val="397"/>
          <w:tblHeader/>
          <w:jc w:val="center"/>
        </w:trPr>
        <w:tc>
          <w:tcPr>
            <w:tcW w:w="1374" w:type="pct"/>
            <w:vMerge/>
            <w:vAlign w:val="center"/>
            <w:hideMark/>
          </w:tcPr>
          <w:p w14:paraId="413C7224"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p>
        </w:tc>
        <w:tc>
          <w:tcPr>
            <w:tcW w:w="507" w:type="pct"/>
            <w:vAlign w:val="center"/>
            <w:hideMark/>
          </w:tcPr>
          <w:p w14:paraId="46F39882" w14:textId="3DB49E95"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2023</w:t>
            </w:r>
            <w:r w:rsidRPr="00582BF8">
              <w:rPr>
                <w:rFonts w:ascii="Times New Roman" w:hAnsi="Times New Roman" w:cs="Times New Roman"/>
                <w:b/>
                <w:color w:val="000000"/>
                <w:sz w:val="18"/>
                <w:szCs w:val="18"/>
              </w:rPr>
              <w:t>年度</w:t>
            </w:r>
          </w:p>
        </w:tc>
        <w:tc>
          <w:tcPr>
            <w:tcW w:w="509" w:type="pct"/>
            <w:vAlign w:val="center"/>
            <w:hideMark/>
          </w:tcPr>
          <w:p w14:paraId="0A2E8D5E" w14:textId="55348475"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2024</w:t>
            </w:r>
            <w:r w:rsidRPr="00582BF8">
              <w:rPr>
                <w:rFonts w:ascii="Times New Roman" w:hAnsi="Times New Roman" w:cs="Times New Roman"/>
                <w:b/>
                <w:color w:val="000000"/>
                <w:sz w:val="18"/>
                <w:szCs w:val="18"/>
              </w:rPr>
              <w:t>年度</w:t>
            </w:r>
          </w:p>
        </w:tc>
        <w:tc>
          <w:tcPr>
            <w:tcW w:w="522" w:type="pct"/>
            <w:vAlign w:val="center"/>
          </w:tcPr>
          <w:p w14:paraId="36F21655" w14:textId="5ACA5D89"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年度</w:t>
            </w:r>
          </w:p>
        </w:tc>
        <w:tc>
          <w:tcPr>
            <w:tcW w:w="522" w:type="pct"/>
            <w:vAlign w:val="center"/>
          </w:tcPr>
          <w:p w14:paraId="004F83CA" w14:textId="2073333A"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2026</w:t>
            </w:r>
            <w:r w:rsidRPr="00582BF8">
              <w:rPr>
                <w:rFonts w:ascii="Times New Roman" w:hAnsi="Times New Roman" w:cs="Times New Roman"/>
                <w:b/>
                <w:color w:val="000000"/>
                <w:sz w:val="18"/>
                <w:szCs w:val="18"/>
              </w:rPr>
              <w:t>年度</w:t>
            </w:r>
          </w:p>
        </w:tc>
        <w:tc>
          <w:tcPr>
            <w:tcW w:w="522" w:type="pct"/>
            <w:vAlign w:val="center"/>
          </w:tcPr>
          <w:p w14:paraId="057F85BF" w14:textId="7E810578"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2027</w:t>
            </w:r>
            <w:r w:rsidRPr="00582BF8">
              <w:rPr>
                <w:rFonts w:ascii="Times New Roman" w:hAnsi="Times New Roman" w:cs="Times New Roman"/>
                <w:b/>
                <w:color w:val="000000"/>
                <w:sz w:val="18"/>
                <w:szCs w:val="18"/>
              </w:rPr>
              <w:t>年度</w:t>
            </w:r>
          </w:p>
        </w:tc>
        <w:tc>
          <w:tcPr>
            <w:tcW w:w="522" w:type="pct"/>
            <w:vAlign w:val="center"/>
          </w:tcPr>
          <w:p w14:paraId="083AAE0F" w14:textId="36BBBEC9"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2028</w:t>
            </w:r>
            <w:r w:rsidRPr="00582BF8">
              <w:rPr>
                <w:rFonts w:ascii="Times New Roman" w:hAnsi="Times New Roman" w:cs="Times New Roman"/>
                <w:b/>
                <w:color w:val="000000"/>
                <w:sz w:val="18"/>
                <w:szCs w:val="18"/>
              </w:rPr>
              <w:t>年度</w:t>
            </w:r>
          </w:p>
        </w:tc>
        <w:tc>
          <w:tcPr>
            <w:tcW w:w="522" w:type="pct"/>
            <w:vAlign w:val="center"/>
          </w:tcPr>
          <w:p w14:paraId="4E3423BE" w14:textId="5B92F7F7"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2029</w:t>
            </w:r>
            <w:r w:rsidRPr="00582BF8">
              <w:rPr>
                <w:rFonts w:ascii="Times New Roman" w:hAnsi="Times New Roman" w:cs="Times New Roman"/>
                <w:b/>
                <w:color w:val="000000"/>
                <w:sz w:val="18"/>
                <w:szCs w:val="18"/>
              </w:rPr>
              <w:t>年度</w:t>
            </w:r>
          </w:p>
        </w:tc>
      </w:tr>
      <w:tr w:rsidR="00EB3B4C" w:rsidRPr="00582BF8" w14:paraId="5BFC3D40" w14:textId="77777777" w:rsidTr="00582BF8">
        <w:trPr>
          <w:trHeight w:val="397"/>
          <w:jc w:val="center"/>
        </w:trPr>
        <w:tc>
          <w:tcPr>
            <w:tcW w:w="1374" w:type="pct"/>
            <w:vAlign w:val="center"/>
            <w:hideMark/>
          </w:tcPr>
          <w:p w14:paraId="1B2ABB9E"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订阅服务销售单价（元）</w:t>
            </w:r>
            <w:r w:rsidRPr="00582BF8">
              <w:rPr>
                <w:rFonts w:ascii="Times New Roman" w:hAnsi="Times New Roman" w:cs="Times New Roman"/>
                <w:color w:val="000000"/>
                <w:sz w:val="18"/>
                <w:szCs w:val="18"/>
              </w:rPr>
              <w:t>A</w:t>
            </w:r>
          </w:p>
        </w:tc>
        <w:tc>
          <w:tcPr>
            <w:tcW w:w="507" w:type="pct"/>
            <w:vAlign w:val="center"/>
            <w:hideMark/>
          </w:tcPr>
          <w:p w14:paraId="516C6CA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3,319</w:t>
            </w:r>
          </w:p>
        </w:tc>
        <w:tc>
          <w:tcPr>
            <w:tcW w:w="509" w:type="pct"/>
            <w:vAlign w:val="center"/>
            <w:hideMark/>
          </w:tcPr>
          <w:p w14:paraId="4790E46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2,532</w:t>
            </w:r>
          </w:p>
        </w:tc>
        <w:tc>
          <w:tcPr>
            <w:tcW w:w="522" w:type="pct"/>
            <w:vAlign w:val="center"/>
          </w:tcPr>
          <w:p w14:paraId="1C9679C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2,406</w:t>
            </w:r>
          </w:p>
        </w:tc>
        <w:tc>
          <w:tcPr>
            <w:tcW w:w="522" w:type="pct"/>
            <w:vAlign w:val="center"/>
          </w:tcPr>
          <w:p w14:paraId="53CA18D6"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2,310</w:t>
            </w:r>
          </w:p>
        </w:tc>
        <w:tc>
          <w:tcPr>
            <w:tcW w:w="522" w:type="pct"/>
            <w:vAlign w:val="center"/>
          </w:tcPr>
          <w:p w14:paraId="0B27B24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c>
          <w:tcPr>
            <w:tcW w:w="522" w:type="pct"/>
            <w:vAlign w:val="center"/>
          </w:tcPr>
          <w:p w14:paraId="0CEEC37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c>
          <w:tcPr>
            <w:tcW w:w="522" w:type="pct"/>
            <w:vAlign w:val="center"/>
          </w:tcPr>
          <w:p w14:paraId="3ECD106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r>
      <w:tr w:rsidR="00EB3B4C" w:rsidRPr="00582BF8" w14:paraId="4865B1A0" w14:textId="77777777" w:rsidTr="00582BF8">
        <w:trPr>
          <w:trHeight w:val="397"/>
          <w:jc w:val="center"/>
        </w:trPr>
        <w:tc>
          <w:tcPr>
            <w:tcW w:w="1374" w:type="pct"/>
            <w:vAlign w:val="center"/>
            <w:hideMark/>
          </w:tcPr>
          <w:p w14:paraId="76C6B2AA"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活跃场地数量（个）</w:t>
            </w:r>
            <w:r w:rsidRPr="00582BF8">
              <w:rPr>
                <w:rFonts w:ascii="Times New Roman" w:hAnsi="Times New Roman" w:cs="Times New Roman"/>
                <w:color w:val="000000"/>
                <w:sz w:val="18"/>
                <w:szCs w:val="18"/>
              </w:rPr>
              <w:t>B</w:t>
            </w:r>
          </w:p>
        </w:tc>
        <w:tc>
          <w:tcPr>
            <w:tcW w:w="507" w:type="pct"/>
            <w:vAlign w:val="center"/>
            <w:hideMark/>
          </w:tcPr>
          <w:p w14:paraId="3FC10B9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3,620</w:t>
            </w:r>
          </w:p>
        </w:tc>
        <w:tc>
          <w:tcPr>
            <w:tcW w:w="509" w:type="pct"/>
            <w:vAlign w:val="center"/>
            <w:hideMark/>
          </w:tcPr>
          <w:p w14:paraId="6BE73038"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5,399</w:t>
            </w:r>
          </w:p>
        </w:tc>
        <w:tc>
          <w:tcPr>
            <w:tcW w:w="522" w:type="pct"/>
            <w:vAlign w:val="center"/>
          </w:tcPr>
          <w:p w14:paraId="1F31B84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7,127</w:t>
            </w:r>
          </w:p>
        </w:tc>
        <w:tc>
          <w:tcPr>
            <w:tcW w:w="522" w:type="pct"/>
            <w:vAlign w:val="center"/>
          </w:tcPr>
          <w:p w14:paraId="5178217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8,742</w:t>
            </w:r>
          </w:p>
        </w:tc>
        <w:tc>
          <w:tcPr>
            <w:tcW w:w="522" w:type="pct"/>
            <w:vAlign w:val="center"/>
          </w:tcPr>
          <w:p w14:paraId="08A799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10,182</w:t>
            </w:r>
          </w:p>
        </w:tc>
        <w:tc>
          <w:tcPr>
            <w:tcW w:w="522" w:type="pct"/>
            <w:vAlign w:val="center"/>
          </w:tcPr>
          <w:p w14:paraId="20C279A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11,457</w:t>
            </w:r>
          </w:p>
        </w:tc>
        <w:tc>
          <w:tcPr>
            <w:tcW w:w="522" w:type="pct"/>
            <w:vAlign w:val="center"/>
          </w:tcPr>
          <w:p w14:paraId="5FC29F4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12,612</w:t>
            </w:r>
          </w:p>
        </w:tc>
      </w:tr>
      <w:tr w:rsidR="00EB3B4C" w:rsidRPr="00582BF8" w14:paraId="7FD7BECE" w14:textId="77777777" w:rsidTr="00582BF8">
        <w:trPr>
          <w:trHeight w:val="397"/>
          <w:jc w:val="center"/>
        </w:trPr>
        <w:tc>
          <w:tcPr>
            <w:tcW w:w="1374" w:type="pct"/>
            <w:vAlign w:val="center"/>
          </w:tcPr>
          <w:p w14:paraId="005C1581"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订阅式商家服务收入（万元）</w:t>
            </w:r>
            <w:r w:rsidRPr="00582BF8">
              <w:rPr>
                <w:rFonts w:ascii="Times New Roman" w:hAnsi="Times New Roman" w:cs="Times New Roman"/>
                <w:b/>
                <w:bCs/>
                <w:color w:val="000000"/>
                <w:sz w:val="18"/>
                <w:szCs w:val="18"/>
              </w:rPr>
              <w:t>C=A*B</w:t>
            </w:r>
          </w:p>
        </w:tc>
        <w:tc>
          <w:tcPr>
            <w:tcW w:w="507" w:type="pct"/>
            <w:vAlign w:val="center"/>
          </w:tcPr>
          <w:p w14:paraId="67B1A93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1,201.57</w:t>
            </w:r>
          </w:p>
        </w:tc>
        <w:tc>
          <w:tcPr>
            <w:tcW w:w="509" w:type="pct"/>
            <w:vAlign w:val="center"/>
          </w:tcPr>
          <w:p w14:paraId="25B4808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1,367.29</w:t>
            </w:r>
          </w:p>
        </w:tc>
        <w:tc>
          <w:tcPr>
            <w:tcW w:w="522" w:type="pct"/>
            <w:vAlign w:val="center"/>
          </w:tcPr>
          <w:p w14:paraId="18B3F7C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1,714.66</w:t>
            </w:r>
          </w:p>
        </w:tc>
        <w:tc>
          <w:tcPr>
            <w:tcW w:w="522" w:type="pct"/>
            <w:vAlign w:val="center"/>
          </w:tcPr>
          <w:p w14:paraId="4B35C91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2,019.07</w:t>
            </w:r>
          </w:p>
        </w:tc>
        <w:tc>
          <w:tcPr>
            <w:tcW w:w="522" w:type="pct"/>
            <w:vAlign w:val="center"/>
          </w:tcPr>
          <w:p w14:paraId="696F4BF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2,281.11</w:t>
            </w:r>
          </w:p>
        </w:tc>
        <w:tc>
          <w:tcPr>
            <w:tcW w:w="522" w:type="pct"/>
            <w:vAlign w:val="center"/>
          </w:tcPr>
          <w:p w14:paraId="6DC33FA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2,566.75</w:t>
            </w:r>
          </w:p>
        </w:tc>
        <w:tc>
          <w:tcPr>
            <w:tcW w:w="522" w:type="pct"/>
            <w:vAlign w:val="center"/>
          </w:tcPr>
          <w:p w14:paraId="766E4847"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2,825.51</w:t>
            </w:r>
          </w:p>
        </w:tc>
      </w:tr>
      <w:tr w:rsidR="00EB3B4C" w:rsidRPr="00582BF8" w14:paraId="02215751" w14:textId="77777777" w:rsidTr="00582BF8">
        <w:trPr>
          <w:trHeight w:val="397"/>
          <w:jc w:val="center"/>
        </w:trPr>
        <w:tc>
          <w:tcPr>
            <w:tcW w:w="1374" w:type="pct"/>
            <w:vAlign w:val="center"/>
            <w:hideMark/>
          </w:tcPr>
          <w:p w14:paraId="12BFDE26"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其他商家服务收入（万元）</w:t>
            </w:r>
            <w:r w:rsidRPr="00582BF8">
              <w:rPr>
                <w:rFonts w:ascii="Times New Roman" w:hAnsi="Times New Roman" w:cs="Times New Roman"/>
                <w:b/>
                <w:bCs/>
                <w:color w:val="000000"/>
                <w:sz w:val="18"/>
                <w:szCs w:val="18"/>
              </w:rPr>
              <w:t>D</w:t>
            </w:r>
          </w:p>
        </w:tc>
        <w:tc>
          <w:tcPr>
            <w:tcW w:w="507" w:type="pct"/>
            <w:vAlign w:val="center"/>
            <w:hideMark/>
          </w:tcPr>
          <w:p w14:paraId="65BA0E47"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353.49</w:t>
            </w:r>
          </w:p>
        </w:tc>
        <w:tc>
          <w:tcPr>
            <w:tcW w:w="509" w:type="pct"/>
            <w:vAlign w:val="center"/>
            <w:hideMark/>
          </w:tcPr>
          <w:p w14:paraId="2DC295A8"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220.60</w:t>
            </w:r>
          </w:p>
        </w:tc>
        <w:tc>
          <w:tcPr>
            <w:tcW w:w="522" w:type="pct"/>
            <w:vAlign w:val="center"/>
          </w:tcPr>
          <w:p w14:paraId="1CF41C09"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113.83</w:t>
            </w:r>
          </w:p>
        </w:tc>
        <w:tc>
          <w:tcPr>
            <w:tcW w:w="522" w:type="pct"/>
            <w:vAlign w:val="center"/>
          </w:tcPr>
          <w:p w14:paraId="5BE43C1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122.37</w:t>
            </w:r>
          </w:p>
        </w:tc>
        <w:tc>
          <w:tcPr>
            <w:tcW w:w="522" w:type="pct"/>
            <w:vAlign w:val="center"/>
          </w:tcPr>
          <w:p w14:paraId="5DE3233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127.20</w:t>
            </w:r>
          </w:p>
        </w:tc>
        <w:tc>
          <w:tcPr>
            <w:tcW w:w="522" w:type="pct"/>
            <w:vAlign w:val="center"/>
          </w:tcPr>
          <w:p w14:paraId="6DCBBAE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129.86</w:t>
            </w:r>
          </w:p>
        </w:tc>
        <w:tc>
          <w:tcPr>
            <w:tcW w:w="522" w:type="pct"/>
            <w:vAlign w:val="center"/>
          </w:tcPr>
          <w:p w14:paraId="3BCEA87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129.86</w:t>
            </w:r>
          </w:p>
        </w:tc>
      </w:tr>
      <w:tr w:rsidR="00EB3B4C" w:rsidRPr="00582BF8" w14:paraId="04756084" w14:textId="77777777" w:rsidTr="00582BF8">
        <w:trPr>
          <w:trHeight w:val="397"/>
          <w:jc w:val="center"/>
        </w:trPr>
        <w:tc>
          <w:tcPr>
            <w:tcW w:w="1374" w:type="pct"/>
            <w:vAlign w:val="center"/>
          </w:tcPr>
          <w:p w14:paraId="541F647D"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商家服务收入合计（万元）</w:t>
            </w:r>
            <w:r w:rsidRPr="00582BF8">
              <w:rPr>
                <w:rFonts w:ascii="Times New Roman" w:hAnsi="Times New Roman" w:cs="Times New Roman"/>
                <w:b/>
                <w:bCs/>
                <w:color w:val="000000"/>
                <w:sz w:val="18"/>
                <w:szCs w:val="18"/>
              </w:rPr>
              <w:t>E=C+D</w:t>
            </w:r>
          </w:p>
        </w:tc>
        <w:tc>
          <w:tcPr>
            <w:tcW w:w="507" w:type="pct"/>
            <w:vAlign w:val="center"/>
          </w:tcPr>
          <w:p w14:paraId="535EF3B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1,555.06</w:t>
            </w:r>
          </w:p>
        </w:tc>
        <w:tc>
          <w:tcPr>
            <w:tcW w:w="509" w:type="pct"/>
            <w:vAlign w:val="center"/>
          </w:tcPr>
          <w:p w14:paraId="7CB992D1"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1,587.89</w:t>
            </w:r>
          </w:p>
        </w:tc>
        <w:tc>
          <w:tcPr>
            <w:tcW w:w="522" w:type="pct"/>
            <w:vAlign w:val="center"/>
          </w:tcPr>
          <w:p w14:paraId="7642511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1,828.49</w:t>
            </w:r>
          </w:p>
        </w:tc>
        <w:tc>
          <w:tcPr>
            <w:tcW w:w="522" w:type="pct"/>
            <w:vAlign w:val="center"/>
          </w:tcPr>
          <w:p w14:paraId="692EA2A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2,141.44</w:t>
            </w:r>
          </w:p>
        </w:tc>
        <w:tc>
          <w:tcPr>
            <w:tcW w:w="522" w:type="pct"/>
            <w:vAlign w:val="center"/>
          </w:tcPr>
          <w:p w14:paraId="3D2371E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2,408.31</w:t>
            </w:r>
          </w:p>
        </w:tc>
        <w:tc>
          <w:tcPr>
            <w:tcW w:w="522" w:type="pct"/>
            <w:vAlign w:val="center"/>
          </w:tcPr>
          <w:p w14:paraId="13D6A25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2,696.61</w:t>
            </w:r>
          </w:p>
        </w:tc>
        <w:tc>
          <w:tcPr>
            <w:tcW w:w="522" w:type="pct"/>
            <w:vAlign w:val="center"/>
          </w:tcPr>
          <w:p w14:paraId="2C1D8B4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2,955.37</w:t>
            </w:r>
          </w:p>
        </w:tc>
      </w:tr>
    </w:tbl>
    <w:p w14:paraId="26045822" w14:textId="77777777" w:rsidR="00EB3B4C" w:rsidRPr="00E730E2" w:rsidRDefault="00EB3B4C" w:rsidP="00E730E2">
      <w:pPr>
        <w:spacing w:beforeLines="0" w:before="0" w:afterLines="0" w:after="0" w:line="240" w:lineRule="auto"/>
        <w:ind w:firstLine="420"/>
        <w:jc w:val="both"/>
        <w:rPr>
          <w:rFonts w:ascii="Times New Roman" w:hAnsi="Times New Roman" w:cs="Times New Roman"/>
          <w:bCs/>
          <w:sz w:val="21"/>
        </w:rPr>
      </w:pPr>
      <w:r w:rsidRPr="00E730E2">
        <w:rPr>
          <w:rFonts w:ascii="Times New Roman" w:hAnsi="Times New Roman" w:cs="Times New Roman"/>
          <w:bCs/>
          <w:sz w:val="21"/>
        </w:rPr>
        <w:t>注：由于报告期中的</w:t>
      </w:r>
      <w:r w:rsidRPr="00E730E2">
        <w:rPr>
          <w:rFonts w:ascii="Times New Roman" w:hAnsi="Times New Roman" w:cs="Times New Roman"/>
          <w:bCs/>
          <w:sz w:val="21"/>
        </w:rPr>
        <w:t>2025</w:t>
      </w:r>
      <w:r w:rsidRPr="00E730E2">
        <w:rPr>
          <w:rFonts w:ascii="Times New Roman" w:hAnsi="Times New Roman" w:cs="Times New Roman"/>
          <w:bCs/>
          <w:sz w:val="21"/>
        </w:rPr>
        <w:t>年</w:t>
      </w:r>
      <w:r w:rsidRPr="00E730E2">
        <w:rPr>
          <w:rFonts w:ascii="Times New Roman" w:hAnsi="Times New Roman" w:cs="Times New Roman"/>
          <w:bCs/>
          <w:sz w:val="21"/>
        </w:rPr>
        <w:t>1-6</w:t>
      </w:r>
      <w:r w:rsidRPr="00E730E2">
        <w:rPr>
          <w:rFonts w:ascii="Times New Roman" w:hAnsi="Times New Roman" w:cs="Times New Roman"/>
          <w:bCs/>
          <w:sz w:val="21"/>
        </w:rPr>
        <w:t>月数据系半年数据，与其他年度数据差异较大，可比性较低，因此本次仅列示报告期内完整年度的运营数据。</w:t>
      </w:r>
    </w:p>
    <w:p w14:paraId="0FB5E254" w14:textId="592747A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报告期内，场地整体解决方案类商家订阅服务销售单价有所下降，主要系标的公司为进一步提高市场份额以及维持已合作商家的合作关系，对订阅服务的销</w:t>
      </w:r>
      <w:r w:rsidRPr="00DA3766">
        <w:rPr>
          <w:rFonts w:ascii="Times New Roman" w:hAnsi="Times New Roman" w:cs="Times New Roman"/>
          <w:kern w:val="2"/>
          <w:szCs w:val="22"/>
        </w:rPr>
        <w:lastRenderedPageBreak/>
        <w:t>售单价有所下调。预测期内基于谨慎性考虑，未来的销售单价考虑在小幅</w:t>
      </w:r>
      <w:r w:rsidR="00847360" w:rsidRPr="00DA3766">
        <w:rPr>
          <w:rFonts w:ascii="Times New Roman" w:hAnsi="Times New Roman" w:cs="Times New Roman"/>
          <w:kern w:val="2"/>
          <w:szCs w:val="22"/>
        </w:rPr>
        <w:t>下降</w:t>
      </w:r>
      <w:r w:rsidRPr="00DA3766">
        <w:rPr>
          <w:rFonts w:ascii="Times New Roman" w:hAnsi="Times New Roman" w:cs="Times New Roman"/>
          <w:kern w:val="2"/>
          <w:szCs w:val="22"/>
        </w:rPr>
        <w:t>后保持稳定，具备合理性。其他商家服务收入报告期内有所下降，主要系为商户提供人脸识别等功能的开发服务，属于偶发需求，可持续性较低，因此预测期仅考虑少量可持续的其他商家服务收入。</w:t>
      </w:r>
    </w:p>
    <w:p w14:paraId="4FB8590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综上，标的公司商家服务收入预测具备合理性。</w:t>
      </w:r>
    </w:p>
    <w:p w14:paraId="6E3D2BD3" w14:textId="62397E52"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C33C4B">
        <w:rPr>
          <w:rFonts w:ascii="Times New Roman" w:hAnsi="Times New Roman" w:cs="Times New Roman" w:hint="eastAsia"/>
          <w:b/>
          <w:bCs/>
          <w:kern w:val="2"/>
          <w:szCs w:val="28"/>
        </w:rPr>
        <w:t>2</w:t>
      </w:r>
      <w:r w:rsidRPr="00DA3766">
        <w:rPr>
          <w:rFonts w:ascii="Times New Roman" w:hAnsi="Times New Roman" w:cs="Times New Roman"/>
          <w:b/>
          <w:bCs/>
          <w:kern w:val="2"/>
          <w:szCs w:val="28"/>
        </w:rPr>
        <w:t>）会员服务业务收入预测情况、测算过程、测算依据及其合理性</w:t>
      </w:r>
    </w:p>
    <w:p w14:paraId="3BC73144" w14:textId="6FE6BFD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标的公司会员服务业务收入预测主要依据年度支付用户数量和单用户贡献金额进行测算，其中支付用户数量与运营数据中的支付用户总数存在一定差异，主要系会员服务并非针对所有支付用户开展</w:t>
      </w:r>
      <w:r w:rsidR="00872105" w:rsidRPr="00872105">
        <w:rPr>
          <w:rFonts w:ascii="Times New Roman" w:hAnsi="Times New Roman" w:cs="Times New Roman" w:hint="eastAsia"/>
          <w:kern w:val="2"/>
          <w:szCs w:val="22"/>
        </w:rPr>
        <w:t>所致</w:t>
      </w:r>
      <w:r w:rsidRPr="00DA3766">
        <w:rPr>
          <w:rFonts w:ascii="Times New Roman" w:hAnsi="Times New Roman" w:cs="Times New Roman"/>
          <w:kern w:val="2"/>
          <w:szCs w:val="22"/>
        </w:rPr>
        <w:t>，</w:t>
      </w:r>
      <w:r w:rsidR="00872105" w:rsidRPr="00872105">
        <w:rPr>
          <w:rFonts w:ascii="Times New Roman" w:hAnsi="Times New Roman" w:cs="Times New Roman" w:hint="eastAsia"/>
          <w:kern w:val="2"/>
          <w:szCs w:val="22"/>
        </w:rPr>
        <w:t>预测期内对于测算涉及的年度支付用户数量基于运营数据中支付用户总数剔除了不涉及会员服务业务场景的支付用户数后得出。会员服务业务收入具体测算情况如下</w:t>
      </w:r>
      <w:r w:rsidRPr="00DA3766">
        <w:rPr>
          <w:rFonts w:ascii="Times New Roman" w:hAnsi="Times New Roman" w:cs="Times New Roman"/>
          <w:kern w:val="2"/>
          <w:szCs w:val="22"/>
        </w:rPr>
        <w:t>：</w:t>
      </w:r>
    </w:p>
    <w:tbl>
      <w:tblPr>
        <w:tblW w:w="581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936"/>
        <w:gridCol w:w="937"/>
        <w:gridCol w:w="937"/>
        <w:gridCol w:w="1050"/>
        <w:gridCol w:w="1050"/>
        <w:gridCol w:w="1050"/>
        <w:gridCol w:w="1050"/>
        <w:gridCol w:w="1054"/>
      </w:tblGrid>
      <w:tr w:rsidR="00EB3B4C" w:rsidRPr="00582BF8" w14:paraId="727FE5C6" w14:textId="77777777" w:rsidTr="00582BF8">
        <w:trPr>
          <w:trHeight w:val="397"/>
          <w:tblHeader/>
          <w:jc w:val="center"/>
        </w:trPr>
        <w:tc>
          <w:tcPr>
            <w:tcW w:w="937" w:type="pct"/>
            <w:vMerge w:val="restart"/>
            <w:vAlign w:val="center"/>
          </w:tcPr>
          <w:p w14:paraId="63B9E208"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项目</w:t>
            </w:r>
            <w:r w:rsidRPr="00582BF8">
              <w:rPr>
                <w:rFonts w:ascii="Times New Roman" w:hAnsi="Times New Roman" w:cs="Times New Roman"/>
                <w:b/>
                <w:color w:val="000000"/>
                <w:sz w:val="18"/>
                <w:szCs w:val="18"/>
              </w:rPr>
              <w:t>\</w:t>
            </w:r>
            <w:r w:rsidRPr="00582BF8">
              <w:rPr>
                <w:rFonts w:ascii="Times New Roman" w:hAnsi="Times New Roman" w:cs="Times New Roman"/>
                <w:b/>
                <w:color w:val="000000"/>
                <w:sz w:val="18"/>
                <w:szCs w:val="18"/>
              </w:rPr>
              <w:t>年份</w:t>
            </w:r>
          </w:p>
        </w:tc>
        <w:tc>
          <w:tcPr>
            <w:tcW w:w="1415" w:type="pct"/>
            <w:gridSpan w:val="3"/>
            <w:vAlign w:val="center"/>
          </w:tcPr>
          <w:p w14:paraId="6D212F0F"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报告期</w:t>
            </w:r>
          </w:p>
        </w:tc>
        <w:tc>
          <w:tcPr>
            <w:tcW w:w="2648" w:type="pct"/>
            <w:gridSpan w:val="5"/>
            <w:vAlign w:val="center"/>
          </w:tcPr>
          <w:p w14:paraId="2D1750B4"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预测期</w:t>
            </w:r>
          </w:p>
        </w:tc>
      </w:tr>
      <w:tr w:rsidR="00582BF8" w:rsidRPr="00582BF8" w14:paraId="49D2EBD4" w14:textId="77777777" w:rsidTr="00582BF8">
        <w:trPr>
          <w:trHeight w:val="397"/>
          <w:tblHeader/>
          <w:jc w:val="center"/>
        </w:trPr>
        <w:tc>
          <w:tcPr>
            <w:tcW w:w="937" w:type="pct"/>
            <w:vMerge/>
            <w:vAlign w:val="center"/>
            <w:hideMark/>
          </w:tcPr>
          <w:p w14:paraId="2F9EDBB6"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p>
        </w:tc>
        <w:tc>
          <w:tcPr>
            <w:tcW w:w="472" w:type="pct"/>
            <w:vAlign w:val="center"/>
            <w:hideMark/>
          </w:tcPr>
          <w:p w14:paraId="7C5F957A"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2023</w:t>
            </w:r>
            <w:r w:rsidRPr="00582BF8">
              <w:rPr>
                <w:rFonts w:ascii="Times New Roman" w:hAnsi="Times New Roman" w:cs="Times New Roman"/>
                <w:b/>
                <w:color w:val="000000"/>
                <w:sz w:val="18"/>
                <w:szCs w:val="18"/>
              </w:rPr>
              <w:t>年</w:t>
            </w:r>
          </w:p>
        </w:tc>
        <w:tc>
          <w:tcPr>
            <w:tcW w:w="472" w:type="pct"/>
            <w:vAlign w:val="center"/>
            <w:hideMark/>
          </w:tcPr>
          <w:p w14:paraId="79F66AA5"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2024</w:t>
            </w:r>
            <w:r w:rsidRPr="00582BF8">
              <w:rPr>
                <w:rFonts w:ascii="Times New Roman" w:hAnsi="Times New Roman" w:cs="Times New Roman"/>
                <w:b/>
                <w:color w:val="000000"/>
                <w:sz w:val="18"/>
                <w:szCs w:val="18"/>
              </w:rPr>
              <w:t>年</w:t>
            </w:r>
          </w:p>
        </w:tc>
        <w:tc>
          <w:tcPr>
            <w:tcW w:w="472" w:type="pct"/>
            <w:vAlign w:val="center"/>
            <w:hideMark/>
          </w:tcPr>
          <w:p w14:paraId="7D66298F"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w:t>
            </w:r>
            <w:r w:rsidRPr="00582BF8">
              <w:rPr>
                <w:rFonts w:ascii="Times New Roman" w:hAnsi="Times New Roman" w:cs="Times New Roman"/>
                <w:b/>
                <w:color w:val="000000"/>
                <w:sz w:val="18"/>
                <w:szCs w:val="18"/>
              </w:rPr>
              <w:t>1-6</w:t>
            </w:r>
            <w:r w:rsidRPr="00582BF8">
              <w:rPr>
                <w:rFonts w:ascii="Times New Roman" w:hAnsi="Times New Roman" w:cs="Times New Roman"/>
                <w:b/>
                <w:color w:val="000000"/>
                <w:sz w:val="18"/>
                <w:szCs w:val="18"/>
              </w:rPr>
              <w:t>月</w:t>
            </w:r>
          </w:p>
        </w:tc>
        <w:tc>
          <w:tcPr>
            <w:tcW w:w="529" w:type="pct"/>
            <w:vAlign w:val="center"/>
            <w:hideMark/>
          </w:tcPr>
          <w:p w14:paraId="53554943" w14:textId="7C77BC2D"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年度</w:t>
            </w:r>
          </w:p>
        </w:tc>
        <w:tc>
          <w:tcPr>
            <w:tcW w:w="529" w:type="pct"/>
            <w:vAlign w:val="center"/>
            <w:hideMark/>
          </w:tcPr>
          <w:p w14:paraId="09E861FD" w14:textId="187AF31A"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2026</w:t>
            </w:r>
            <w:r w:rsidRPr="00582BF8">
              <w:rPr>
                <w:rFonts w:ascii="Times New Roman" w:hAnsi="Times New Roman" w:cs="Times New Roman"/>
                <w:b/>
                <w:color w:val="000000"/>
                <w:sz w:val="18"/>
                <w:szCs w:val="18"/>
              </w:rPr>
              <w:t>年度</w:t>
            </w:r>
          </w:p>
        </w:tc>
        <w:tc>
          <w:tcPr>
            <w:tcW w:w="529" w:type="pct"/>
            <w:vAlign w:val="center"/>
            <w:hideMark/>
          </w:tcPr>
          <w:p w14:paraId="3303E7CD" w14:textId="3FCCDD60"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2027</w:t>
            </w:r>
            <w:r w:rsidRPr="00582BF8">
              <w:rPr>
                <w:rFonts w:ascii="Times New Roman" w:hAnsi="Times New Roman" w:cs="Times New Roman"/>
                <w:b/>
                <w:color w:val="000000"/>
                <w:sz w:val="18"/>
                <w:szCs w:val="18"/>
              </w:rPr>
              <w:t>年度</w:t>
            </w:r>
          </w:p>
        </w:tc>
        <w:tc>
          <w:tcPr>
            <w:tcW w:w="529" w:type="pct"/>
            <w:vAlign w:val="center"/>
            <w:hideMark/>
          </w:tcPr>
          <w:p w14:paraId="37E0627D" w14:textId="315576CE"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2028</w:t>
            </w:r>
            <w:r w:rsidRPr="00582BF8">
              <w:rPr>
                <w:rFonts w:ascii="Times New Roman" w:hAnsi="Times New Roman" w:cs="Times New Roman"/>
                <w:b/>
                <w:color w:val="000000"/>
                <w:sz w:val="18"/>
                <w:szCs w:val="18"/>
              </w:rPr>
              <w:t>年度</w:t>
            </w:r>
          </w:p>
        </w:tc>
        <w:tc>
          <w:tcPr>
            <w:tcW w:w="532" w:type="pct"/>
            <w:vAlign w:val="center"/>
            <w:hideMark/>
          </w:tcPr>
          <w:p w14:paraId="362F2609" w14:textId="36BB88E4"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2029</w:t>
            </w:r>
            <w:r w:rsidRPr="00582BF8">
              <w:rPr>
                <w:rFonts w:ascii="Times New Roman" w:hAnsi="Times New Roman" w:cs="Times New Roman"/>
                <w:b/>
                <w:color w:val="000000"/>
                <w:sz w:val="18"/>
                <w:szCs w:val="18"/>
              </w:rPr>
              <w:t>年度</w:t>
            </w:r>
          </w:p>
        </w:tc>
      </w:tr>
      <w:tr w:rsidR="00582BF8" w:rsidRPr="00582BF8" w14:paraId="0BA81A4C" w14:textId="77777777" w:rsidTr="00582BF8">
        <w:trPr>
          <w:trHeight w:val="397"/>
          <w:jc w:val="center"/>
        </w:trPr>
        <w:tc>
          <w:tcPr>
            <w:tcW w:w="937" w:type="pct"/>
            <w:vAlign w:val="center"/>
            <w:hideMark/>
          </w:tcPr>
          <w:p w14:paraId="3BAE0593"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支付用户数（万人）</w:t>
            </w:r>
          </w:p>
          <w:p w14:paraId="1E189EEA"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A</w:t>
            </w:r>
            <w:r w:rsidRPr="00582BF8">
              <w:rPr>
                <w:rFonts w:ascii="Times New Roman" w:hAnsi="Times New Roman" w:cs="Times New Roman"/>
                <w:color w:val="000000"/>
                <w:sz w:val="18"/>
                <w:szCs w:val="18"/>
              </w:rPr>
              <w:t>）</w:t>
            </w:r>
          </w:p>
        </w:tc>
        <w:tc>
          <w:tcPr>
            <w:tcW w:w="472" w:type="pct"/>
            <w:vAlign w:val="center"/>
            <w:hideMark/>
          </w:tcPr>
          <w:p w14:paraId="3195279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47,252.34</w:t>
            </w:r>
          </w:p>
        </w:tc>
        <w:tc>
          <w:tcPr>
            <w:tcW w:w="472" w:type="pct"/>
            <w:vAlign w:val="center"/>
            <w:hideMark/>
          </w:tcPr>
          <w:p w14:paraId="421B8D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46,066.82</w:t>
            </w:r>
          </w:p>
        </w:tc>
        <w:tc>
          <w:tcPr>
            <w:tcW w:w="472" w:type="pct"/>
            <w:vAlign w:val="center"/>
            <w:hideMark/>
          </w:tcPr>
          <w:p w14:paraId="361A528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22,555.42</w:t>
            </w:r>
          </w:p>
        </w:tc>
        <w:tc>
          <w:tcPr>
            <w:tcW w:w="529" w:type="pct"/>
            <w:vAlign w:val="center"/>
            <w:hideMark/>
          </w:tcPr>
          <w:p w14:paraId="2ADBB81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52,568.62</w:t>
            </w:r>
          </w:p>
        </w:tc>
        <w:tc>
          <w:tcPr>
            <w:tcW w:w="529" w:type="pct"/>
            <w:vAlign w:val="center"/>
            <w:hideMark/>
          </w:tcPr>
          <w:p w14:paraId="4A33128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56,580.91</w:t>
            </w:r>
          </w:p>
        </w:tc>
        <w:tc>
          <w:tcPr>
            <w:tcW w:w="529" w:type="pct"/>
            <w:vAlign w:val="center"/>
            <w:hideMark/>
          </w:tcPr>
          <w:p w14:paraId="245B287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60,489.45</w:t>
            </w:r>
          </w:p>
        </w:tc>
        <w:tc>
          <w:tcPr>
            <w:tcW w:w="529" w:type="pct"/>
            <w:vAlign w:val="center"/>
            <w:hideMark/>
          </w:tcPr>
          <w:p w14:paraId="582BA85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64,068.34</w:t>
            </w:r>
          </w:p>
        </w:tc>
        <w:tc>
          <w:tcPr>
            <w:tcW w:w="532" w:type="pct"/>
            <w:vAlign w:val="center"/>
            <w:hideMark/>
          </w:tcPr>
          <w:p w14:paraId="1DE5959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67,741.99</w:t>
            </w:r>
          </w:p>
        </w:tc>
      </w:tr>
      <w:tr w:rsidR="00582BF8" w:rsidRPr="00582BF8" w14:paraId="5BB91727" w14:textId="77777777" w:rsidTr="00582BF8">
        <w:trPr>
          <w:trHeight w:val="397"/>
          <w:jc w:val="center"/>
        </w:trPr>
        <w:tc>
          <w:tcPr>
            <w:tcW w:w="937" w:type="pct"/>
            <w:vAlign w:val="center"/>
            <w:hideMark/>
          </w:tcPr>
          <w:p w14:paraId="4B058CAE"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单用户贡献（元</w:t>
            </w: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人）</w:t>
            </w:r>
          </w:p>
          <w:p w14:paraId="2EF2DC75"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B</w:t>
            </w:r>
            <w:r w:rsidRPr="00582BF8">
              <w:rPr>
                <w:rFonts w:ascii="Times New Roman" w:hAnsi="Times New Roman" w:cs="Times New Roman"/>
                <w:color w:val="000000"/>
                <w:sz w:val="18"/>
                <w:szCs w:val="18"/>
              </w:rPr>
              <w:t>）</w:t>
            </w:r>
          </w:p>
        </w:tc>
        <w:tc>
          <w:tcPr>
            <w:tcW w:w="472" w:type="pct"/>
            <w:vAlign w:val="center"/>
            <w:hideMark/>
          </w:tcPr>
          <w:p w14:paraId="360047E6"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0.03</w:t>
            </w:r>
          </w:p>
        </w:tc>
        <w:tc>
          <w:tcPr>
            <w:tcW w:w="472" w:type="pct"/>
            <w:vAlign w:val="center"/>
            <w:hideMark/>
          </w:tcPr>
          <w:p w14:paraId="43D322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0.09</w:t>
            </w:r>
          </w:p>
        </w:tc>
        <w:tc>
          <w:tcPr>
            <w:tcW w:w="472" w:type="pct"/>
            <w:vAlign w:val="center"/>
            <w:hideMark/>
          </w:tcPr>
          <w:p w14:paraId="15E9756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0.18</w:t>
            </w:r>
          </w:p>
        </w:tc>
        <w:tc>
          <w:tcPr>
            <w:tcW w:w="529" w:type="pct"/>
            <w:vAlign w:val="center"/>
            <w:hideMark/>
          </w:tcPr>
          <w:p w14:paraId="384891E2"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0.18</w:t>
            </w:r>
          </w:p>
        </w:tc>
        <w:tc>
          <w:tcPr>
            <w:tcW w:w="529" w:type="pct"/>
            <w:vAlign w:val="center"/>
            <w:hideMark/>
          </w:tcPr>
          <w:p w14:paraId="531152C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0.19</w:t>
            </w:r>
          </w:p>
        </w:tc>
        <w:tc>
          <w:tcPr>
            <w:tcW w:w="529" w:type="pct"/>
            <w:vAlign w:val="center"/>
            <w:hideMark/>
          </w:tcPr>
          <w:p w14:paraId="5AA2A28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0.20</w:t>
            </w:r>
          </w:p>
        </w:tc>
        <w:tc>
          <w:tcPr>
            <w:tcW w:w="529" w:type="pct"/>
            <w:vAlign w:val="center"/>
            <w:hideMark/>
          </w:tcPr>
          <w:p w14:paraId="2C41A18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0.21</w:t>
            </w:r>
          </w:p>
        </w:tc>
        <w:tc>
          <w:tcPr>
            <w:tcW w:w="532" w:type="pct"/>
            <w:vAlign w:val="center"/>
            <w:hideMark/>
          </w:tcPr>
          <w:p w14:paraId="6CDFAB3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0.21</w:t>
            </w:r>
          </w:p>
        </w:tc>
      </w:tr>
      <w:tr w:rsidR="00582BF8" w:rsidRPr="00582BF8" w14:paraId="1C4DDDD6" w14:textId="77777777" w:rsidTr="00582BF8">
        <w:trPr>
          <w:trHeight w:val="397"/>
          <w:jc w:val="center"/>
        </w:trPr>
        <w:tc>
          <w:tcPr>
            <w:tcW w:w="937" w:type="pct"/>
            <w:vAlign w:val="center"/>
          </w:tcPr>
          <w:p w14:paraId="66BA24D5"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会员服务销售收入（万元）（</w:t>
            </w:r>
            <w:r w:rsidRPr="00582BF8">
              <w:rPr>
                <w:rFonts w:ascii="Times New Roman" w:hAnsi="Times New Roman" w:cs="Times New Roman"/>
                <w:b/>
                <w:bCs/>
                <w:color w:val="000000"/>
                <w:sz w:val="18"/>
                <w:szCs w:val="18"/>
              </w:rPr>
              <w:t>C=A*B</w:t>
            </w:r>
            <w:r w:rsidRPr="00582BF8">
              <w:rPr>
                <w:rFonts w:ascii="Times New Roman" w:hAnsi="Times New Roman" w:cs="Times New Roman"/>
                <w:b/>
                <w:bCs/>
                <w:color w:val="000000"/>
                <w:sz w:val="18"/>
                <w:szCs w:val="18"/>
              </w:rPr>
              <w:t>）</w:t>
            </w:r>
          </w:p>
        </w:tc>
        <w:tc>
          <w:tcPr>
            <w:tcW w:w="472" w:type="pct"/>
            <w:vAlign w:val="center"/>
          </w:tcPr>
          <w:p w14:paraId="0E23EE47" w14:textId="43F902E2"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1,634.10</w:t>
            </w:r>
          </w:p>
        </w:tc>
        <w:tc>
          <w:tcPr>
            <w:tcW w:w="472" w:type="pct"/>
            <w:vAlign w:val="center"/>
          </w:tcPr>
          <w:p w14:paraId="1378C6AE" w14:textId="42F07949"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3,983.36</w:t>
            </w:r>
          </w:p>
        </w:tc>
        <w:tc>
          <w:tcPr>
            <w:tcW w:w="472" w:type="pct"/>
            <w:vAlign w:val="center"/>
          </w:tcPr>
          <w:p w14:paraId="1B6AAD1F" w14:textId="1E69AF8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4,083.02</w:t>
            </w:r>
          </w:p>
        </w:tc>
        <w:tc>
          <w:tcPr>
            <w:tcW w:w="529" w:type="pct"/>
            <w:vAlign w:val="center"/>
          </w:tcPr>
          <w:p w14:paraId="668042AB" w14:textId="57807961"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9,320.35</w:t>
            </w:r>
          </w:p>
        </w:tc>
        <w:tc>
          <w:tcPr>
            <w:tcW w:w="529" w:type="pct"/>
            <w:vAlign w:val="center"/>
          </w:tcPr>
          <w:p w14:paraId="618A941A" w14:textId="76BD712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10,842.71</w:t>
            </w:r>
          </w:p>
        </w:tc>
        <w:tc>
          <w:tcPr>
            <w:tcW w:w="529" w:type="pct"/>
            <w:vAlign w:val="center"/>
          </w:tcPr>
          <w:p w14:paraId="1C609E90" w14:textId="5CABBD9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12,196.58</w:t>
            </w:r>
          </w:p>
        </w:tc>
        <w:tc>
          <w:tcPr>
            <w:tcW w:w="529" w:type="pct"/>
            <w:vAlign w:val="center"/>
          </w:tcPr>
          <w:p w14:paraId="41AFAA1E" w14:textId="43960A06"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13,313.90</w:t>
            </w:r>
          </w:p>
        </w:tc>
        <w:tc>
          <w:tcPr>
            <w:tcW w:w="532" w:type="pct"/>
            <w:vAlign w:val="center"/>
          </w:tcPr>
          <w:p w14:paraId="0B1E1665" w14:textId="6E0B67C9"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13,964.35</w:t>
            </w:r>
          </w:p>
        </w:tc>
      </w:tr>
    </w:tbl>
    <w:p w14:paraId="724416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报告期内单用户贡献金额增长较快，主要系由于标的公司自</w:t>
      </w:r>
      <w:r w:rsidRPr="00DA3766">
        <w:rPr>
          <w:rFonts w:ascii="Times New Roman" w:hAnsi="Times New Roman" w:cs="Times New Roman"/>
          <w:kern w:val="2"/>
          <w:szCs w:val="22"/>
        </w:rPr>
        <w:t>2023</w:t>
      </w:r>
      <w:r w:rsidRPr="00DA3766">
        <w:rPr>
          <w:rFonts w:ascii="Times New Roman" w:hAnsi="Times New Roman" w:cs="Times New Roman"/>
          <w:kern w:val="2"/>
          <w:szCs w:val="22"/>
        </w:rPr>
        <w:t>年开始开展会员服务业务以来，经历业务打磨和用户潜力挖掘，增加了丰富的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会员权益，进而提高了单用户贡献金额。预测期内，标的公司将持续更新和丰富权益内容，进一步满足用户群体的日常消费需要，推动单用户贡献金额的进一步提升，进而带动会员服务销售收入的持续增长。</w:t>
      </w:r>
    </w:p>
    <w:p w14:paraId="39243D8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综上，会员服务业务收入预测具备合理性。</w:t>
      </w:r>
    </w:p>
    <w:p w14:paraId="3E5962BF" w14:textId="0F7BD5C6"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C33C4B">
        <w:rPr>
          <w:rFonts w:ascii="Times New Roman" w:hAnsi="Times New Roman" w:cs="Times New Roman" w:hint="eastAsia"/>
          <w:b/>
          <w:bCs/>
          <w:kern w:val="2"/>
          <w:szCs w:val="28"/>
        </w:rPr>
        <w:t>3</w:t>
      </w:r>
      <w:r w:rsidRPr="00DA3766">
        <w:rPr>
          <w:rFonts w:ascii="Times New Roman" w:hAnsi="Times New Roman" w:cs="Times New Roman"/>
          <w:b/>
          <w:bCs/>
          <w:kern w:val="2"/>
          <w:szCs w:val="28"/>
        </w:rPr>
        <w:t>）收单外包及其他</w:t>
      </w:r>
      <w:r w:rsidR="00872105">
        <w:rPr>
          <w:rFonts w:ascii="Times New Roman" w:hAnsi="Times New Roman" w:cs="Times New Roman" w:hint="eastAsia"/>
          <w:b/>
          <w:bCs/>
          <w:kern w:val="2"/>
          <w:szCs w:val="28"/>
        </w:rPr>
        <w:t>服务</w:t>
      </w:r>
      <w:r w:rsidRPr="00DA3766">
        <w:rPr>
          <w:rFonts w:ascii="Times New Roman" w:hAnsi="Times New Roman" w:cs="Times New Roman"/>
          <w:b/>
          <w:bCs/>
          <w:kern w:val="2"/>
          <w:szCs w:val="28"/>
        </w:rPr>
        <w:t>收入预测情况、测算过程、测算依据及其合理性</w:t>
      </w:r>
    </w:p>
    <w:p w14:paraId="062E192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标的公司收单外包的业务逻辑均为基于服务费率及</w:t>
      </w:r>
      <w:r w:rsidRPr="00DA3766">
        <w:rPr>
          <w:rFonts w:ascii="Times New Roman" w:hAnsi="Times New Roman" w:cs="Times New Roman"/>
          <w:kern w:val="2"/>
          <w:szCs w:val="22"/>
        </w:rPr>
        <w:t>GMV</w:t>
      </w:r>
      <w:r w:rsidRPr="00DA3766">
        <w:rPr>
          <w:rFonts w:ascii="Times New Roman" w:hAnsi="Times New Roman" w:cs="Times New Roman"/>
          <w:kern w:val="2"/>
          <w:szCs w:val="22"/>
        </w:rPr>
        <w:t>流水进行测算。报告期内综合费率由于场地整体解决方案类与非场地设备类存在一定差异，其中场地整体解决方案类服务费率略低于非场地设备类服务费率，场地整体解决方案类业务</w:t>
      </w:r>
      <w:r w:rsidRPr="00DA3766">
        <w:rPr>
          <w:rFonts w:ascii="Times New Roman" w:hAnsi="Times New Roman" w:cs="Times New Roman"/>
          <w:kern w:val="2"/>
          <w:szCs w:val="22"/>
        </w:rPr>
        <w:t>GMV</w:t>
      </w:r>
      <w:r w:rsidRPr="00DA3766">
        <w:rPr>
          <w:rFonts w:ascii="Times New Roman" w:hAnsi="Times New Roman" w:cs="Times New Roman"/>
          <w:kern w:val="2"/>
          <w:szCs w:val="22"/>
        </w:rPr>
        <w:t>规模有所提升，使得综合服务费率有所下降。报告期内，标的公司收</w:t>
      </w:r>
      <w:r w:rsidRPr="00DA3766">
        <w:rPr>
          <w:rFonts w:ascii="Times New Roman" w:hAnsi="Times New Roman" w:cs="Times New Roman"/>
          <w:kern w:val="2"/>
          <w:szCs w:val="22"/>
        </w:rPr>
        <w:lastRenderedPageBreak/>
        <w:t>单外包服务及其他服务费率与实际签约费率相匹配，预计未来服务费率将维持</w:t>
      </w:r>
      <w:r w:rsidRPr="00DA3766">
        <w:rPr>
          <w:rFonts w:ascii="Times New Roman" w:hAnsi="Times New Roman" w:cs="Times New Roman"/>
          <w:kern w:val="2"/>
          <w:szCs w:val="22"/>
        </w:rPr>
        <w:t>0.30%~0.31%</w:t>
      </w:r>
      <w:r w:rsidRPr="00DA3766">
        <w:rPr>
          <w:rFonts w:ascii="Times New Roman" w:hAnsi="Times New Roman" w:cs="Times New Roman"/>
          <w:kern w:val="2"/>
          <w:szCs w:val="22"/>
        </w:rPr>
        <w:t>水平，较为稳定，故预测期内收单外包服务收入及服务费率预测情况具有合理性。</w:t>
      </w:r>
    </w:p>
    <w:p w14:paraId="31877F8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363424C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云平台业务下，各大业务的毛利率情况如下：</w:t>
      </w:r>
    </w:p>
    <w:p w14:paraId="0973ABC1"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rPr>
      </w:pPr>
      <w:r w:rsidRPr="00DA3766">
        <w:rPr>
          <w:rFonts w:ascii="Times New Roman" w:hAnsi="Times New Roman" w:cs="Times New Roman"/>
          <w:sz w:val="21"/>
        </w:rPr>
        <w:t>单位：万元</w:t>
      </w:r>
    </w:p>
    <w:tbl>
      <w:tblPr>
        <w:tblW w:w="617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129"/>
        <w:gridCol w:w="1004"/>
        <w:gridCol w:w="1004"/>
        <w:gridCol w:w="1004"/>
        <w:gridCol w:w="1004"/>
        <w:gridCol w:w="1004"/>
        <w:gridCol w:w="1004"/>
        <w:gridCol w:w="1004"/>
        <w:gridCol w:w="1013"/>
      </w:tblGrid>
      <w:tr w:rsidR="00EB3B4C" w:rsidRPr="00DA3766" w14:paraId="247D0417" w14:textId="77777777" w:rsidTr="00E730E2">
        <w:trPr>
          <w:trHeight w:val="397"/>
          <w:tblHeader/>
          <w:jc w:val="center"/>
        </w:trPr>
        <w:tc>
          <w:tcPr>
            <w:tcW w:w="1185" w:type="pct"/>
            <w:gridSpan w:val="2"/>
            <w:vMerge w:val="restart"/>
            <w:vAlign w:val="center"/>
            <w:hideMark/>
          </w:tcPr>
          <w:p w14:paraId="3590CD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429" w:type="pct"/>
            <w:gridSpan w:val="3"/>
            <w:vAlign w:val="center"/>
            <w:hideMark/>
          </w:tcPr>
          <w:p w14:paraId="0F1CFF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385" w:type="pct"/>
            <w:gridSpan w:val="5"/>
            <w:vAlign w:val="center"/>
            <w:hideMark/>
          </w:tcPr>
          <w:p w14:paraId="667B55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3C791CE2" w14:textId="77777777" w:rsidTr="00E730E2">
        <w:trPr>
          <w:trHeight w:val="397"/>
          <w:tblHeader/>
          <w:jc w:val="center"/>
        </w:trPr>
        <w:tc>
          <w:tcPr>
            <w:tcW w:w="1185" w:type="pct"/>
            <w:gridSpan w:val="2"/>
            <w:vMerge/>
            <w:vAlign w:val="center"/>
            <w:hideMark/>
          </w:tcPr>
          <w:p w14:paraId="6B12B5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476" w:type="pct"/>
            <w:vAlign w:val="center"/>
            <w:hideMark/>
          </w:tcPr>
          <w:p w14:paraId="47DA418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2023</w:t>
            </w:r>
            <w:r w:rsidRPr="00DA3766">
              <w:rPr>
                <w:rFonts w:ascii="Times New Roman" w:hAnsi="Times New Roman" w:cs="Times New Roman"/>
                <w:b/>
                <w:bCs/>
                <w:color w:val="000000"/>
                <w:sz w:val="21"/>
                <w:szCs w:val="21"/>
              </w:rPr>
              <w:t>年</w:t>
            </w:r>
          </w:p>
        </w:tc>
        <w:tc>
          <w:tcPr>
            <w:tcW w:w="476" w:type="pct"/>
            <w:vAlign w:val="center"/>
            <w:hideMark/>
          </w:tcPr>
          <w:p w14:paraId="1B11B33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2024</w:t>
            </w:r>
            <w:r w:rsidRPr="00DA3766">
              <w:rPr>
                <w:rFonts w:ascii="Times New Roman" w:hAnsi="Times New Roman" w:cs="Times New Roman"/>
                <w:b/>
                <w:bCs/>
                <w:color w:val="000000"/>
                <w:sz w:val="21"/>
                <w:szCs w:val="21"/>
              </w:rPr>
              <w:t>年</w:t>
            </w:r>
          </w:p>
        </w:tc>
        <w:tc>
          <w:tcPr>
            <w:tcW w:w="476" w:type="pct"/>
            <w:vAlign w:val="center"/>
            <w:hideMark/>
          </w:tcPr>
          <w:p w14:paraId="46998188" w14:textId="77777777" w:rsidR="00DA3766"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2025</w:t>
            </w:r>
            <w:r w:rsidRPr="00DA3766">
              <w:rPr>
                <w:rFonts w:ascii="Times New Roman" w:hAnsi="Times New Roman" w:cs="Times New Roman"/>
                <w:b/>
                <w:bCs/>
                <w:color w:val="000000"/>
                <w:sz w:val="21"/>
                <w:szCs w:val="21"/>
              </w:rPr>
              <w:t>年</w:t>
            </w:r>
          </w:p>
          <w:p w14:paraId="111400AC" w14:textId="0A0B0D76"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1-6</w:t>
            </w:r>
            <w:r w:rsidRPr="00DA3766">
              <w:rPr>
                <w:rFonts w:ascii="Times New Roman" w:hAnsi="Times New Roman" w:cs="Times New Roman"/>
                <w:b/>
                <w:bCs/>
                <w:color w:val="000000"/>
                <w:sz w:val="21"/>
                <w:szCs w:val="21"/>
              </w:rPr>
              <w:t>月</w:t>
            </w:r>
          </w:p>
        </w:tc>
        <w:tc>
          <w:tcPr>
            <w:tcW w:w="476" w:type="pct"/>
            <w:vAlign w:val="center"/>
            <w:hideMark/>
          </w:tcPr>
          <w:p w14:paraId="476A7DD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2025</w:t>
            </w:r>
            <w:r w:rsidRPr="00DA3766">
              <w:rPr>
                <w:rFonts w:ascii="Times New Roman" w:hAnsi="Times New Roman" w:cs="Times New Roman"/>
                <w:b/>
                <w:bCs/>
                <w:color w:val="000000"/>
                <w:sz w:val="21"/>
                <w:szCs w:val="21"/>
              </w:rPr>
              <w:t>年</w:t>
            </w:r>
          </w:p>
        </w:tc>
        <w:tc>
          <w:tcPr>
            <w:tcW w:w="476" w:type="pct"/>
            <w:vAlign w:val="center"/>
            <w:hideMark/>
          </w:tcPr>
          <w:p w14:paraId="5B6B1D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2026</w:t>
            </w:r>
            <w:r w:rsidRPr="00DA3766">
              <w:rPr>
                <w:rFonts w:ascii="Times New Roman" w:hAnsi="Times New Roman" w:cs="Times New Roman"/>
                <w:b/>
                <w:bCs/>
                <w:color w:val="000000"/>
                <w:sz w:val="21"/>
                <w:szCs w:val="21"/>
              </w:rPr>
              <w:t>年</w:t>
            </w:r>
          </w:p>
        </w:tc>
        <w:tc>
          <w:tcPr>
            <w:tcW w:w="476" w:type="pct"/>
            <w:vAlign w:val="center"/>
            <w:hideMark/>
          </w:tcPr>
          <w:p w14:paraId="37506F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2027</w:t>
            </w:r>
            <w:r w:rsidRPr="00DA3766">
              <w:rPr>
                <w:rFonts w:ascii="Times New Roman" w:hAnsi="Times New Roman" w:cs="Times New Roman"/>
                <w:b/>
                <w:bCs/>
                <w:color w:val="000000"/>
                <w:sz w:val="21"/>
                <w:szCs w:val="21"/>
              </w:rPr>
              <w:t>年</w:t>
            </w:r>
          </w:p>
        </w:tc>
        <w:tc>
          <w:tcPr>
            <w:tcW w:w="476" w:type="pct"/>
            <w:vAlign w:val="center"/>
            <w:hideMark/>
          </w:tcPr>
          <w:p w14:paraId="23CC17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2028</w:t>
            </w:r>
            <w:r w:rsidRPr="00DA3766">
              <w:rPr>
                <w:rFonts w:ascii="Times New Roman" w:hAnsi="Times New Roman" w:cs="Times New Roman"/>
                <w:b/>
                <w:bCs/>
                <w:color w:val="000000"/>
                <w:sz w:val="21"/>
                <w:szCs w:val="21"/>
              </w:rPr>
              <w:t>年</w:t>
            </w:r>
          </w:p>
        </w:tc>
        <w:tc>
          <w:tcPr>
            <w:tcW w:w="480" w:type="pct"/>
            <w:vAlign w:val="center"/>
            <w:hideMark/>
          </w:tcPr>
          <w:p w14:paraId="67BF99B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2029</w:t>
            </w:r>
            <w:r w:rsidRPr="00DA3766">
              <w:rPr>
                <w:rFonts w:ascii="Times New Roman" w:hAnsi="Times New Roman" w:cs="Times New Roman"/>
                <w:b/>
                <w:bCs/>
                <w:color w:val="000000"/>
                <w:sz w:val="21"/>
                <w:szCs w:val="21"/>
              </w:rPr>
              <w:t>年</w:t>
            </w:r>
          </w:p>
        </w:tc>
      </w:tr>
      <w:tr w:rsidR="00DA3766" w:rsidRPr="00DA3766" w14:paraId="18650099" w14:textId="77777777" w:rsidTr="00E730E2">
        <w:trPr>
          <w:trHeight w:val="397"/>
          <w:jc w:val="center"/>
        </w:trPr>
        <w:tc>
          <w:tcPr>
            <w:tcW w:w="649" w:type="pct"/>
            <w:vMerge w:val="restart"/>
            <w:vAlign w:val="center"/>
            <w:hideMark/>
          </w:tcPr>
          <w:p w14:paraId="0D55D9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商家服务</w:t>
            </w:r>
          </w:p>
        </w:tc>
        <w:tc>
          <w:tcPr>
            <w:tcW w:w="536" w:type="pct"/>
            <w:vAlign w:val="center"/>
            <w:hideMark/>
          </w:tcPr>
          <w:p w14:paraId="317E38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524DB59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87.69%</w:t>
            </w:r>
          </w:p>
        </w:tc>
        <w:tc>
          <w:tcPr>
            <w:tcW w:w="476" w:type="pct"/>
            <w:vAlign w:val="center"/>
            <w:hideMark/>
          </w:tcPr>
          <w:p w14:paraId="0A3D7A85"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88.04%</w:t>
            </w:r>
          </w:p>
        </w:tc>
        <w:tc>
          <w:tcPr>
            <w:tcW w:w="476" w:type="pct"/>
            <w:vAlign w:val="center"/>
            <w:hideMark/>
          </w:tcPr>
          <w:p w14:paraId="7391E70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87.96%</w:t>
            </w:r>
          </w:p>
        </w:tc>
        <w:tc>
          <w:tcPr>
            <w:tcW w:w="476" w:type="pct"/>
            <w:vAlign w:val="center"/>
            <w:hideMark/>
          </w:tcPr>
          <w:p w14:paraId="3F59DA6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86.53%</w:t>
            </w:r>
          </w:p>
        </w:tc>
        <w:tc>
          <w:tcPr>
            <w:tcW w:w="476" w:type="pct"/>
            <w:vAlign w:val="center"/>
            <w:hideMark/>
          </w:tcPr>
          <w:p w14:paraId="751C84D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86.09%</w:t>
            </w:r>
          </w:p>
        </w:tc>
        <w:tc>
          <w:tcPr>
            <w:tcW w:w="476" w:type="pct"/>
            <w:vAlign w:val="center"/>
            <w:hideMark/>
          </w:tcPr>
          <w:p w14:paraId="6221541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85.64%</w:t>
            </w:r>
          </w:p>
        </w:tc>
        <w:tc>
          <w:tcPr>
            <w:tcW w:w="476" w:type="pct"/>
            <w:vAlign w:val="center"/>
            <w:hideMark/>
          </w:tcPr>
          <w:p w14:paraId="33A3FFD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85.18%</w:t>
            </w:r>
          </w:p>
        </w:tc>
        <w:tc>
          <w:tcPr>
            <w:tcW w:w="480" w:type="pct"/>
            <w:vAlign w:val="center"/>
            <w:hideMark/>
          </w:tcPr>
          <w:p w14:paraId="359B0D9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84.82%</w:t>
            </w:r>
          </w:p>
        </w:tc>
      </w:tr>
      <w:tr w:rsidR="00DA3766" w:rsidRPr="00DA3766" w14:paraId="14144AB9" w14:textId="77777777" w:rsidTr="00E730E2">
        <w:trPr>
          <w:trHeight w:val="397"/>
          <w:jc w:val="center"/>
        </w:trPr>
        <w:tc>
          <w:tcPr>
            <w:tcW w:w="649" w:type="pct"/>
            <w:vMerge/>
            <w:vAlign w:val="center"/>
            <w:hideMark/>
          </w:tcPr>
          <w:p w14:paraId="75D49D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78AC74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0AF2A3DE"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64.75%</w:t>
            </w:r>
          </w:p>
        </w:tc>
        <w:tc>
          <w:tcPr>
            <w:tcW w:w="476" w:type="pct"/>
            <w:vAlign w:val="center"/>
            <w:hideMark/>
          </w:tcPr>
          <w:p w14:paraId="19853F5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54.29%</w:t>
            </w:r>
          </w:p>
        </w:tc>
        <w:tc>
          <w:tcPr>
            <w:tcW w:w="476" w:type="pct"/>
            <w:vAlign w:val="center"/>
            <w:hideMark/>
          </w:tcPr>
          <w:p w14:paraId="27DA945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44.66%</w:t>
            </w:r>
          </w:p>
        </w:tc>
        <w:tc>
          <w:tcPr>
            <w:tcW w:w="476" w:type="pct"/>
            <w:vAlign w:val="center"/>
            <w:hideMark/>
          </w:tcPr>
          <w:p w14:paraId="077A856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44.23%</w:t>
            </w:r>
          </w:p>
        </w:tc>
        <w:tc>
          <w:tcPr>
            <w:tcW w:w="476" w:type="pct"/>
            <w:vAlign w:val="center"/>
            <w:hideMark/>
          </w:tcPr>
          <w:p w14:paraId="025BD30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42.80%</w:t>
            </w:r>
          </w:p>
        </w:tc>
        <w:tc>
          <w:tcPr>
            <w:tcW w:w="476" w:type="pct"/>
            <w:vAlign w:val="center"/>
            <w:hideMark/>
          </w:tcPr>
          <w:p w14:paraId="17BB5F8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41.82%</w:t>
            </w:r>
          </w:p>
        </w:tc>
        <w:tc>
          <w:tcPr>
            <w:tcW w:w="476" w:type="pct"/>
            <w:vAlign w:val="center"/>
            <w:hideMark/>
          </w:tcPr>
          <w:p w14:paraId="0A4C896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41.29%</w:t>
            </w:r>
          </w:p>
        </w:tc>
        <w:tc>
          <w:tcPr>
            <w:tcW w:w="480" w:type="pct"/>
            <w:vAlign w:val="center"/>
            <w:hideMark/>
          </w:tcPr>
          <w:p w14:paraId="3540DAB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41.41%</w:t>
            </w:r>
          </w:p>
        </w:tc>
      </w:tr>
      <w:tr w:rsidR="00DA3766" w:rsidRPr="00DA3766" w14:paraId="2B777D46" w14:textId="77777777" w:rsidTr="00E730E2">
        <w:trPr>
          <w:trHeight w:val="397"/>
          <w:jc w:val="center"/>
        </w:trPr>
        <w:tc>
          <w:tcPr>
            <w:tcW w:w="649" w:type="pct"/>
            <w:vMerge w:val="restart"/>
            <w:vAlign w:val="center"/>
            <w:hideMark/>
          </w:tcPr>
          <w:p w14:paraId="698348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会员服务</w:t>
            </w:r>
          </w:p>
        </w:tc>
        <w:tc>
          <w:tcPr>
            <w:tcW w:w="536" w:type="pct"/>
            <w:vAlign w:val="center"/>
            <w:hideMark/>
          </w:tcPr>
          <w:p w14:paraId="6C7A0C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21345E9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78.35%</w:t>
            </w:r>
          </w:p>
        </w:tc>
        <w:tc>
          <w:tcPr>
            <w:tcW w:w="476" w:type="pct"/>
            <w:vAlign w:val="center"/>
            <w:hideMark/>
          </w:tcPr>
          <w:p w14:paraId="711CDBC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72.27%</w:t>
            </w:r>
          </w:p>
        </w:tc>
        <w:tc>
          <w:tcPr>
            <w:tcW w:w="476" w:type="pct"/>
            <w:vAlign w:val="center"/>
            <w:hideMark/>
          </w:tcPr>
          <w:p w14:paraId="7B2872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65.65%</w:t>
            </w:r>
          </w:p>
        </w:tc>
        <w:tc>
          <w:tcPr>
            <w:tcW w:w="476" w:type="pct"/>
            <w:vAlign w:val="center"/>
            <w:hideMark/>
          </w:tcPr>
          <w:p w14:paraId="59B21A1E"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64.98%</w:t>
            </w:r>
          </w:p>
        </w:tc>
        <w:tc>
          <w:tcPr>
            <w:tcW w:w="476" w:type="pct"/>
            <w:vAlign w:val="center"/>
            <w:hideMark/>
          </w:tcPr>
          <w:p w14:paraId="20A0DA0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64.79%</w:t>
            </w:r>
          </w:p>
        </w:tc>
        <w:tc>
          <w:tcPr>
            <w:tcW w:w="476" w:type="pct"/>
            <w:vAlign w:val="center"/>
            <w:hideMark/>
          </w:tcPr>
          <w:p w14:paraId="55D8EB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64.87%</w:t>
            </w:r>
          </w:p>
        </w:tc>
        <w:tc>
          <w:tcPr>
            <w:tcW w:w="476" w:type="pct"/>
            <w:vAlign w:val="center"/>
            <w:hideMark/>
          </w:tcPr>
          <w:p w14:paraId="7DE0A5F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65.00%</w:t>
            </w:r>
          </w:p>
        </w:tc>
        <w:tc>
          <w:tcPr>
            <w:tcW w:w="480" w:type="pct"/>
            <w:vAlign w:val="center"/>
            <w:hideMark/>
          </w:tcPr>
          <w:p w14:paraId="2E4BC2A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64.89%</w:t>
            </w:r>
          </w:p>
        </w:tc>
      </w:tr>
      <w:tr w:rsidR="00DA3766" w:rsidRPr="00DA3766" w14:paraId="2B2B1D80" w14:textId="77777777" w:rsidTr="00E730E2">
        <w:trPr>
          <w:trHeight w:val="397"/>
          <w:jc w:val="center"/>
        </w:trPr>
        <w:tc>
          <w:tcPr>
            <w:tcW w:w="649" w:type="pct"/>
            <w:vMerge/>
            <w:vAlign w:val="center"/>
            <w:hideMark/>
          </w:tcPr>
          <w:p w14:paraId="220DC2E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04FA84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19AEEE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c>
          <w:tcPr>
            <w:tcW w:w="476" w:type="pct"/>
            <w:vAlign w:val="center"/>
            <w:hideMark/>
          </w:tcPr>
          <w:p w14:paraId="66F5DC0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476" w:type="pct"/>
            <w:vAlign w:val="center"/>
            <w:hideMark/>
          </w:tcPr>
          <w:p w14:paraId="01077B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476" w:type="pct"/>
            <w:vAlign w:val="center"/>
            <w:hideMark/>
          </w:tcPr>
          <w:p w14:paraId="172AC69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36.71%</w:t>
            </w:r>
          </w:p>
        </w:tc>
        <w:tc>
          <w:tcPr>
            <w:tcW w:w="476" w:type="pct"/>
            <w:vAlign w:val="center"/>
            <w:hideMark/>
          </w:tcPr>
          <w:p w14:paraId="5F12246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38.91%</w:t>
            </w:r>
          </w:p>
        </w:tc>
        <w:tc>
          <w:tcPr>
            <w:tcW w:w="476" w:type="pct"/>
            <w:vAlign w:val="center"/>
            <w:hideMark/>
          </w:tcPr>
          <w:p w14:paraId="560AEDE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40.43%</w:t>
            </w:r>
          </w:p>
        </w:tc>
        <w:tc>
          <w:tcPr>
            <w:tcW w:w="476" w:type="pct"/>
            <w:vAlign w:val="center"/>
            <w:hideMark/>
          </w:tcPr>
          <w:p w14:paraId="7C548EE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41.41%</w:t>
            </w:r>
          </w:p>
        </w:tc>
        <w:tc>
          <w:tcPr>
            <w:tcW w:w="480" w:type="pct"/>
            <w:vAlign w:val="center"/>
            <w:hideMark/>
          </w:tcPr>
          <w:p w14:paraId="52FC112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41.52%</w:t>
            </w:r>
          </w:p>
        </w:tc>
      </w:tr>
      <w:tr w:rsidR="00DA3766" w:rsidRPr="00DA3766" w14:paraId="10C7E923" w14:textId="77777777" w:rsidTr="00E730E2">
        <w:trPr>
          <w:trHeight w:val="397"/>
          <w:jc w:val="center"/>
        </w:trPr>
        <w:tc>
          <w:tcPr>
            <w:tcW w:w="649" w:type="pct"/>
            <w:vMerge w:val="restart"/>
            <w:vAlign w:val="center"/>
            <w:hideMark/>
          </w:tcPr>
          <w:p w14:paraId="301775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收单外包服务及其他</w:t>
            </w:r>
          </w:p>
        </w:tc>
        <w:tc>
          <w:tcPr>
            <w:tcW w:w="536" w:type="pct"/>
            <w:vAlign w:val="center"/>
            <w:hideMark/>
          </w:tcPr>
          <w:p w14:paraId="0F0518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51806FB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99.63%</w:t>
            </w:r>
          </w:p>
        </w:tc>
        <w:tc>
          <w:tcPr>
            <w:tcW w:w="476" w:type="pct"/>
            <w:vAlign w:val="center"/>
            <w:hideMark/>
          </w:tcPr>
          <w:p w14:paraId="474BCF1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99.39%</w:t>
            </w:r>
          </w:p>
        </w:tc>
        <w:tc>
          <w:tcPr>
            <w:tcW w:w="476" w:type="pct"/>
            <w:vAlign w:val="center"/>
            <w:hideMark/>
          </w:tcPr>
          <w:p w14:paraId="4253D9D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98.99%</w:t>
            </w:r>
          </w:p>
        </w:tc>
        <w:tc>
          <w:tcPr>
            <w:tcW w:w="476" w:type="pct"/>
            <w:vAlign w:val="center"/>
            <w:hideMark/>
          </w:tcPr>
          <w:p w14:paraId="25D8704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99.16%</w:t>
            </w:r>
          </w:p>
        </w:tc>
        <w:tc>
          <w:tcPr>
            <w:tcW w:w="476" w:type="pct"/>
            <w:vAlign w:val="center"/>
            <w:hideMark/>
          </w:tcPr>
          <w:p w14:paraId="7B57706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99.30%</w:t>
            </w:r>
          </w:p>
        </w:tc>
        <w:tc>
          <w:tcPr>
            <w:tcW w:w="476" w:type="pct"/>
            <w:vAlign w:val="center"/>
            <w:hideMark/>
          </w:tcPr>
          <w:p w14:paraId="6481581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99.21%</w:t>
            </w:r>
          </w:p>
        </w:tc>
        <w:tc>
          <w:tcPr>
            <w:tcW w:w="476" w:type="pct"/>
            <w:vAlign w:val="center"/>
            <w:hideMark/>
          </w:tcPr>
          <w:p w14:paraId="511C8D3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99.12%</w:t>
            </w:r>
          </w:p>
        </w:tc>
        <w:tc>
          <w:tcPr>
            <w:tcW w:w="480" w:type="pct"/>
            <w:vAlign w:val="center"/>
            <w:hideMark/>
          </w:tcPr>
          <w:p w14:paraId="4F627FA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99.03%</w:t>
            </w:r>
          </w:p>
        </w:tc>
      </w:tr>
      <w:tr w:rsidR="00DA3766" w:rsidRPr="00DA3766" w14:paraId="04F97679" w14:textId="77777777" w:rsidTr="00E730E2">
        <w:trPr>
          <w:trHeight w:val="397"/>
          <w:jc w:val="center"/>
        </w:trPr>
        <w:tc>
          <w:tcPr>
            <w:tcW w:w="649" w:type="pct"/>
            <w:vMerge/>
            <w:vAlign w:val="center"/>
            <w:hideMark/>
          </w:tcPr>
          <w:p w14:paraId="604791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34A2AE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600A95C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25.99%</w:t>
            </w:r>
          </w:p>
        </w:tc>
        <w:tc>
          <w:tcPr>
            <w:tcW w:w="476" w:type="pct"/>
            <w:vAlign w:val="center"/>
            <w:hideMark/>
          </w:tcPr>
          <w:p w14:paraId="112057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24.26%</w:t>
            </w:r>
          </w:p>
        </w:tc>
        <w:tc>
          <w:tcPr>
            <w:tcW w:w="476" w:type="pct"/>
            <w:vAlign w:val="center"/>
            <w:hideMark/>
          </w:tcPr>
          <w:p w14:paraId="20DAAD4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19.35%</w:t>
            </w:r>
          </w:p>
        </w:tc>
        <w:tc>
          <w:tcPr>
            <w:tcW w:w="476" w:type="pct"/>
            <w:vAlign w:val="center"/>
            <w:hideMark/>
          </w:tcPr>
          <w:p w14:paraId="0036C99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19.06%</w:t>
            </w:r>
          </w:p>
        </w:tc>
        <w:tc>
          <w:tcPr>
            <w:tcW w:w="476" w:type="pct"/>
            <w:vAlign w:val="center"/>
            <w:hideMark/>
          </w:tcPr>
          <w:p w14:paraId="50DFD02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18.29%</w:t>
            </w:r>
          </w:p>
        </w:tc>
        <w:tc>
          <w:tcPr>
            <w:tcW w:w="476" w:type="pct"/>
            <w:vAlign w:val="center"/>
            <w:hideMark/>
          </w:tcPr>
          <w:p w14:paraId="3540B05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17.75%</w:t>
            </w:r>
          </w:p>
        </w:tc>
        <w:tc>
          <w:tcPr>
            <w:tcW w:w="476" w:type="pct"/>
            <w:vAlign w:val="center"/>
            <w:hideMark/>
          </w:tcPr>
          <w:p w14:paraId="0DBA22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17.30%</w:t>
            </w:r>
          </w:p>
        </w:tc>
        <w:tc>
          <w:tcPr>
            <w:tcW w:w="480" w:type="pct"/>
            <w:vAlign w:val="center"/>
            <w:hideMark/>
          </w:tcPr>
          <w:p w14:paraId="38BEA62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17.07%</w:t>
            </w:r>
          </w:p>
        </w:tc>
      </w:tr>
      <w:tr w:rsidR="00DA3766" w:rsidRPr="00DA3766" w14:paraId="637FDB0D" w14:textId="77777777" w:rsidTr="00E730E2">
        <w:trPr>
          <w:trHeight w:val="397"/>
          <w:jc w:val="center"/>
        </w:trPr>
        <w:tc>
          <w:tcPr>
            <w:tcW w:w="649" w:type="pct"/>
            <w:vMerge w:val="restart"/>
            <w:vAlign w:val="center"/>
            <w:hideMark/>
          </w:tcPr>
          <w:p w14:paraId="7142B1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SaaS</w:t>
            </w:r>
            <w:r w:rsidRPr="00DA3766">
              <w:rPr>
                <w:rFonts w:ascii="Times New Roman" w:hAnsi="Times New Roman" w:cs="Times New Roman"/>
                <w:b/>
                <w:bCs/>
                <w:color w:val="000000"/>
                <w:sz w:val="21"/>
                <w:szCs w:val="21"/>
              </w:rPr>
              <w:t>云平台业务</w:t>
            </w:r>
          </w:p>
        </w:tc>
        <w:tc>
          <w:tcPr>
            <w:tcW w:w="536" w:type="pct"/>
            <w:vAlign w:val="center"/>
            <w:hideMark/>
          </w:tcPr>
          <w:p w14:paraId="26B0FD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毛利率</w:t>
            </w:r>
          </w:p>
        </w:tc>
        <w:tc>
          <w:tcPr>
            <w:tcW w:w="476" w:type="pct"/>
            <w:vAlign w:val="center"/>
            <w:hideMark/>
          </w:tcPr>
          <w:p w14:paraId="6EFD1C5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89.93%</w:t>
            </w:r>
          </w:p>
        </w:tc>
        <w:tc>
          <w:tcPr>
            <w:tcW w:w="476" w:type="pct"/>
            <w:vAlign w:val="center"/>
            <w:hideMark/>
          </w:tcPr>
          <w:p w14:paraId="7F35F07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87.41%</w:t>
            </w:r>
          </w:p>
        </w:tc>
        <w:tc>
          <w:tcPr>
            <w:tcW w:w="476" w:type="pct"/>
            <w:vAlign w:val="center"/>
            <w:hideMark/>
          </w:tcPr>
          <w:p w14:paraId="535675D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82.07%</w:t>
            </w:r>
          </w:p>
        </w:tc>
        <w:tc>
          <w:tcPr>
            <w:tcW w:w="476" w:type="pct"/>
            <w:vAlign w:val="center"/>
            <w:hideMark/>
          </w:tcPr>
          <w:p w14:paraId="36F4BCD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81.03%</w:t>
            </w:r>
          </w:p>
        </w:tc>
        <w:tc>
          <w:tcPr>
            <w:tcW w:w="476" w:type="pct"/>
            <w:vAlign w:val="center"/>
            <w:hideMark/>
          </w:tcPr>
          <w:p w14:paraId="65FE1D6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80.22%</w:t>
            </w:r>
          </w:p>
        </w:tc>
        <w:tc>
          <w:tcPr>
            <w:tcW w:w="476" w:type="pct"/>
            <w:vAlign w:val="center"/>
            <w:hideMark/>
          </w:tcPr>
          <w:p w14:paraId="60BA342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79.65%</w:t>
            </w:r>
          </w:p>
        </w:tc>
        <w:tc>
          <w:tcPr>
            <w:tcW w:w="476" w:type="pct"/>
            <w:vAlign w:val="center"/>
            <w:hideMark/>
          </w:tcPr>
          <w:p w14:paraId="626FD08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79.23%</w:t>
            </w:r>
          </w:p>
        </w:tc>
        <w:tc>
          <w:tcPr>
            <w:tcW w:w="480" w:type="pct"/>
            <w:vAlign w:val="center"/>
            <w:hideMark/>
          </w:tcPr>
          <w:p w14:paraId="769F976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78.97%</w:t>
            </w:r>
          </w:p>
        </w:tc>
      </w:tr>
      <w:tr w:rsidR="00DA3766" w:rsidRPr="00DA3766" w14:paraId="108634D7" w14:textId="77777777" w:rsidTr="00E730E2">
        <w:trPr>
          <w:trHeight w:val="397"/>
          <w:jc w:val="center"/>
        </w:trPr>
        <w:tc>
          <w:tcPr>
            <w:tcW w:w="649" w:type="pct"/>
            <w:vMerge/>
            <w:vAlign w:val="center"/>
            <w:hideMark/>
          </w:tcPr>
          <w:p w14:paraId="3B03682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p>
        </w:tc>
        <w:tc>
          <w:tcPr>
            <w:tcW w:w="536" w:type="pct"/>
            <w:vAlign w:val="center"/>
            <w:hideMark/>
          </w:tcPr>
          <w:p w14:paraId="0CBF5F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收入占比</w:t>
            </w:r>
          </w:p>
        </w:tc>
        <w:tc>
          <w:tcPr>
            <w:tcW w:w="476" w:type="pct"/>
            <w:vAlign w:val="center"/>
            <w:hideMark/>
          </w:tcPr>
          <w:p w14:paraId="24B63E9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7E8B277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3B76554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5B161A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0FCF32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308053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25BBF8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80" w:type="pct"/>
            <w:vAlign w:val="center"/>
            <w:hideMark/>
          </w:tcPr>
          <w:p w14:paraId="372E91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79733C8B" w14:textId="431F5455" w:rsidR="00E730E2" w:rsidRPr="00E730E2" w:rsidRDefault="00E730E2" w:rsidP="00E730E2">
      <w:pPr>
        <w:spacing w:beforeLines="0" w:before="0" w:afterLines="0" w:after="0" w:line="240" w:lineRule="auto"/>
        <w:ind w:firstLine="420"/>
        <w:jc w:val="both"/>
        <w:rPr>
          <w:rFonts w:ascii="Times New Roman" w:hAnsi="Times New Roman" w:cs="Times New Roman"/>
          <w:bCs/>
          <w:sz w:val="21"/>
        </w:rPr>
      </w:pPr>
      <w:r w:rsidRPr="00E730E2">
        <w:rPr>
          <w:rFonts w:ascii="Times New Roman" w:hAnsi="Times New Roman" w:cs="Times New Roman" w:hint="eastAsia"/>
          <w:bCs/>
          <w:sz w:val="21"/>
        </w:rPr>
        <w:t>注：商家服务包括客户定制化开发业务等。</w:t>
      </w:r>
    </w:p>
    <w:p w14:paraId="07A5DC9F" w14:textId="61E06AE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云平台的整体业务毛利率呈现逐年下降的趋势，这主要系收入结构的变化导致，毛利率较低的会员服务业务在报告期内收入快速增长，预计未来继续稳步增长，使得预测期内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云平台整体</w:t>
      </w:r>
      <w:r w:rsidR="00872105">
        <w:rPr>
          <w:rFonts w:ascii="Times New Roman" w:hAnsi="Times New Roman" w:cs="Times New Roman" w:hint="eastAsia"/>
          <w:kern w:val="2"/>
          <w:szCs w:val="22"/>
        </w:rPr>
        <w:t>毛利率</w:t>
      </w:r>
      <w:r w:rsidRPr="00DA3766">
        <w:rPr>
          <w:rFonts w:ascii="Times New Roman" w:hAnsi="Times New Roman" w:cs="Times New Roman"/>
          <w:kern w:val="2"/>
          <w:szCs w:val="22"/>
        </w:rPr>
        <w:t>有所下降。</w:t>
      </w:r>
    </w:p>
    <w:p w14:paraId="010D824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）商家服务</w:t>
      </w:r>
    </w:p>
    <w:p w14:paraId="7E4C82D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预测期内，商家服务收入的毛利率预计将小幅下降，但仍将保持相对稳定。主要系由于毛利率相对较低的智慧出行领域商家服务业务未来预计增长较快，使得整体商家服务毛利率略微下降，具备合理性。</w:t>
      </w:r>
    </w:p>
    <w:p w14:paraId="584434C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）会员服务</w:t>
      </w:r>
    </w:p>
    <w:p w14:paraId="4BAA281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报告期内会员服务业务毛利率有所下降，主要系标的公司自</w:t>
      </w:r>
      <w:r w:rsidRPr="00DA3766">
        <w:rPr>
          <w:rFonts w:ascii="Times New Roman" w:hAnsi="Times New Roman" w:cs="Times New Roman"/>
          <w:kern w:val="2"/>
          <w:szCs w:val="22"/>
        </w:rPr>
        <w:t>2023</w:t>
      </w:r>
      <w:r w:rsidRPr="00DA3766">
        <w:rPr>
          <w:rFonts w:ascii="Times New Roman" w:hAnsi="Times New Roman" w:cs="Times New Roman"/>
          <w:kern w:val="2"/>
          <w:szCs w:val="22"/>
        </w:rPr>
        <w:t>年开始开展会员服务业务以来，持续打磨和挖掘用户潜力，增加了丰富的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端用户会员权益，在提高单用户贡献金额的同时也增加了该业务的成本。预测期内，标的公司将持续增强用户粘性、丰富权益内容和扩大会员规模，进一步满足用户群体的</w:t>
      </w:r>
      <w:r w:rsidRPr="00DA3766">
        <w:rPr>
          <w:rFonts w:ascii="Times New Roman" w:hAnsi="Times New Roman" w:cs="Times New Roman"/>
          <w:kern w:val="2"/>
          <w:szCs w:val="22"/>
        </w:rPr>
        <w:lastRenderedPageBreak/>
        <w:t>日常消费需要。因此在该经营策略下，预测期内标的公司在带动会员服务销售收入的持续增长的同时成本持续提高，毛利率有所下降但总体保持稳定，具备合理性。</w:t>
      </w:r>
    </w:p>
    <w:p w14:paraId="59D0B3C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）收单外包服务</w:t>
      </w:r>
    </w:p>
    <w:p w14:paraId="368CABD6" w14:textId="025EB65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及预测期内，收单外包服务的毛利率维持在较高水平并保持稳定，主要系由于收单外包服务成本主要为按交易金额向渠道方支付的少量手续费，该成本金额占收入比例较低且稳定，因此预测期内毛利率预测具备合理性。</w:t>
      </w:r>
    </w:p>
    <w:p w14:paraId="4DA8F779"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（三）数字增值服务板块</w:t>
      </w:r>
    </w:p>
    <w:p w14:paraId="662AC8C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126562B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标的公司数字增值服务主要包括基于自身</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为电商平台等客户提供包括开屏广告等全场景数字增值服务。标的公司凭借广泛的用户覆盖、多样化的应用场景及强大的下沉市场渗透能力，未来数字增值服务业务收入将持续增长。本次评估对标的公司未来数字增值服务收入进行预测时，参考了历史经营数据，同时结合支付用户数量、单用户贡献等因素进行综合预测。</w:t>
      </w:r>
    </w:p>
    <w:p w14:paraId="5689F4CE"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）非场地设备业务数字增值服务</w:t>
      </w:r>
    </w:p>
    <w:p w14:paraId="05815E4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非场地设备业务数字增值服务业务收入预测主要依据年度支付用户数量和单用户贡献金额进行测算，具体测算情况如下：</w:t>
      </w:r>
    </w:p>
    <w:tbl>
      <w:tblPr>
        <w:tblW w:w="673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02"/>
        <w:gridCol w:w="1098"/>
        <w:gridCol w:w="1100"/>
        <w:gridCol w:w="1100"/>
        <w:gridCol w:w="1100"/>
        <w:gridCol w:w="1100"/>
        <w:gridCol w:w="1100"/>
        <w:gridCol w:w="1100"/>
        <w:gridCol w:w="1084"/>
      </w:tblGrid>
      <w:tr w:rsidR="00872105" w:rsidRPr="00DA3766" w14:paraId="5A8C3DAF" w14:textId="77777777" w:rsidTr="00872105">
        <w:trPr>
          <w:trHeight w:val="397"/>
          <w:tblHeader/>
          <w:jc w:val="center"/>
        </w:trPr>
        <w:tc>
          <w:tcPr>
            <w:tcW w:w="1176" w:type="pct"/>
            <w:vMerge w:val="restart"/>
            <w:vAlign w:val="center"/>
          </w:tcPr>
          <w:p w14:paraId="4F0987CE" w14:textId="77777777"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年份</w:t>
            </w:r>
          </w:p>
        </w:tc>
        <w:tc>
          <w:tcPr>
            <w:tcW w:w="1436" w:type="pct"/>
            <w:gridSpan w:val="3"/>
            <w:vAlign w:val="center"/>
          </w:tcPr>
          <w:p w14:paraId="61F8FA4E" w14:textId="61490CC8"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388" w:type="pct"/>
            <w:gridSpan w:val="5"/>
            <w:vAlign w:val="center"/>
          </w:tcPr>
          <w:p w14:paraId="45F4C73D" w14:textId="64C7D9BC"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872105" w:rsidRPr="00DA3766" w14:paraId="3B57782A" w14:textId="77777777" w:rsidTr="00872105">
        <w:trPr>
          <w:trHeight w:val="397"/>
          <w:tblHeader/>
          <w:jc w:val="center"/>
        </w:trPr>
        <w:tc>
          <w:tcPr>
            <w:tcW w:w="1176" w:type="pct"/>
            <w:vMerge/>
            <w:vAlign w:val="center"/>
            <w:hideMark/>
          </w:tcPr>
          <w:p w14:paraId="51274A3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478" w:type="pct"/>
            <w:vAlign w:val="center"/>
            <w:hideMark/>
          </w:tcPr>
          <w:p w14:paraId="6B566862"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479" w:type="pct"/>
            <w:vAlign w:val="center"/>
            <w:hideMark/>
          </w:tcPr>
          <w:p w14:paraId="6CEF59FB"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479" w:type="pct"/>
            <w:vAlign w:val="center"/>
          </w:tcPr>
          <w:p w14:paraId="5C8A84DE" w14:textId="2AA5A946"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w:hAnsi="Times" w:hint="eastAsia"/>
                <w:b/>
                <w:color w:val="000000"/>
                <w:sz w:val="20"/>
                <w:szCs w:val="22"/>
              </w:rPr>
              <w:t>2</w:t>
            </w:r>
            <w:r>
              <w:rPr>
                <w:rFonts w:ascii="Times" w:hAnsi="Times"/>
                <w:b/>
                <w:color w:val="000000"/>
                <w:sz w:val="20"/>
                <w:szCs w:val="22"/>
              </w:rPr>
              <w:t>025</w:t>
            </w:r>
            <w:r>
              <w:rPr>
                <w:rFonts w:ascii="Times" w:hAnsi="Times" w:hint="eastAsia"/>
                <w:b/>
                <w:color w:val="000000"/>
                <w:sz w:val="20"/>
                <w:szCs w:val="22"/>
              </w:rPr>
              <w:t>年</w:t>
            </w:r>
            <w:r>
              <w:rPr>
                <w:rFonts w:ascii="Times" w:hAnsi="Times" w:hint="eastAsia"/>
                <w:b/>
                <w:color w:val="000000"/>
                <w:sz w:val="20"/>
                <w:szCs w:val="22"/>
              </w:rPr>
              <w:t>1</w:t>
            </w:r>
            <w:r>
              <w:rPr>
                <w:rFonts w:ascii="Times" w:hAnsi="Times"/>
                <w:b/>
                <w:color w:val="000000"/>
                <w:sz w:val="20"/>
                <w:szCs w:val="22"/>
              </w:rPr>
              <w:t>-6</w:t>
            </w:r>
            <w:r>
              <w:rPr>
                <w:rFonts w:ascii="Times" w:hAnsi="Times" w:hint="eastAsia"/>
                <w:b/>
                <w:color w:val="000000"/>
                <w:sz w:val="20"/>
                <w:szCs w:val="22"/>
              </w:rPr>
              <w:t>月</w:t>
            </w:r>
          </w:p>
        </w:tc>
        <w:tc>
          <w:tcPr>
            <w:tcW w:w="479" w:type="pct"/>
            <w:vAlign w:val="center"/>
            <w:hideMark/>
          </w:tcPr>
          <w:p w14:paraId="355BDF0E" w14:textId="27A7699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年度</w:t>
            </w:r>
          </w:p>
        </w:tc>
        <w:tc>
          <w:tcPr>
            <w:tcW w:w="479" w:type="pct"/>
            <w:vAlign w:val="center"/>
            <w:hideMark/>
          </w:tcPr>
          <w:p w14:paraId="2088F314"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479" w:type="pct"/>
            <w:vAlign w:val="center"/>
            <w:hideMark/>
          </w:tcPr>
          <w:p w14:paraId="40E21BAF"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479" w:type="pct"/>
            <w:vAlign w:val="center"/>
            <w:hideMark/>
          </w:tcPr>
          <w:p w14:paraId="3D4CE51C"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472" w:type="pct"/>
            <w:vAlign w:val="center"/>
            <w:hideMark/>
          </w:tcPr>
          <w:p w14:paraId="49FE4986"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r>
      <w:tr w:rsidR="00872105" w:rsidRPr="00DA3766" w14:paraId="54BCD9F2" w14:textId="77777777" w:rsidTr="00872105">
        <w:trPr>
          <w:trHeight w:val="397"/>
          <w:jc w:val="center"/>
        </w:trPr>
        <w:tc>
          <w:tcPr>
            <w:tcW w:w="1176" w:type="pct"/>
            <w:vAlign w:val="center"/>
            <w:hideMark/>
          </w:tcPr>
          <w:p w14:paraId="25A9BEF9"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非场地设备业务</w:t>
            </w:r>
          </w:p>
          <w:p w14:paraId="7C101684"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支付用户数量（万人）</w:t>
            </w:r>
          </w:p>
        </w:tc>
        <w:tc>
          <w:tcPr>
            <w:tcW w:w="478" w:type="pct"/>
            <w:vAlign w:val="center"/>
            <w:hideMark/>
          </w:tcPr>
          <w:p w14:paraId="103CD1C6"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53,185.80</w:t>
            </w:r>
          </w:p>
        </w:tc>
        <w:tc>
          <w:tcPr>
            <w:tcW w:w="479" w:type="pct"/>
            <w:vAlign w:val="center"/>
            <w:hideMark/>
          </w:tcPr>
          <w:p w14:paraId="08484A5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52,634.31</w:t>
            </w:r>
          </w:p>
        </w:tc>
        <w:tc>
          <w:tcPr>
            <w:tcW w:w="479" w:type="pct"/>
            <w:vAlign w:val="center"/>
          </w:tcPr>
          <w:p w14:paraId="3FE844C6" w14:textId="305B9EF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6E621F">
              <w:rPr>
                <w:rFonts w:ascii="Times" w:hAnsi="Times"/>
                <w:color w:val="000000"/>
                <w:sz w:val="20"/>
                <w:szCs w:val="22"/>
              </w:rPr>
              <w:t>23,893.93</w:t>
            </w:r>
          </w:p>
        </w:tc>
        <w:tc>
          <w:tcPr>
            <w:tcW w:w="479" w:type="pct"/>
            <w:vAlign w:val="center"/>
            <w:hideMark/>
          </w:tcPr>
          <w:p w14:paraId="58578713" w14:textId="49182FA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55,053.01</w:t>
            </w:r>
          </w:p>
        </w:tc>
        <w:tc>
          <w:tcPr>
            <w:tcW w:w="479" w:type="pct"/>
            <w:vAlign w:val="center"/>
            <w:hideMark/>
          </w:tcPr>
          <w:p w14:paraId="30E5BD98"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58,783.92</w:t>
            </w:r>
          </w:p>
        </w:tc>
        <w:tc>
          <w:tcPr>
            <w:tcW w:w="479" w:type="pct"/>
            <w:vAlign w:val="center"/>
            <w:hideMark/>
          </w:tcPr>
          <w:p w14:paraId="78A733F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62,434.04</w:t>
            </w:r>
          </w:p>
        </w:tc>
        <w:tc>
          <w:tcPr>
            <w:tcW w:w="479" w:type="pct"/>
            <w:vAlign w:val="center"/>
            <w:hideMark/>
          </w:tcPr>
          <w:p w14:paraId="4180F946"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65,783.09</w:t>
            </w:r>
          </w:p>
        </w:tc>
        <w:tc>
          <w:tcPr>
            <w:tcW w:w="472" w:type="pct"/>
            <w:vAlign w:val="center"/>
            <w:hideMark/>
          </w:tcPr>
          <w:p w14:paraId="0BE7BFFC"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69,267.97</w:t>
            </w:r>
          </w:p>
        </w:tc>
      </w:tr>
      <w:tr w:rsidR="00872105" w:rsidRPr="00DA3766" w14:paraId="2E7FEF85" w14:textId="77777777" w:rsidTr="00872105">
        <w:trPr>
          <w:trHeight w:val="397"/>
          <w:jc w:val="center"/>
        </w:trPr>
        <w:tc>
          <w:tcPr>
            <w:tcW w:w="1176" w:type="pct"/>
            <w:vAlign w:val="center"/>
            <w:hideMark/>
          </w:tcPr>
          <w:p w14:paraId="6C0209FA"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单用户贡献（元</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人）</w:t>
            </w:r>
          </w:p>
        </w:tc>
        <w:tc>
          <w:tcPr>
            <w:tcW w:w="478" w:type="pct"/>
            <w:vAlign w:val="center"/>
            <w:hideMark/>
          </w:tcPr>
          <w:p w14:paraId="2545BFB2"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0.10</w:t>
            </w:r>
          </w:p>
        </w:tc>
        <w:tc>
          <w:tcPr>
            <w:tcW w:w="479" w:type="pct"/>
            <w:vAlign w:val="center"/>
            <w:hideMark/>
          </w:tcPr>
          <w:p w14:paraId="7FD7DD8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c>
          <w:tcPr>
            <w:tcW w:w="479" w:type="pct"/>
            <w:vAlign w:val="center"/>
          </w:tcPr>
          <w:p w14:paraId="2E141EEB" w14:textId="45EE874E"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BD4E5B">
              <w:rPr>
                <w:rFonts w:ascii="Times" w:hAnsi="Times" w:hint="eastAsia"/>
                <w:color w:val="000000"/>
                <w:sz w:val="20"/>
                <w:szCs w:val="22"/>
              </w:rPr>
              <w:t>0.14</w:t>
            </w:r>
          </w:p>
        </w:tc>
        <w:tc>
          <w:tcPr>
            <w:tcW w:w="479" w:type="pct"/>
            <w:vAlign w:val="center"/>
            <w:hideMark/>
          </w:tcPr>
          <w:p w14:paraId="1759E03B" w14:textId="4CA3417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6DFBF1CD"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7578326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1F3310E9"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c>
          <w:tcPr>
            <w:tcW w:w="472" w:type="pct"/>
            <w:vAlign w:val="center"/>
            <w:hideMark/>
          </w:tcPr>
          <w:p w14:paraId="051C6CA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r>
      <w:tr w:rsidR="00872105" w:rsidRPr="00DA3766" w14:paraId="4CEC464D" w14:textId="77777777" w:rsidTr="00872105">
        <w:trPr>
          <w:trHeight w:val="397"/>
          <w:jc w:val="center"/>
        </w:trPr>
        <w:tc>
          <w:tcPr>
            <w:tcW w:w="1176" w:type="pct"/>
            <w:vAlign w:val="center"/>
          </w:tcPr>
          <w:p w14:paraId="7D14A06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非场地设备业务</w:t>
            </w:r>
          </w:p>
          <w:p w14:paraId="1B5A5627"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数字增值服务收入（万元）</w:t>
            </w:r>
          </w:p>
        </w:tc>
        <w:tc>
          <w:tcPr>
            <w:tcW w:w="478" w:type="pct"/>
            <w:vAlign w:val="center"/>
          </w:tcPr>
          <w:p w14:paraId="73A7DBA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5,282.76</w:t>
            </w:r>
          </w:p>
        </w:tc>
        <w:tc>
          <w:tcPr>
            <w:tcW w:w="479" w:type="pct"/>
            <w:vAlign w:val="center"/>
          </w:tcPr>
          <w:p w14:paraId="09A17194"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7,238.74</w:t>
            </w:r>
          </w:p>
        </w:tc>
        <w:tc>
          <w:tcPr>
            <w:tcW w:w="479" w:type="pct"/>
            <w:vAlign w:val="center"/>
          </w:tcPr>
          <w:p w14:paraId="07928956" w14:textId="6AC994C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6E621F">
              <w:rPr>
                <w:rFonts w:ascii="Times" w:hAnsi="Times"/>
                <w:b/>
                <w:bCs/>
                <w:color w:val="000000"/>
                <w:sz w:val="20"/>
                <w:szCs w:val="22"/>
              </w:rPr>
              <w:t>3,377.04</w:t>
            </w:r>
          </w:p>
        </w:tc>
        <w:tc>
          <w:tcPr>
            <w:tcW w:w="479" w:type="pct"/>
            <w:vAlign w:val="center"/>
          </w:tcPr>
          <w:p w14:paraId="118EF656" w14:textId="54F2F44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7,160.45</w:t>
            </w:r>
          </w:p>
        </w:tc>
        <w:tc>
          <w:tcPr>
            <w:tcW w:w="479" w:type="pct"/>
            <w:vAlign w:val="center"/>
          </w:tcPr>
          <w:p w14:paraId="348D043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7,799.77</w:t>
            </w:r>
          </w:p>
        </w:tc>
        <w:tc>
          <w:tcPr>
            <w:tcW w:w="479" w:type="pct"/>
            <w:vAlign w:val="center"/>
          </w:tcPr>
          <w:p w14:paraId="20E80DB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8,380.01</w:t>
            </w:r>
          </w:p>
        </w:tc>
        <w:tc>
          <w:tcPr>
            <w:tcW w:w="479" w:type="pct"/>
            <w:vAlign w:val="center"/>
          </w:tcPr>
          <w:p w14:paraId="016428B7"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8,913.45</w:t>
            </w:r>
          </w:p>
        </w:tc>
        <w:tc>
          <w:tcPr>
            <w:tcW w:w="472" w:type="pct"/>
            <w:vAlign w:val="center"/>
          </w:tcPr>
          <w:p w14:paraId="7A7A9D2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9,469.42</w:t>
            </w:r>
          </w:p>
        </w:tc>
      </w:tr>
    </w:tbl>
    <w:p w14:paraId="1F867A46" w14:textId="72CACC0D"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非场地设备的数字增值服务主要为具有品牌推广、用户增长或广告投放需求的广告客户提供精准营销服务。</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公司依托所积累的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端用户资源，通过广告展示、链接跳转、公众号推送等形式，协助客户达成用户获取与业务推广的目标。</w:t>
      </w:r>
    </w:p>
    <w:p w14:paraId="050D8EBF" w14:textId="5665782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报告期内，单用户贡献金额有所增长，主要得益于广告主在制定投放决策时，</w:t>
      </w:r>
      <w:r w:rsidRPr="00DA3766">
        <w:rPr>
          <w:rFonts w:ascii="Times New Roman" w:hAnsi="Times New Roman" w:cs="Times New Roman"/>
          <w:kern w:val="2"/>
          <w:szCs w:val="22"/>
        </w:rPr>
        <w:lastRenderedPageBreak/>
        <w:t>通常会综合评估投放平台的运营能力、终端用户覆盖规模及用户画像特征，标的公司报告期末终端消费者接入数量已近</w:t>
      </w:r>
      <w:r w:rsidRPr="00DA3766">
        <w:rPr>
          <w:rFonts w:ascii="Times New Roman" w:hAnsi="Times New Roman" w:cs="Times New Roman"/>
          <w:kern w:val="2"/>
          <w:szCs w:val="22"/>
        </w:rPr>
        <w:t>6</w:t>
      </w:r>
      <w:r w:rsidRPr="00DA3766">
        <w:rPr>
          <w:rFonts w:ascii="Times New Roman" w:hAnsi="Times New Roman" w:cs="Times New Roman"/>
          <w:kern w:val="2"/>
          <w:szCs w:val="22"/>
        </w:rPr>
        <w:t>亿，支付用户数超过</w:t>
      </w:r>
      <w:r w:rsidRPr="00DA3766">
        <w:rPr>
          <w:rFonts w:ascii="Times New Roman" w:hAnsi="Times New Roman" w:cs="Times New Roman"/>
          <w:kern w:val="2"/>
          <w:szCs w:val="22"/>
        </w:rPr>
        <w:t>5</w:t>
      </w:r>
      <w:r w:rsidRPr="00DA3766">
        <w:rPr>
          <w:rFonts w:ascii="Times New Roman" w:hAnsi="Times New Roman" w:cs="Times New Roman"/>
          <w:kern w:val="2"/>
          <w:szCs w:val="22"/>
        </w:rPr>
        <w:t>亿，且用户以高活跃度、高消费潜力的青年群体为主，与京东、支付宝等主要广告主的投放目标客群高度契合，使得单用户贡献金额有所增加。基于</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公司现有用户基础及持续拓展能力，未来将持续获得稳定的广告合作，预测期内，单用户贡献金额按</w:t>
      </w:r>
      <w:r w:rsidRPr="00DA3766">
        <w:rPr>
          <w:rFonts w:ascii="Times New Roman" w:hAnsi="Times New Roman" w:cs="Times New Roman"/>
          <w:kern w:val="2"/>
          <w:szCs w:val="22"/>
        </w:rPr>
        <w:t>0.13</w:t>
      </w:r>
      <w:r w:rsidRPr="00DA3766">
        <w:rPr>
          <w:rFonts w:ascii="Times New Roman" w:hAnsi="Times New Roman" w:cs="Times New Roman"/>
          <w:kern w:val="2"/>
          <w:szCs w:val="22"/>
        </w:rPr>
        <w:t>元至</w:t>
      </w:r>
      <w:r w:rsidRPr="00DA3766">
        <w:rPr>
          <w:rFonts w:ascii="Times New Roman" w:hAnsi="Times New Roman" w:cs="Times New Roman"/>
          <w:kern w:val="2"/>
          <w:szCs w:val="22"/>
        </w:rPr>
        <w:t>0.14</w:t>
      </w:r>
      <w:r w:rsidRPr="00DA3766">
        <w:rPr>
          <w:rFonts w:ascii="Times New Roman" w:hAnsi="Times New Roman" w:cs="Times New Roman"/>
          <w:kern w:val="2"/>
          <w:szCs w:val="22"/>
        </w:rPr>
        <w:t>元</w:t>
      </w:r>
      <w:r w:rsidRPr="00DA3766">
        <w:rPr>
          <w:rFonts w:ascii="Times New Roman" w:hAnsi="Times New Roman" w:cs="Times New Roman"/>
          <w:kern w:val="2"/>
          <w:szCs w:val="22"/>
        </w:rPr>
        <w:t>/</w:t>
      </w:r>
      <w:r w:rsidRPr="00DA3766">
        <w:rPr>
          <w:rFonts w:ascii="Times New Roman" w:hAnsi="Times New Roman" w:cs="Times New Roman"/>
          <w:kern w:val="2"/>
          <w:szCs w:val="22"/>
        </w:rPr>
        <w:t>人进行测算具备合理性。</w:t>
      </w:r>
    </w:p>
    <w:p w14:paraId="7429FB84" w14:textId="77B7F224"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4C78BF">
        <w:rPr>
          <w:rFonts w:ascii="Times New Roman" w:hAnsi="Times New Roman" w:cs="Times New Roman" w:hint="eastAsia"/>
          <w:b/>
          <w:bCs/>
          <w:kern w:val="2"/>
          <w:szCs w:val="28"/>
        </w:rPr>
        <w:t>2</w:t>
      </w:r>
      <w:r w:rsidRPr="00DA3766">
        <w:rPr>
          <w:rFonts w:ascii="Times New Roman" w:hAnsi="Times New Roman" w:cs="Times New Roman"/>
          <w:b/>
          <w:bCs/>
          <w:kern w:val="2"/>
          <w:szCs w:val="28"/>
        </w:rPr>
        <w:t>）场地解决方案业务数字增值服务</w:t>
      </w:r>
    </w:p>
    <w:p w14:paraId="09A2F7C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场地设备解决方案业务的数字增值服务主要系为客户提供引流、运营规划等服务，标的公司基于当期交易额的一定比例收取代运营服务费。因此其收入预测主要依据年度服务费率和代运营总交易金额进行测算。</w:t>
      </w:r>
    </w:p>
    <w:tbl>
      <w:tblPr>
        <w:tblW w:w="631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043"/>
        <w:gridCol w:w="1042"/>
        <w:gridCol w:w="1035"/>
        <w:gridCol w:w="1035"/>
        <w:gridCol w:w="1035"/>
        <w:gridCol w:w="1035"/>
        <w:gridCol w:w="1035"/>
        <w:gridCol w:w="1025"/>
      </w:tblGrid>
      <w:tr w:rsidR="00872105" w:rsidRPr="00DA3766" w14:paraId="01243983" w14:textId="77777777" w:rsidTr="00872105">
        <w:trPr>
          <w:trHeight w:val="397"/>
          <w:tblHeader/>
          <w:jc w:val="center"/>
        </w:trPr>
        <w:tc>
          <w:tcPr>
            <w:tcW w:w="1151" w:type="pct"/>
            <w:vMerge w:val="restart"/>
            <w:vAlign w:val="center"/>
          </w:tcPr>
          <w:p w14:paraId="4C078A3E" w14:textId="77777777"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1449" w:type="pct"/>
            <w:gridSpan w:val="3"/>
            <w:vAlign w:val="center"/>
          </w:tcPr>
          <w:p w14:paraId="76298B27" w14:textId="198FD170"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2400" w:type="pct"/>
            <w:gridSpan w:val="5"/>
            <w:vAlign w:val="center"/>
          </w:tcPr>
          <w:p w14:paraId="76143AE4" w14:textId="5D64915D"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872105" w:rsidRPr="00DA3766" w14:paraId="793DB4AE" w14:textId="77777777" w:rsidTr="00872105">
        <w:trPr>
          <w:trHeight w:val="397"/>
          <w:tblHeader/>
          <w:jc w:val="center"/>
        </w:trPr>
        <w:tc>
          <w:tcPr>
            <w:tcW w:w="1151" w:type="pct"/>
            <w:vMerge/>
            <w:vAlign w:val="center"/>
            <w:hideMark/>
          </w:tcPr>
          <w:p w14:paraId="65BF13A8"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484" w:type="pct"/>
            <w:vAlign w:val="center"/>
            <w:hideMark/>
          </w:tcPr>
          <w:p w14:paraId="6E61EF4B"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r w:rsidRPr="00DA3766">
              <w:rPr>
                <w:rFonts w:ascii="Times New Roman" w:hAnsi="Times New Roman" w:cs="Times New Roman"/>
                <w:b/>
                <w:color w:val="000000"/>
                <w:sz w:val="18"/>
                <w:szCs w:val="21"/>
              </w:rPr>
              <w:t>年度</w:t>
            </w:r>
          </w:p>
        </w:tc>
        <w:tc>
          <w:tcPr>
            <w:tcW w:w="484" w:type="pct"/>
            <w:vAlign w:val="center"/>
            <w:hideMark/>
          </w:tcPr>
          <w:p w14:paraId="3E25FEB1"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r w:rsidRPr="00DA3766">
              <w:rPr>
                <w:rFonts w:ascii="Times New Roman" w:hAnsi="Times New Roman" w:cs="Times New Roman"/>
                <w:b/>
                <w:color w:val="000000"/>
                <w:sz w:val="18"/>
                <w:szCs w:val="21"/>
              </w:rPr>
              <w:t>年度</w:t>
            </w:r>
          </w:p>
        </w:tc>
        <w:tc>
          <w:tcPr>
            <w:tcW w:w="481" w:type="pct"/>
            <w:vAlign w:val="center"/>
          </w:tcPr>
          <w:p w14:paraId="085C1CD9" w14:textId="77777777" w:rsidR="00872105" w:rsidRDefault="00872105" w:rsidP="00872105">
            <w:pPr>
              <w:keepNext/>
              <w:spacing w:beforeLines="0" w:before="0" w:afterLines="0" w:after="0" w:line="240" w:lineRule="auto"/>
              <w:ind w:firstLineChars="0" w:firstLine="0"/>
              <w:jc w:val="center"/>
              <w:rPr>
                <w:rFonts w:ascii="Times" w:hAnsi="Times"/>
                <w:b/>
                <w:color w:val="000000"/>
                <w:sz w:val="18"/>
                <w:szCs w:val="21"/>
              </w:rPr>
            </w:pPr>
            <w:r>
              <w:rPr>
                <w:rFonts w:ascii="Times" w:hAnsi="Times" w:hint="eastAsia"/>
                <w:b/>
                <w:color w:val="000000"/>
                <w:sz w:val="18"/>
                <w:szCs w:val="21"/>
              </w:rPr>
              <w:t>2</w:t>
            </w:r>
            <w:r>
              <w:rPr>
                <w:rFonts w:ascii="Times" w:hAnsi="Times"/>
                <w:b/>
                <w:color w:val="000000"/>
                <w:sz w:val="18"/>
                <w:szCs w:val="21"/>
              </w:rPr>
              <w:t>025</w:t>
            </w:r>
            <w:r>
              <w:rPr>
                <w:rFonts w:ascii="Times" w:hAnsi="Times" w:hint="eastAsia"/>
                <w:b/>
                <w:color w:val="000000"/>
                <w:sz w:val="18"/>
                <w:szCs w:val="21"/>
              </w:rPr>
              <w:t>年</w:t>
            </w:r>
          </w:p>
          <w:p w14:paraId="61B4268A" w14:textId="50CB6BF3"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Pr>
                <w:rFonts w:ascii="Times" w:hAnsi="Times" w:hint="eastAsia"/>
                <w:b/>
                <w:color w:val="000000"/>
                <w:sz w:val="18"/>
                <w:szCs w:val="21"/>
              </w:rPr>
              <w:t>1</w:t>
            </w:r>
            <w:r>
              <w:rPr>
                <w:rFonts w:ascii="Times" w:hAnsi="Times"/>
                <w:b/>
                <w:color w:val="000000"/>
                <w:sz w:val="18"/>
                <w:szCs w:val="21"/>
              </w:rPr>
              <w:t>-6</w:t>
            </w:r>
            <w:r>
              <w:rPr>
                <w:rFonts w:ascii="Times" w:hAnsi="Times" w:hint="eastAsia"/>
                <w:b/>
                <w:color w:val="000000"/>
                <w:sz w:val="18"/>
                <w:szCs w:val="21"/>
              </w:rPr>
              <w:t>月</w:t>
            </w:r>
          </w:p>
        </w:tc>
        <w:tc>
          <w:tcPr>
            <w:tcW w:w="481" w:type="pct"/>
            <w:vAlign w:val="center"/>
            <w:hideMark/>
          </w:tcPr>
          <w:p w14:paraId="52A89C40" w14:textId="32CC465D"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年度</w:t>
            </w:r>
          </w:p>
        </w:tc>
        <w:tc>
          <w:tcPr>
            <w:tcW w:w="481" w:type="pct"/>
            <w:vAlign w:val="center"/>
            <w:hideMark/>
          </w:tcPr>
          <w:p w14:paraId="297F15D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年度</w:t>
            </w:r>
          </w:p>
        </w:tc>
        <w:tc>
          <w:tcPr>
            <w:tcW w:w="481" w:type="pct"/>
            <w:vAlign w:val="center"/>
            <w:hideMark/>
          </w:tcPr>
          <w:p w14:paraId="0B74F99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年度</w:t>
            </w:r>
          </w:p>
        </w:tc>
        <w:tc>
          <w:tcPr>
            <w:tcW w:w="481" w:type="pct"/>
            <w:vAlign w:val="center"/>
            <w:hideMark/>
          </w:tcPr>
          <w:p w14:paraId="21973F8A"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年度</w:t>
            </w:r>
          </w:p>
        </w:tc>
        <w:tc>
          <w:tcPr>
            <w:tcW w:w="477" w:type="pct"/>
            <w:vAlign w:val="center"/>
            <w:hideMark/>
          </w:tcPr>
          <w:p w14:paraId="426D6162"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年度</w:t>
            </w:r>
          </w:p>
        </w:tc>
      </w:tr>
      <w:tr w:rsidR="00872105" w:rsidRPr="00DA3766" w14:paraId="2C49B22E" w14:textId="77777777" w:rsidTr="00872105">
        <w:trPr>
          <w:trHeight w:val="397"/>
          <w:jc w:val="center"/>
        </w:trPr>
        <w:tc>
          <w:tcPr>
            <w:tcW w:w="1151" w:type="pct"/>
            <w:vAlign w:val="center"/>
            <w:hideMark/>
          </w:tcPr>
          <w:p w14:paraId="4F496D5F"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代运营总交易金额（万元）</w:t>
            </w:r>
          </w:p>
        </w:tc>
        <w:tc>
          <w:tcPr>
            <w:tcW w:w="484" w:type="pct"/>
            <w:vAlign w:val="center"/>
            <w:hideMark/>
          </w:tcPr>
          <w:p w14:paraId="4EF5C095"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4,437.94</w:t>
            </w:r>
          </w:p>
        </w:tc>
        <w:tc>
          <w:tcPr>
            <w:tcW w:w="484" w:type="pct"/>
            <w:vAlign w:val="center"/>
            <w:hideMark/>
          </w:tcPr>
          <w:p w14:paraId="44EA039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12,532.53</w:t>
            </w:r>
          </w:p>
        </w:tc>
        <w:tc>
          <w:tcPr>
            <w:tcW w:w="481" w:type="pct"/>
            <w:vAlign w:val="center"/>
          </w:tcPr>
          <w:p w14:paraId="030F0A6F" w14:textId="26F92F2F"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11,373.23</w:t>
            </w:r>
          </w:p>
        </w:tc>
        <w:tc>
          <w:tcPr>
            <w:tcW w:w="481" w:type="pct"/>
            <w:vAlign w:val="center"/>
            <w:hideMark/>
          </w:tcPr>
          <w:p w14:paraId="6099CF64" w14:textId="5737644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21,904.46</w:t>
            </w:r>
          </w:p>
        </w:tc>
        <w:tc>
          <w:tcPr>
            <w:tcW w:w="481" w:type="pct"/>
            <w:vAlign w:val="center"/>
            <w:hideMark/>
          </w:tcPr>
          <w:p w14:paraId="07B606F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28,773.06</w:t>
            </w:r>
          </w:p>
        </w:tc>
        <w:tc>
          <w:tcPr>
            <w:tcW w:w="481" w:type="pct"/>
            <w:vAlign w:val="center"/>
            <w:hideMark/>
          </w:tcPr>
          <w:p w14:paraId="6D372C0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35,601.06</w:t>
            </w:r>
          </w:p>
        </w:tc>
        <w:tc>
          <w:tcPr>
            <w:tcW w:w="481" w:type="pct"/>
            <w:vAlign w:val="center"/>
            <w:hideMark/>
          </w:tcPr>
          <w:p w14:paraId="78A17FC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41,365.31</w:t>
            </w:r>
          </w:p>
        </w:tc>
        <w:tc>
          <w:tcPr>
            <w:tcW w:w="477" w:type="pct"/>
            <w:vAlign w:val="center"/>
            <w:hideMark/>
          </w:tcPr>
          <w:p w14:paraId="66B0EB8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45,238.82</w:t>
            </w:r>
          </w:p>
        </w:tc>
      </w:tr>
      <w:tr w:rsidR="00872105" w:rsidRPr="00DA3766" w14:paraId="0FCC1D93" w14:textId="77777777" w:rsidTr="00872105">
        <w:trPr>
          <w:trHeight w:val="397"/>
          <w:jc w:val="center"/>
        </w:trPr>
        <w:tc>
          <w:tcPr>
            <w:tcW w:w="1151" w:type="pct"/>
            <w:vAlign w:val="center"/>
            <w:hideMark/>
          </w:tcPr>
          <w:p w14:paraId="2245516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服务费率</w:t>
            </w:r>
          </w:p>
        </w:tc>
        <w:tc>
          <w:tcPr>
            <w:tcW w:w="484" w:type="pct"/>
            <w:vAlign w:val="center"/>
            <w:hideMark/>
          </w:tcPr>
          <w:p w14:paraId="585082D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12.2%</w:t>
            </w:r>
          </w:p>
        </w:tc>
        <w:tc>
          <w:tcPr>
            <w:tcW w:w="484" w:type="pct"/>
            <w:vAlign w:val="center"/>
            <w:hideMark/>
          </w:tcPr>
          <w:p w14:paraId="23B8EC5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9.9%</w:t>
            </w:r>
          </w:p>
        </w:tc>
        <w:tc>
          <w:tcPr>
            <w:tcW w:w="481" w:type="pct"/>
            <w:vAlign w:val="center"/>
          </w:tcPr>
          <w:p w14:paraId="43974832" w14:textId="4093D2C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BD4E5B">
              <w:rPr>
                <w:rFonts w:ascii="Times" w:hAnsi="Times" w:hint="eastAsia"/>
                <w:color w:val="000000"/>
                <w:sz w:val="18"/>
                <w:szCs w:val="21"/>
              </w:rPr>
              <w:t>8.7%</w:t>
            </w:r>
          </w:p>
        </w:tc>
        <w:tc>
          <w:tcPr>
            <w:tcW w:w="481" w:type="pct"/>
            <w:vAlign w:val="center"/>
            <w:hideMark/>
          </w:tcPr>
          <w:p w14:paraId="08509FB4" w14:textId="730FE37E"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8.7%</w:t>
            </w:r>
          </w:p>
        </w:tc>
        <w:tc>
          <w:tcPr>
            <w:tcW w:w="481" w:type="pct"/>
            <w:vAlign w:val="center"/>
            <w:hideMark/>
          </w:tcPr>
          <w:p w14:paraId="180B6FC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8.3%</w:t>
            </w:r>
          </w:p>
        </w:tc>
        <w:tc>
          <w:tcPr>
            <w:tcW w:w="481" w:type="pct"/>
            <w:vAlign w:val="center"/>
            <w:hideMark/>
          </w:tcPr>
          <w:p w14:paraId="09CC8974"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7.8%</w:t>
            </w:r>
          </w:p>
        </w:tc>
        <w:tc>
          <w:tcPr>
            <w:tcW w:w="481" w:type="pct"/>
            <w:vAlign w:val="center"/>
            <w:hideMark/>
          </w:tcPr>
          <w:p w14:paraId="06C1DE4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7.4%</w:t>
            </w:r>
          </w:p>
        </w:tc>
        <w:tc>
          <w:tcPr>
            <w:tcW w:w="477" w:type="pct"/>
            <w:vAlign w:val="center"/>
            <w:hideMark/>
          </w:tcPr>
          <w:p w14:paraId="56798AB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6.9%</w:t>
            </w:r>
          </w:p>
        </w:tc>
      </w:tr>
      <w:tr w:rsidR="00872105" w:rsidRPr="00DA3766" w14:paraId="63FEB411" w14:textId="77777777" w:rsidTr="00872105">
        <w:trPr>
          <w:trHeight w:val="397"/>
          <w:jc w:val="center"/>
        </w:trPr>
        <w:tc>
          <w:tcPr>
            <w:tcW w:w="1151" w:type="pct"/>
            <w:vAlign w:val="center"/>
          </w:tcPr>
          <w:p w14:paraId="24974AA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场地设备解决方案</w:t>
            </w:r>
          </w:p>
          <w:p w14:paraId="5B1694C5"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数字增值服务收入（万元）</w:t>
            </w:r>
          </w:p>
        </w:tc>
        <w:tc>
          <w:tcPr>
            <w:tcW w:w="484" w:type="pct"/>
            <w:vAlign w:val="center"/>
          </w:tcPr>
          <w:p w14:paraId="0C562FB2"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539.40</w:t>
            </w:r>
          </w:p>
        </w:tc>
        <w:tc>
          <w:tcPr>
            <w:tcW w:w="484" w:type="pct"/>
            <w:vAlign w:val="center"/>
          </w:tcPr>
          <w:p w14:paraId="6170893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1,240.79</w:t>
            </w:r>
          </w:p>
        </w:tc>
        <w:tc>
          <w:tcPr>
            <w:tcW w:w="481" w:type="pct"/>
            <w:vAlign w:val="center"/>
          </w:tcPr>
          <w:p w14:paraId="6EB5CBF3" w14:textId="0208DDD4"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984.25</w:t>
            </w:r>
          </w:p>
        </w:tc>
        <w:tc>
          <w:tcPr>
            <w:tcW w:w="481" w:type="pct"/>
            <w:vAlign w:val="center"/>
          </w:tcPr>
          <w:p w14:paraId="354DF79A" w14:textId="1DB974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1,898.31</w:t>
            </w:r>
          </w:p>
        </w:tc>
        <w:tc>
          <w:tcPr>
            <w:tcW w:w="481" w:type="pct"/>
            <w:vAlign w:val="center"/>
          </w:tcPr>
          <w:p w14:paraId="0B208DE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2,378.17</w:t>
            </w:r>
          </w:p>
        </w:tc>
        <w:tc>
          <w:tcPr>
            <w:tcW w:w="481" w:type="pct"/>
            <w:vAlign w:val="center"/>
          </w:tcPr>
          <w:p w14:paraId="7AF0071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2,789.97</w:t>
            </w:r>
          </w:p>
        </w:tc>
        <w:tc>
          <w:tcPr>
            <w:tcW w:w="481" w:type="pct"/>
            <w:vAlign w:val="center"/>
          </w:tcPr>
          <w:p w14:paraId="654DF8F1"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3,057.08</w:t>
            </w:r>
          </w:p>
        </w:tc>
        <w:tc>
          <w:tcPr>
            <w:tcW w:w="477" w:type="pct"/>
            <w:vAlign w:val="center"/>
          </w:tcPr>
          <w:p w14:paraId="7B5416E1"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3,136.03</w:t>
            </w:r>
          </w:p>
        </w:tc>
      </w:tr>
    </w:tbl>
    <w:p w14:paraId="1418BC93" w14:textId="3EDD38B5" w:rsidR="00EB3B4C" w:rsidRPr="00DA3766" w:rsidRDefault="00EB3B4C" w:rsidP="00EB3B4C">
      <w:pPr>
        <w:spacing w:beforeLines="0" w:before="0" w:afterLines="0" w:after="0" w:line="240" w:lineRule="auto"/>
        <w:ind w:firstLine="420"/>
        <w:jc w:val="both"/>
        <w:rPr>
          <w:rFonts w:ascii="Times New Roman" w:hAnsi="Times New Roman" w:cs="Times New Roman"/>
          <w:bCs/>
          <w:sz w:val="21"/>
        </w:rPr>
      </w:pPr>
      <w:r w:rsidRPr="00DA3766">
        <w:rPr>
          <w:rFonts w:ascii="Times New Roman" w:hAnsi="Times New Roman" w:cs="Times New Roman"/>
          <w:bCs/>
          <w:sz w:val="21"/>
        </w:rPr>
        <w:t>注：代运营总交易金额测算主要结合活跃场地数量和单场地代运营交易金额进行测算。</w:t>
      </w:r>
    </w:p>
    <w:p w14:paraId="14071006" w14:textId="3532F7C2"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报告期内，代运营服务费率有所下降，主要系</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公司为扩大业务规模、拓展下游场地运营商合作伙伴并提升市场份额，主动采取了更具竞争力的费率策略。</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公司预计在未来期间将继续通过适度的费率调整，进一步扩大市场份额并推动代运营收入持续增长，此外服务费率调整将有助于增强与场地运营商的合作关系，进而促进其新增场地优先选用</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公司提供的场地整体解决方案，实现</w:t>
      </w:r>
      <w:r w:rsidRPr="00DA3766">
        <w:rPr>
          <w:rFonts w:ascii="Times New Roman" w:hAnsi="Times New Roman" w:cs="Times New Roman"/>
          <w:kern w:val="2"/>
          <w:szCs w:val="22"/>
        </w:rPr>
        <w:t>SaaS</w:t>
      </w:r>
      <w:r w:rsidRPr="00DA3766">
        <w:rPr>
          <w:rFonts w:ascii="Times New Roman" w:hAnsi="Times New Roman" w:cs="Times New Roman"/>
          <w:kern w:val="2"/>
          <w:szCs w:val="22"/>
        </w:rPr>
        <w:t>服务与</w:t>
      </w:r>
      <w:r w:rsidRPr="00DA3766">
        <w:rPr>
          <w:rFonts w:ascii="Times New Roman" w:hAnsi="Times New Roman" w:cs="Times New Roman"/>
          <w:kern w:val="2"/>
          <w:szCs w:val="22"/>
        </w:rPr>
        <w:t>IoT</w:t>
      </w:r>
      <w:r w:rsidRPr="00DA3766">
        <w:rPr>
          <w:rFonts w:ascii="Times New Roman" w:hAnsi="Times New Roman" w:cs="Times New Roman"/>
          <w:kern w:val="2"/>
          <w:szCs w:val="22"/>
        </w:rPr>
        <w:t>硬件销售的业务协同与相互促进。预计至</w:t>
      </w:r>
      <w:r w:rsidRPr="00DA3766">
        <w:rPr>
          <w:rFonts w:ascii="Times New Roman" w:hAnsi="Times New Roman" w:cs="Times New Roman"/>
          <w:kern w:val="2"/>
          <w:szCs w:val="22"/>
        </w:rPr>
        <w:t>2029</w:t>
      </w:r>
      <w:r w:rsidRPr="00DA3766">
        <w:rPr>
          <w:rFonts w:ascii="Times New Roman" w:hAnsi="Times New Roman" w:cs="Times New Roman"/>
          <w:kern w:val="2"/>
          <w:szCs w:val="22"/>
        </w:rPr>
        <w:t>年，服务费率调整的边际效应趋于稳定，永续期将维持该费率水平。</w:t>
      </w:r>
    </w:p>
    <w:p w14:paraId="6DFE67A1" w14:textId="63A1B556"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除代运营收入以外，场地设备解决方案业务的数字增值服务存在少量</w:t>
      </w:r>
      <w:r w:rsidR="00F73023">
        <w:rPr>
          <w:rFonts w:ascii="Times New Roman" w:hAnsi="Times New Roman" w:cs="Times New Roman" w:hint="eastAsia"/>
          <w:kern w:val="2"/>
          <w:szCs w:val="22"/>
        </w:rPr>
        <w:t>其他</w:t>
      </w:r>
      <w:r w:rsidRPr="00DA3766">
        <w:rPr>
          <w:rFonts w:ascii="Times New Roman" w:hAnsi="Times New Roman" w:cs="Times New Roman"/>
          <w:kern w:val="2"/>
          <w:szCs w:val="22"/>
        </w:rPr>
        <w:t>收入，该类收入未来按一定金额规模进行测算。</w:t>
      </w:r>
    </w:p>
    <w:p w14:paraId="53DA873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综上，标的公司数字增值服务收入测算具备合理性。</w:t>
      </w:r>
    </w:p>
    <w:p w14:paraId="01815ED0"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5B1EF64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预测期内，标的公司数字增值服务业务毛利率在</w:t>
      </w:r>
      <w:r w:rsidRPr="00DA3766">
        <w:rPr>
          <w:rFonts w:ascii="Times New Roman" w:hAnsi="Times New Roman" w:cs="Times New Roman"/>
          <w:kern w:val="2"/>
          <w:szCs w:val="22"/>
        </w:rPr>
        <w:t>58%-61%</w:t>
      </w:r>
      <w:r w:rsidRPr="00DA3766">
        <w:rPr>
          <w:rFonts w:ascii="Times New Roman" w:hAnsi="Times New Roman" w:cs="Times New Roman"/>
          <w:kern w:val="2"/>
          <w:szCs w:val="22"/>
        </w:rPr>
        <w:t>之间，具体情况</w:t>
      </w:r>
      <w:r w:rsidRPr="00DA3766">
        <w:rPr>
          <w:rFonts w:ascii="Times New Roman" w:hAnsi="Times New Roman" w:cs="Times New Roman"/>
          <w:kern w:val="2"/>
          <w:szCs w:val="22"/>
        </w:rPr>
        <w:lastRenderedPageBreak/>
        <w:t>如下：</w:t>
      </w:r>
    </w:p>
    <w:tbl>
      <w:tblPr>
        <w:tblW w:w="621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141"/>
        <w:gridCol w:w="1140"/>
        <w:gridCol w:w="1534"/>
        <w:gridCol w:w="1140"/>
        <w:gridCol w:w="1140"/>
        <w:gridCol w:w="1140"/>
        <w:gridCol w:w="1140"/>
        <w:gridCol w:w="1138"/>
      </w:tblGrid>
      <w:tr w:rsidR="00EB3B4C" w:rsidRPr="00DA3766" w14:paraId="643DFF70" w14:textId="77777777" w:rsidTr="00DA3766">
        <w:trPr>
          <w:trHeight w:val="397"/>
          <w:tblHeader/>
          <w:jc w:val="center"/>
        </w:trPr>
        <w:tc>
          <w:tcPr>
            <w:tcW w:w="511" w:type="pct"/>
            <w:vMerge w:val="restart"/>
            <w:vAlign w:val="center"/>
            <w:hideMark/>
          </w:tcPr>
          <w:p w14:paraId="4DDADBC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800" w:type="pct"/>
            <w:gridSpan w:val="3"/>
            <w:vAlign w:val="center"/>
            <w:hideMark/>
          </w:tcPr>
          <w:p w14:paraId="602E72B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报告期</w:t>
            </w:r>
          </w:p>
        </w:tc>
        <w:tc>
          <w:tcPr>
            <w:tcW w:w="2689" w:type="pct"/>
            <w:gridSpan w:val="5"/>
            <w:vAlign w:val="center"/>
            <w:hideMark/>
          </w:tcPr>
          <w:p w14:paraId="70F4391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0C764F75" w14:textId="77777777" w:rsidTr="00DA3766">
        <w:trPr>
          <w:trHeight w:val="397"/>
          <w:tblHeader/>
          <w:jc w:val="center"/>
        </w:trPr>
        <w:tc>
          <w:tcPr>
            <w:tcW w:w="511" w:type="pct"/>
            <w:vMerge/>
            <w:vAlign w:val="center"/>
            <w:hideMark/>
          </w:tcPr>
          <w:p w14:paraId="397D69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538" w:type="pct"/>
            <w:vAlign w:val="center"/>
            <w:hideMark/>
          </w:tcPr>
          <w:p w14:paraId="1B505F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2023</w:t>
            </w:r>
            <w:r w:rsidRPr="00DA3766">
              <w:rPr>
                <w:rFonts w:ascii="Times New Roman" w:hAnsi="Times New Roman" w:cs="Times New Roman"/>
                <w:b/>
                <w:bCs/>
                <w:color w:val="000000"/>
                <w:sz w:val="21"/>
                <w:szCs w:val="20"/>
              </w:rPr>
              <w:t>年度</w:t>
            </w:r>
          </w:p>
        </w:tc>
        <w:tc>
          <w:tcPr>
            <w:tcW w:w="538" w:type="pct"/>
            <w:vAlign w:val="center"/>
            <w:hideMark/>
          </w:tcPr>
          <w:p w14:paraId="755E01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2024</w:t>
            </w:r>
            <w:r w:rsidRPr="00DA3766">
              <w:rPr>
                <w:rFonts w:ascii="Times New Roman" w:hAnsi="Times New Roman" w:cs="Times New Roman"/>
                <w:b/>
                <w:bCs/>
                <w:color w:val="000000"/>
                <w:sz w:val="21"/>
                <w:szCs w:val="20"/>
              </w:rPr>
              <w:t>年度</w:t>
            </w:r>
          </w:p>
        </w:tc>
        <w:tc>
          <w:tcPr>
            <w:tcW w:w="724" w:type="pct"/>
            <w:vAlign w:val="center"/>
            <w:hideMark/>
          </w:tcPr>
          <w:p w14:paraId="327DB1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2025</w:t>
            </w:r>
            <w:r w:rsidRPr="00DA3766">
              <w:rPr>
                <w:rFonts w:ascii="Times New Roman" w:hAnsi="Times New Roman" w:cs="Times New Roman"/>
                <w:b/>
                <w:bCs/>
                <w:color w:val="000000"/>
                <w:sz w:val="21"/>
                <w:szCs w:val="20"/>
              </w:rPr>
              <w:t>年</w:t>
            </w:r>
            <w:r w:rsidRPr="00DA3766">
              <w:rPr>
                <w:rFonts w:ascii="Times New Roman" w:hAnsi="Times New Roman" w:cs="Times New Roman"/>
                <w:b/>
                <w:bCs/>
                <w:color w:val="000000"/>
                <w:sz w:val="21"/>
                <w:szCs w:val="20"/>
              </w:rPr>
              <w:t>1-6</w:t>
            </w:r>
            <w:r w:rsidRPr="00DA3766">
              <w:rPr>
                <w:rFonts w:ascii="Times New Roman" w:hAnsi="Times New Roman" w:cs="Times New Roman"/>
                <w:b/>
                <w:bCs/>
                <w:color w:val="000000"/>
                <w:sz w:val="21"/>
                <w:szCs w:val="20"/>
              </w:rPr>
              <w:t>月</w:t>
            </w:r>
          </w:p>
        </w:tc>
        <w:tc>
          <w:tcPr>
            <w:tcW w:w="538" w:type="pct"/>
            <w:vAlign w:val="center"/>
            <w:hideMark/>
          </w:tcPr>
          <w:p w14:paraId="1B0A91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2025</w:t>
            </w:r>
            <w:r w:rsidRPr="00DA3766">
              <w:rPr>
                <w:rFonts w:ascii="Times New Roman" w:hAnsi="Times New Roman" w:cs="Times New Roman"/>
                <w:b/>
                <w:bCs/>
                <w:color w:val="000000"/>
                <w:sz w:val="21"/>
                <w:szCs w:val="20"/>
              </w:rPr>
              <w:t>年度</w:t>
            </w:r>
          </w:p>
        </w:tc>
        <w:tc>
          <w:tcPr>
            <w:tcW w:w="538" w:type="pct"/>
            <w:vAlign w:val="center"/>
            <w:hideMark/>
          </w:tcPr>
          <w:p w14:paraId="7F7CF5B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2026</w:t>
            </w:r>
            <w:r w:rsidRPr="00DA3766">
              <w:rPr>
                <w:rFonts w:ascii="Times New Roman" w:hAnsi="Times New Roman" w:cs="Times New Roman"/>
                <w:b/>
                <w:bCs/>
                <w:color w:val="000000"/>
                <w:sz w:val="21"/>
                <w:szCs w:val="20"/>
              </w:rPr>
              <w:t>年度</w:t>
            </w:r>
          </w:p>
        </w:tc>
        <w:tc>
          <w:tcPr>
            <w:tcW w:w="538" w:type="pct"/>
            <w:vAlign w:val="center"/>
            <w:hideMark/>
          </w:tcPr>
          <w:p w14:paraId="77EACD2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2027</w:t>
            </w:r>
            <w:r w:rsidRPr="00DA3766">
              <w:rPr>
                <w:rFonts w:ascii="Times New Roman" w:hAnsi="Times New Roman" w:cs="Times New Roman"/>
                <w:b/>
                <w:bCs/>
                <w:color w:val="000000"/>
                <w:sz w:val="21"/>
                <w:szCs w:val="20"/>
              </w:rPr>
              <w:t>年度</w:t>
            </w:r>
          </w:p>
        </w:tc>
        <w:tc>
          <w:tcPr>
            <w:tcW w:w="538" w:type="pct"/>
            <w:vAlign w:val="center"/>
            <w:hideMark/>
          </w:tcPr>
          <w:p w14:paraId="05CE795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2028</w:t>
            </w:r>
            <w:r w:rsidRPr="00DA3766">
              <w:rPr>
                <w:rFonts w:ascii="Times New Roman" w:hAnsi="Times New Roman" w:cs="Times New Roman"/>
                <w:b/>
                <w:bCs/>
                <w:color w:val="000000"/>
                <w:sz w:val="21"/>
                <w:szCs w:val="20"/>
              </w:rPr>
              <w:t>年度</w:t>
            </w:r>
          </w:p>
        </w:tc>
        <w:tc>
          <w:tcPr>
            <w:tcW w:w="538" w:type="pct"/>
            <w:vAlign w:val="center"/>
            <w:hideMark/>
          </w:tcPr>
          <w:p w14:paraId="5D11BC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2029</w:t>
            </w:r>
            <w:r w:rsidRPr="00DA3766">
              <w:rPr>
                <w:rFonts w:ascii="Times New Roman" w:hAnsi="Times New Roman" w:cs="Times New Roman"/>
                <w:b/>
                <w:bCs/>
                <w:color w:val="000000"/>
                <w:sz w:val="21"/>
                <w:szCs w:val="20"/>
              </w:rPr>
              <w:t>年度</w:t>
            </w:r>
          </w:p>
        </w:tc>
      </w:tr>
      <w:tr w:rsidR="00EB3B4C" w:rsidRPr="00DA3766" w14:paraId="6ECDDC68" w14:textId="77777777" w:rsidTr="00DA3766">
        <w:trPr>
          <w:trHeight w:val="397"/>
          <w:jc w:val="center"/>
        </w:trPr>
        <w:tc>
          <w:tcPr>
            <w:tcW w:w="511" w:type="pct"/>
            <w:vAlign w:val="center"/>
            <w:hideMark/>
          </w:tcPr>
          <w:p w14:paraId="31D2F54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营业收入</w:t>
            </w:r>
          </w:p>
        </w:tc>
        <w:tc>
          <w:tcPr>
            <w:tcW w:w="538" w:type="pct"/>
            <w:vAlign w:val="center"/>
            <w:hideMark/>
          </w:tcPr>
          <w:p w14:paraId="051859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5,821.77</w:t>
            </w:r>
          </w:p>
        </w:tc>
        <w:tc>
          <w:tcPr>
            <w:tcW w:w="538" w:type="pct"/>
            <w:vAlign w:val="center"/>
            <w:hideMark/>
          </w:tcPr>
          <w:p w14:paraId="12413D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8,479.53</w:t>
            </w:r>
          </w:p>
        </w:tc>
        <w:tc>
          <w:tcPr>
            <w:tcW w:w="724" w:type="pct"/>
            <w:vAlign w:val="center"/>
            <w:hideMark/>
          </w:tcPr>
          <w:p w14:paraId="6BEB4F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4,361.28</w:t>
            </w:r>
          </w:p>
        </w:tc>
        <w:tc>
          <w:tcPr>
            <w:tcW w:w="538" w:type="pct"/>
            <w:vAlign w:val="center"/>
            <w:hideMark/>
          </w:tcPr>
          <w:p w14:paraId="3D5711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9,058.76</w:t>
            </w:r>
          </w:p>
        </w:tc>
        <w:tc>
          <w:tcPr>
            <w:tcW w:w="538" w:type="pct"/>
            <w:vAlign w:val="center"/>
            <w:hideMark/>
          </w:tcPr>
          <w:p w14:paraId="504B7B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10,177.93</w:t>
            </w:r>
          </w:p>
        </w:tc>
        <w:tc>
          <w:tcPr>
            <w:tcW w:w="538" w:type="pct"/>
            <w:vAlign w:val="center"/>
            <w:hideMark/>
          </w:tcPr>
          <w:p w14:paraId="7AD13B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11,169.98</w:t>
            </w:r>
          </w:p>
        </w:tc>
        <w:tc>
          <w:tcPr>
            <w:tcW w:w="538" w:type="pct"/>
            <w:vAlign w:val="center"/>
            <w:hideMark/>
          </w:tcPr>
          <w:p w14:paraId="47E864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11,970.53</w:t>
            </w:r>
          </w:p>
        </w:tc>
        <w:tc>
          <w:tcPr>
            <w:tcW w:w="538" w:type="pct"/>
            <w:vAlign w:val="center"/>
            <w:hideMark/>
          </w:tcPr>
          <w:p w14:paraId="39618F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12,605.45</w:t>
            </w:r>
          </w:p>
        </w:tc>
      </w:tr>
      <w:tr w:rsidR="00EB3B4C" w:rsidRPr="00DA3766" w14:paraId="52DC4E03" w14:textId="77777777" w:rsidTr="00DA3766">
        <w:trPr>
          <w:trHeight w:val="397"/>
          <w:jc w:val="center"/>
        </w:trPr>
        <w:tc>
          <w:tcPr>
            <w:tcW w:w="511" w:type="pct"/>
            <w:vAlign w:val="center"/>
            <w:hideMark/>
          </w:tcPr>
          <w:p w14:paraId="6A8D72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营业成本</w:t>
            </w:r>
          </w:p>
        </w:tc>
        <w:tc>
          <w:tcPr>
            <w:tcW w:w="538" w:type="pct"/>
            <w:vAlign w:val="center"/>
            <w:hideMark/>
          </w:tcPr>
          <w:p w14:paraId="4F5F0D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3,304.35</w:t>
            </w:r>
          </w:p>
        </w:tc>
        <w:tc>
          <w:tcPr>
            <w:tcW w:w="538" w:type="pct"/>
            <w:vAlign w:val="center"/>
            <w:hideMark/>
          </w:tcPr>
          <w:p w14:paraId="0C9DD6C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3,370.80</w:t>
            </w:r>
          </w:p>
        </w:tc>
        <w:tc>
          <w:tcPr>
            <w:tcW w:w="724" w:type="pct"/>
            <w:vAlign w:val="center"/>
            <w:hideMark/>
          </w:tcPr>
          <w:p w14:paraId="1E45A4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1,738.34</w:t>
            </w:r>
          </w:p>
        </w:tc>
        <w:tc>
          <w:tcPr>
            <w:tcW w:w="538" w:type="pct"/>
            <w:vAlign w:val="center"/>
            <w:hideMark/>
          </w:tcPr>
          <w:p w14:paraId="70C1C7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3,542.32</w:t>
            </w:r>
          </w:p>
        </w:tc>
        <w:tc>
          <w:tcPr>
            <w:tcW w:w="538" w:type="pct"/>
            <w:vAlign w:val="center"/>
            <w:hideMark/>
          </w:tcPr>
          <w:p w14:paraId="550BCA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4,123.03</w:t>
            </w:r>
          </w:p>
        </w:tc>
        <w:tc>
          <w:tcPr>
            <w:tcW w:w="538" w:type="pct"/>
            <w:vAlign w:val="center"/>
            <w:hideMark/>
          </w:tcPr>
          <w:p w14:paraId="40649C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4,631.73</w:t>
            </w:r>
          </w:p>
        </w:tc>
        <w:tc>
          <w:tcPr>
            <w:tcW w:w="538" w:type="pct"/>
            <w:vAlign w:val="center"/>
            <w:hideMark/>
          </w:tcPr>
          <w:p w14:paraId="6EC5076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5,020.55</w:t>
            </w:r>
          </w:p>
        </w:tc>
        <w:tc>
          <w:tcPr>
            <w:tcW w:w="538" w:type="pct"/>
            <w:vAlign w:val="center"/>
            <w:hideMark/>
          </w:tcPr>
          <w:p w14:paraId="17B9ED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5,268.36</w:t>
            </w:r>
          </w:p>
        </w:tc>
      </w:tr>
      <w:tr w:rsidR="00EB3B4C" w:rsidRPr="00DA3766" w14:paraId="1D0150EB" w14:textId="77777777" w:rsidTr="00DA3766">
        <w:trPr>
          <w:trHeight w:val="397"/>
          <w:jc w:val="center"/>
        </w:trPr>
        <w:tc>
          <w:tcPr>
            <w:tcW w:w="511" w:type="pct"/>
            <w:vAlign w:val="center"/>
            <w:hideMark/>
          </w:tcPr>
          <w:p w14:paraId="68A99D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毛利率</w:t>
            </w:r>
          </w:p>
        </w:tc>
        <w:tc>
          <w:tcPr>
            <w:tcW w:w="538" w:type="pct"/>
            <w:vAlign w:val="center"/>
            <w:hideMark/>
          </w:tcPr>
          <w:p w14:paraId="4E103F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43.24%</w:t>
            </w:r>
          </w:p>
        </w:tc>
        <w:tc>
          <w:tcPr>
            <w:tcW w:w="538" w:type="pct"/>
            <w:vAlign w:val="center"/>
            <w:hideMark/>
          </w:tcPr>
          <w:p w14:paraId="6059D1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60.25%</w:t>
            </w:r>
          </w:p>
        </w:tc>
        <w:tc>
          <w:tcPr>
            <w:tcW w:w="724" w:type="pct"/>
            <w:vAlign w:val="center"/>
            <w:hideMark/>
          </w:tcPr>
          <w:p w14:paraId="70C71B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60.14%</w:t>
            </w:r>
          </w:p>
        </w:tc>
        <w:tc>
          <w:tcPr>
            <w:tcW w:w="538" w:type="pct"/>
            <w:vAlign w:val="center"/>
            <w:hideMark/>
          </w:tcPr>
          <w:p w14:paraId="218459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60.90%</w:t>
            </w:r>
          </w:p>
        </w:tc>
        <w:tc>
          <w:tcPr>
            <w:tcW w:w="538" w:type="pct"/>
            <w:vAlign w:val="center"/>
            <w:hideMark/>
          </w:tcPr>
          <w:p w14:paraId="6D7604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59.49%</w:t>
            </w:r>
          </w:p>
        </w:tc>
        <w:tc>
          <w:tcPr>
            <w:tcW w:w="538" w:type="pct"/>
            <w:vAlign w:val="center"/>
            <w:hideMark/>
          </w:tcPr>
          <w:p w14:paraId="63AA06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58.53%</w:t>
            </w:r>
          </w:p>
        </w:tc>
        <w:tc>
          <w:tcPr>
            <w:tcW w:w="538" w:type="pct"/>
            <w:vAlign w:val="center"/>
            <w:hideMark/>
          </w:tcPr>
          <w:p w14:paraId="0CC907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58.06%</w:t>
            </w:r>
          </w:p>
        </w:tc>
        <w:tc>
          <w:tcPr>
            <w:tcW w:w="538" w:type="pct"/>
            <w:vAlign w:val="center"/>
            <w:hideMark/>
          </w:tcPr>
          <w:p w14:paraId="173310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58.21%</w:t>
            </w:r>
          </w:p>
        </w:tc>
      </w:tr>
    </w:tbl>
    <w:p w14:paraId="5689F96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报告期内，标的公司数字增值服务业务的毛利率显著提升，主要系由于业务推广模式变化所致。</w:t>
      </w:r>
      <w:r w:rsidRPr="00DA3766">
        <w:rPr>
          <w:rFonts w:ascii="Times New Roman" w:hAnsi="Times New Roman" w:cs="Times New Roman"/>
          <w:kern w:val="2"/>
          <w:szCs w:val="22"/>
        </w:rPr>
        <w:t>2023</w:t>
      </w:r>
      <w:r w:rsidRPr="00DA3766">
        <w:rPr>
          <w:rFonts w:ascii="Times New Roman" w:hAnsi="Times New Roman" w:cs="Times New Roman"/>
          <w:kern w:val="2"/>
          <w:szCs w:val="22"/>
        </w:rPr>
        <w:t>年度，标的公司数字增值服务较多依赖线下地推等高成本获客方式，使得当期推广成本较高，该情形具有阶段性特征。自</w:t>
      </w:r>
      <w:r w:rsidRPr="00DA3766">
        <w:rPr>
          <w:rFonts w:ascii="Times New Roman" w:hAnsi="Times New Roman" w:cs="Times New Roman"/>
          <w:kern w:val="2"/>
          <w:szCs w:val="22"/>
        </w:rPr>
        <w:t>2024</w:t>
      </w:r>
      <w:r w:rsidRPr="00DA3766">
        <w:rPr>
          <w:rFonts w:ascii="Times New Roman" w:hAnsi="Times New Roman" w:cs="Times New Roman"/>
          <w:kern w:val="2"/>
          <w:szCs w:val="22"/>
        </w:rPr>
        <w:t>年起，公司推广策略转为主要依托自有</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云平台向用户进行精准推送，在有效满足客户需求的同时大幅降低了获客成本，从而推动了毛利率的上升。</w:t>
      </w:r>
    </w:p>
    <w:p w14:paraId="06328AF7" w14:textId="758DA2B9" w:rsidR="00EB3B4C" w:rsidRPr="00DA3766" w:rsidRDefault="00F73023"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预测期内，标的公司预计将延续当前以自有平台流量为基础的业务推广模式，预测期预测毛利率时，结合了业务发展规划并参考</w:t>
      </w:r>
      <w:r w:rsidRPr="00DA3766">
        <w:rPr>
          <w:rFonts w:ascii="Times New Roman" w:hAnsi="Times New Roman" w:cs="Times New Roman"/>
          <w:kern w:val="2"/>
          <w:szCs w:val="22"/>
        </w:rPr>
        <w:t>2024</w:t>
      </w:r>
      <w:r w:rsidRPr="00DA3766">
        <w:rPr>
          <w:rFonts w:ascii="Times New Roman" w:hAnsi="Times New Roman" w:cs="Times New Roman"/>
          <w:kern w:val="2"/>
          <w:szCs w:val="22"/>
        </w:rPr>
        <w:t>年毛利率，将其审慎设定为</w:t>
      </w:r>
      <w:r>
        <w:rPr>
          <w:rFonts w:ascii="Times New Roman" w:hAnsi="Times New Roman" w:cs="Times New Roman" w:hint="eastAsia"/>
          <w:kern w:val="2"/>
          <w:szCs w:val="22"/>
        </w:rPr>
        <w:t>58%-61%</w:t>
      </w:r>
      <w:r>
        <w:rPr>
          <w:rFonts w:ascii="Times New Roman" w:hAnsi="Times New Roman" w:cs="Times New Roman" w:hint="eastAsia"/>
          <w:kern w:val="2"/>
          <w:szCs w:val="22"/>
        </w:rPr>
        <w:t>之间</w:t>
      </w:r>
      <w:r w:rsidRPr="00DA3766">
        <w:rPr>
          <w:rFonts w:ascii="Times New Roman" w:hAnsi="Times New Roman" w:cs="Times New Roman"/>
          <w:kern w:val="2"/>
          <w:szCs w:val="22"/>
        </w:rPr>
        <w:t>，</w:t>
      </w:r>
      <w:r w:rsidRPr="00B02483">
        <w:rPr>
          <w:rFonts w:ascii="Times New Roman" w:hAnsi="Times New Roman" w:cs="Times New Roman"/>
          <w:kern w:val="2"/>
          <w:szCs w:val="22"/>
        </w:rPr>
        <w:t>整体来看低于报告期峰值</w:t>
      </w:r>
      <w:r w:rsidRPr="00DA3766">
        <w:rPr>
          <w:rFonts w:ascii="Times New Roman" w:hAnsi="Times New Roman" w:cs="Times New Roman"/>
          <w:kern w:val="2"/>
          <w:szCs w:val="22"/>
        </w:rPr>
        <w:t>，该预测具备合理性和谨慎性。</w:t>
      </w:r>
    </w:p>
    <w:p w14:paraId="5C09DA5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综上，数字增值服务业务预测期各年度毛利率预测情况、测算过程、测算依据具备合理性。</w:t>
      </w:r>
    </w:p>
    <w:p w14:paraId="0109B5F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083794AF"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sidRPr="00DA3766">
        <w:rPr>
          <w:rFonts w:ascii="Times New Roman" w:hAnsi="Times New Roman" w:cs="Times New Roman"/>
          <w:b/>
          <w:bCs/>
          <w:kern w:val="2"/>
          <w:szCs w:val="28"/>
        </w:rPr>
        <w:t>IoT</w:t>
      </w:r>
      <w:r w:rsidRPr="00DA3766">
        <w:rPr>
          <w:rFonts w:ascii="Times New Roman" w:hAnsi="Times New Roman" w:cs="Times New Roman"/>
          <w:b/>
          <w:bCs/>
          <w:kern w:val="2"/>
          <w:szCs w:val="28"/>
        </w:rPr>
        <w:t>智能硬件收入相对稳定的情况下</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云平台、数字增值服务收入维持增长的合理性</w:t>
      </w:r>
    </w:p>
    <w:p w14:paraId="574FA01D"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（一）标的资产各业务的市场空间、行业竞争情况、下游智能自助设备行业的发展情况及趋势</w:t>
      </w:r>
    </w:p>
    <w:p w14:paraId="24BE6EA0"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、标的资产各业务的市场空间</w:t>
      </w:r>
    </w:p>
    <w:p w14:paraId="38A6ADCB"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标的资产各业务的市场空间情况见本回复之</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2</w:t>
      </w:r>
      <w:r w:rsidRPr="00DA3766">
        <w:rPr>
          <w:rFonts w:ascii="Times New Roman" w:hAnsi="Times New Roman" w:cs="Times New Roman"/>
        </w:rPr>
        <w:t>、关于标的资产的经营业绩</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w:t>
      </w:r>
      <w:r w:rsidRPr="00DA3766">
        <w:rPr>
          <w:rFonts w:cs="Times New Roman"/>
        </w:rPr>
        <w:t>”</w:t>
      </w:r>
      <w:r w:rsidRPr="00DA3766">
        <w:rPr>
          <w:rFonts w:ascii="Times New Roman" w:hAnsi="Times New Roman" w:cs="Times New Roman"/>
        </w:rPr>
        <w:t>相关内容。</w:t>
      </w:r>
    </w:p>
    <w:p w14:paraId="6D660B0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、标的资产各业务的行业竞争情况</w:t>
      </w:r>
    </w:p>
    <w:p w14:paraId="7EC1F3EA"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自助设备物联网行业具有较大的市场规模，且市场细分领域众多，大多数智能自助设备数字化服务提供商仅专注于少量的细分领域且经营规模较小，市场份额偏低，市场竞争关系较为分散。根据</w:t>
      </w:r>
      <w:r w:rsidRPr="00DA3766">
        <w:rPr>
          <w:rFonts w:ascii="Times New Roman" w:hAnsi="Times New Roman" w:cs="Times New Roman"/>
        </w:rPr>
        <w:t>IDC</w:t>
      </w:r>
      <w:r w:rsidRPr="00DA3766">
        <w:rPr>
          <w:rFonts w:ascii="Times New Roman" w:hAnsi="Times New Roman" w:cs="Times New Roman"/>
        </w:rPr>
        <w:t>数据，</w:t>
      </w:r>
      <w:r w:rsidRPr="00DA3766">
        <w:rPr>
          <w:rFonts w:ascii="Times New Roman" w:hAnsi="Times New Roman" w:cs="Times New Roman"/>
        </w:rPr>
        <w:t>2024</w:t>
      </w:r>
      <w:r w:rsidRPr="00DA3766">
        <w:rPr>
          <w:rFonts w:ascii="Times New Roman" w:hAnsi="Times New Roman" w:cs="Times New Roman"/>
        </w:rPr>
        <w:t>年中国物联网市场规模</w:t>
      </w:r>
      <w:r w:rsidRPr="00DA3766">
        <w:rPr>
          <w:rFonts w:ascii="Times New Roman" w:hAnsi="Times New Roman" w:cs="Times New Roman"/>
        </w:rPr>
        <w:lastRenderedPageBreak/>
        <w:t>达</w:t>
      </w:r>
      <w:r w:rsidRPr="00DA3766">
        <w:rPr>
          <w:rFonts w:ascii="Times New Roman" w:hAnsi="Times New Roman" w:cs="Times New Roman"/>
        </w:rPr>
        <w:t>1,982.5</w:t>
      </w:r>
      <w:r w:rsidRPr="00DA3766">
        <w:rPr>
          <w:rFonts w:ascii="Times New Roman" w:hAnsi="Times New Roman" w:cs="Times New Roman"/>
        </w:rPr>
        <w:t>亿美元，同比增长</w:t>
      </w:r>
      <w:r w:rsidRPr="00DA3766">
        <w:rPr>
          <w:rFonts w:ascii="Times New Roman" w:hAnsi="Times New Roman" w:cs="Times New Roman"/>
        </w:rPr>
        <w:t>13.2%</w:t>
      </w:r>
      <w:r w:rsidRPr="00DA3766">
        <w:rPr>
          <w:rFonts w:ascii="Times New Roman" w:hAnsi="Times New Roman" w:cs="Times New Roman"/>
        </w:rPr>
        <w:t>，预计</w:t>
      </w:r>
      <w:r w:rsidRPr="00DA3766">
        <w:rPr>
          <w:rFonts w:ascii="Times New Roman" w:hAnsi="Times New Roman" w:cs="Times New Roman"/>
        </w:rPr>
        <w:t>2028</w:t>
      </w:r>
      <w:r w:rsidRPr="00DA3766">
        <w:rPr>
          <w:rFonts w:ascii="Times New Roman" w:hAnsi="Times New Roman" w:cs="Times New Roman"/>
        </w:rPr>
        <w:t>年将增至</w:t>
      </w:r>
      <w:r w:rsidRPr="00DA3766">
        <w:rPr>
          <w:rFonts w:ascii="Times New Roman" w:hAnsi="Times New Roman" w:cs="Times New Roman"/>
        </w:rPr>
        <w:t>3,264.7</w:t>
      </w:r>
      <w:r w:rsidRPr="00DA3766">
        <w:rPr>
          <w:rFonts w:ascii="Times New Roman" w:hAnsi="Times New Roman" w:cs="Times New Roman"/>
        </w:rPr>
        <w:t>亿美元，</w:t>
      </w:r>
      <w:r w:rsidRPr="00DA3766">
        <w:rPr>
          <w:rFonts w:ascii="Times New Roman" w:hAnsi="Times New Roman" w:cs="Times New Roman"/>
        </w:rPr>
        <w:t>5</w:t>
      </w:r>
      <w:r w:rsidRPr="00DA3766">
        <w:rPr>
          <w:rFonts w:ascii="Times New Roman" w:hAnsi="Times New Roman" w:cs="Times New Roman"/>
        </w:rPr>
        <w:t>年复合平均增长率达</w:t>
      </w:r>
      <w:r w:rsidRPr="00DA3766">
        <w:rPr>
          <w:rFonts w:ascii="Times New Roman" w:hAnsi="Times New Roman" w:cs="Times New Roman"/>
        </w:rPr>
        <w:t>13.3%</w:t>
      </w:r>
      <w:r w:rsidRPr="00DA3766">
        <w:rPr>
          <w:rFonts w:ascii="Times New Roman" w:hAnsi="Times New Roman" w:cs="Times New Roman"/>
        </w:rPr>
        <w:t>。</w:t>
      </w:r>
    </w:p>
    <w:p w14:paraId="71B75942"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标的公司在长期的行业深耕过程中，形成了</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核心技术体系，并主动辐射智慧生活、智慧出行和智慧零售等多个细分领域，已经形成较为完善的业务布局体系，具备相对较大的收入和净利润规模，拥有相对领先的市场地位。</w:t>
      </w:r>
    </w:p>
    <w:p w14:paraId="21E81F8E"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经过长期深耕，标的公司已经成长为自助设备物联网细分领域的头部服务商之一。</w:t>
      </w:r>
      <w:r w:rsidRPr="00DA3766">
        <w:rPr>
          <w:rFonts w:ascii="Times New Roman" w:hAnsi="Times New Roman" w:cs="Times New Roman"/>
        </w:rPr>
        <w:t>2024</w:t>
      </w:r>
      <w:r w:rsidRPr="00DA3766">
        <w:rPr>
          <w:rFonts w:ascii="Times New Roman" w:hAnsi="Times New Roman" w:cs="Times New Roman"/>
        </w:rPr>
        <w:t>年度，标的公司全平台在线智能自助设备总数超过</w:t>
      </w:r>
      <w:r w:rsidRPr="00DA3766">
        <w:rPr>
          <w:rFonts w:ascii="Times New Roman" w:hAnsi="Times New Roman" w:cs="Times New Roman"/>
        </w:rPr>
        <w:t>300</w:t>
      </w:r>
      <w:r w:rsidRPr="00DA3766">
        <w:rPr>
          <w:rFonts w:ascii="Times New Roman" w:hAnsi="Times New Roman" w:cs="Times New Roman"/>
        </w:rPr>
        <w:t>万台，已覆盖全国</w:t>
      </w:r>
      <w:r w:rsidRPr="00DA3766">
        <w:rPr>
          <w:rFonts w:ascii="Times New Roman" w:hAnsi="Times New Roman" w:cs="Times New Roman"/>
        </w:rPr>
        <w:t>600</w:t>
      </w:r>
      <w:r w:rsidRPr="00DA3766">
        <w:rPr>
          <w:rFonts w:ascii="Times New Roman" w:hAnsi="Times New Roman" w:cs="Times New Roman"/>
        </w:rPr>
        <w:t>多个城市。报告期内，标的公司已经累计服务自助设备运营商超</w:t>
      </w:r>
      <w:r w:rsidRPr="00DA3766">
        <w:rPr>
          <w:rFonts w:ascii="Times New Roman" w:hAnsi="Times New Roman" w:cs="Times New Roman"/>
        </w:rPr>
        <w:t>45</w:t>
      </w:r>
      <w:r w:rsidRPr="00DA3766">
        <w:rPr>
          <w:rFonts w:ascii="Times New Roman" w:hAnsi="Times New Roman" w:cs="Times New Roman"/>
        </w:rPr>
        <w:t>万家，全部终端设备单日支付笔数峰值突破</w:t>
      </w:r>
      <w:r w:rsidRPr="00DA3766">
        <w:rPr>
          <w:rFonts w:ascii="Times New Roman" w:hAnsi="Times New Roman" w:cs="Times New Roman"/>
        </w:rPr>
        <w:t>700</w:t>
      </w:r>
      <w:r w:rsidRPr="00DA3766">
        <w:rPr>
          <w:rFonts w:ascii="Times New Roman" w:hAnsi="Times New Roman" w:cs="Times New Roman"/>
        </w:rPr>
        <w:t>万笔，单月移动支付流水峰值超过</w:t>
      </w:r>
      <w:r w:rsidRPr="00DA3766">
        <w:rPr>
          <w:rFonts w:ascii="Times New Roman" w:hAnsi="Times New Roman" w:cs="Times New Roman"/>
        </w:rPr>
        <w:t>21</w:t>
      </w:r>
      <w:r w:rsidRPr="00DA3766">
        <w:rPr>
          <w:rFonts w:ascii="Times New Roman" w:hAnsi="Times New Roman" w:cs="Times New Roman"/>
        </w:rPr>
        <w:t>亿元。</w:t>
      </w:r>
    </w:p>
    <w:p w14:paraId="610F57AF"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标的公司主要产品市场占有率居于全国领先地位。中国通信工业协会和广东省人工智能产业协会于</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3</w:t>
      </w:r>
      <w:r w:rsidRPr="00DA3766">
        <w:rPr>
          <w:rFonts w:ascii="Times New Roman" w:hAnsi="Times New Roman" w:cs="Times New Roman"/>
        </w:rPr>
        <w:t>月出具的《广东星云开物科技股份有限公司产品市场占有率证明》显示，</w:t>
      </w:r>
      <w:r w:rsidRPr="00DA3766">
        <w:rPr>
          <w:rFonts w:ascii="Times New Roman" w:hAnsi="Times New Roman" w:cs="Times New Roman"/>
        </w:rPr>
        <w:t>2020-2022</w:t>
      </w:r>
      <w:r w:rsidRPr="00DA3766">
        <w:rPr>
          <w:rFonts w:ascii="Times New Roman" w:hAnsi="Times New Roman" w:cs="Times New Roman"/>
        </w:rPr>
        <w:t>年度，标的公司服务两轮充电桩充电口设备数量分别为</w:t>
      </w:r>
      <w:r w:rsidRPr="00DA3766">
        <w:rPr>
          <w:rFonts w:ascii="Times New Roman" w:hAnsi="Times New Roman" w:cs="Times New Roman"/>
        </w:rPr>
        <w:t>220</w:t>
      </w:r>
      <w:r w:rsidRPr="00DA3766">
        <w:rPr>
          <w:rFonts w:ascii="Times New Roman" w:hAnsi="Times New Roman" w:cs="Times New Roman"/>
        </w:rPr>
        <w:t>万台、</w:t>
      </w:r>
      <w:r w:rsidRPr="00DA3766">
        <w:rPr>
          <w:rFonts w:ascii="Times New Roman" w:hAnsi="Times New Roman" w:cs="Times New Roman"/>
        </w:rPr>
        <w:t>360</w:t>
      </w:r>
      <w:r w:rsidRPr="00DA3766">
        <w:rPr>
          <w:rFonts w:ascii="Times New Roman" w:hAnsi="Times New Roman" w:cs="Times New Roman"/>
        </w:rPr>
        <w:t>万台和</w:t>
      </w:r>
      <w:r w:rsidRPr="00DA3766">
        <w:rPr>
          <w:rFonts w:ascii="Times New Roman" w:hAnsi="Times New Roman" w:cs="Times New Roman"/>
        </w:rPr>
        <w:t>500</w:t>
      </w:r>
      <w:r w:rsidRPr="00DA3766">
        <w:rPr>
          <w:rFonts w:ascii="Times New Roman" w:hAnsi="Times New Roman" w:cs="Times New Roman"/>
        </w:rPr>
        <w:t>万台</w:t>
      </w:r>
      <w:r w:rsidRPr="00DA3766">
        <w:rPr>
          <w:rFonts w:ascii="Times New Roman" w:hAnsi="Times New Roman" w:cs="Times New Roman"/>
        </w:rPr>
        <w:t xml:space="preserve"> </w:t>
      </w:r>
      <w:r w:rsidRPr="00DA3766">
        <w:rPr>
          <w:rFonts w:ascii="Times New Roman" w:hAnsi="Times New Roman" w:cs="Times New Roman"/>
        </w:rPr>
        <w:t>，对应全国市场占有率分别为</w:t>
      </w:r>
      <w:r w:rsidRPr="00DA3766">
        <w:rPr>
          <w:rFonts w:ascii="Times New Roman" w:hAnsi="Times New Roman" w:cs="Times New Roman"/>
        </w:rPr>
        <w:t>17.23%</w:t>
      </w:r>
      <w:r w:rsidRPr="00DA3766">
        <w:rPr>
          <w:rFonts w:ascii="Times New Roman" w:hAnsi="Times New Roman" w:cs="Times New Roman"/>
        </w:rPr>
        <w:t>、</w:t>
      </w:r>
      <w:r w:rsidRPr="00DA3766">
        <w:rPr>
          <w:rFonts w:ascii="Times New Roman" w:hAnsi="Times New Roman" w:cs="Times New Roman"/>
        </w:rPr>
        <w:t>25.39%</w:t>
      </w:r>
      <w:r w:rsidRPr="00DA3766">
        <w:rPr>
          <w:rFonts w:ascii="Times New Roman" w:hAnsi="Times New Roman" w:cs="Times New Roman"/>
        </w:rPr>
        <w:t>和</w:t>
      </w:r>
      <w:r w:rsidRPr="00DA3766">
        <w:rPr>
          <w:rFonts w:ascii="Times New Roman" w:hAnsi="Times New Roman" w:cs="Times New Roman"/>
        </w:rPr>
        <w:t>31.59%</w:t>
      </w:r>
      <w:r w:rsidRPr="00DA3766">
        <w:rPr>
          <w:rFonts w:ascii="Times New Roman" w:hAnsi="Times New Roman" w:cs="Times New Roman"/>
        </w:rPr>
        <w:t>。报告期内，标的公司暂未取得市场占有率具体数据。</w:t>
      </w:r>
    </w:p>
    <w:p w14:paraId="24A3D142"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综合客户供应商走访、查询公开信息等核查情况，标的公司</w:t>
      </w:r>
      <w:r w:rsidRPr="00DA3766">
        <w:rPr>
          <w:rFonts w:ascii="Times New Roman" w:hAnsi="Times New Roman" w:cs="Times New Roman"/>
        </w:rPr>
        <w:t>IoT</w:t>
      </w:r>
      <w:r w:rsidRPr="00DA3766">
        <w:rPr>
          <w:rFonts w:ascii="Times New Roman" w:hAnsi="Times New Roman" w:cs="Times New Roman"/>
        </w:rPr>
        <w:t>智能硬件市场占有率在所处细分行业中处于较高水平。</w:t>
      </w:r>
    </w:p>
    <w:p w14:paraId="3B9F8E0B"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w:t>
      </w:r>
      <w:r w:rsidRPr="00DA3766">
        <w:rPr>
          <w:rFonts w:ascii="Times New Roman" w:hAnsi="Times New Roman" w:cs="Times New Roman"/>
        </w:rPr>
        <w:t>SaaS</w:t>
      </w:r>
      <w:r w:rsidRPr="00DA3766">
        <w:rPr>
          <w:rFonts w:ascii="Times New Roman" w:hAnsi="Times New Roman" w:cs="Times New Roman"/>
        </w:rPr>
        <w:t>云平台业务</w:t>
      </w:r>
    </w:p>
    <w:p w14:paraId="73191742" w14:textId="40FAEC12"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中国</w:t>
      </w:r>
      <w:r w:rsidRPr="00DA3766">
        <w:rPr>
          <w:rFonts w:ascii="Times New Roman" w:hAnsi="Times New Roman" w:cs="Times New Roman"/>
        </w:rPr>
        <w:t>SaaS</w:t>
      </w:r>
      <w:r w:rsidRPr="00DA3766">
        <w:rPr>
          <w:rFonts w:ascii="Times New Roman" w:hAnsi="Times New Roman" w:cs="Times New Roman"/>
        </w:rPr>
        <w:t>市场竞争格局多元化，目前市场上的参与者主要包含三类：</w:t>
      </w:r>
      <w:r w:rsidRPr="00DA3766">
        <w:rPr>
          <w:rFonts w:ascii="Times New Roman" w:hAnsi="Times New Roman" w:cs="Times New Roman"/>
        </w:rPr>
        <w:t>1</w:t>
      </w:r>
      <w:r w:rsidRPr="00DA3766">
        <w:rPr>
          <w:rFonts w:ascii="Times New Roman" w:hAnsi="Times New Roman" w:cs="Times New Roman"/>
        </w:rPr>
        <w:t>）头部综合云厂商，它们提供从</w:t>
      </w:r>
      <w:r w:rsidRPr="00DA3766">
        <w:rPr>
          <w:rFonts w:ascii="Times New Roman" w:hAnsi="Times New Roman" w:cs="Times New Roman"/>
        </w:rPr>
        <w:t>IaaS</w:t>
      </w:r>
      <w:r w:rsidRPr="00DA3766">
        <w:rPr>
          <w:rFonts w:ascii="Times New Roman" w:hAnsi="Times New Roman" w:cs="Times New Roman"/>
        </w:rPr>
        <w:t>到</w:t>
      </w:r>
      <w:r w:rsidRPr="00DA3766">
        <w:rPr>
          <w:rFonts w:ascii="Times New Roman" w:hAnsi="Times New Roman" w:cs="Times New Roman"/>
        </w:rPr>
        <w:t>PaaS</w:t>
      </w:r>
      <w:r w:rsidRPr="00DA3766">
        <w:rPr>
          <w:rFonts w:ascii="Times New Roman" w:hAnsi="Times New Roman" w:cs="Times New Roman"/>
        </w:rPr>
        <w:t>、</w:t>
      </w:r>
      <w:r w:rsidRPr="00DA3766">
        <w:rPr>
          <w:rFonts w:ascii="Times New Roman" w:hAnsi="Times New Roman" w:cs="Times New Roman"/>
        </w:rPr>
        <w:t>SaaS</w:t>
      </w:r>
      <w:r w:rsidRPr="00DA3766">
        <w:rPr>
          <w:rFonts w:ascii="Times New Roman" w:hAnsi="Times New Roman" w:cs="Times New Roman"/>
        </w:rPr>
        <w:t>的全栈服务，优势在于强大的品牌、资金和技术整合能力；</w:t>
      </w:r>
      <w:r w:rsidRPr="00DA3766">
        <w:rPr>
          <w:rFonts w:ascii="Times New Roman" w:hAnsi="Times New Roman" w:cs="Times New Roman"/>
        </w:rPr>
        <w:t>2</w:t>
      </w:r>
      <w:r w:rsidRPr="00DA3766">
        <w:rPr>
          <w:rFonts w:ascii="Times New Roman" w:hAnsi="Times New Roman" w:cs="Times New Roman"/>
        </w:rPr>
        <w:t>）垂直领域</w:t>
      </w:r>
      <w:r w:rsidRPr="00DA3766">
        <w:rPr>
          <w:rFonts w:ascii="Times New Roman" w:hAnsi="Times New Roman" w:cs="Times New Roman"/>
        </w:rPr>
        <w:t>SaaS</w:t>
      </w:r>
      <w:r w:rsidRPr="00DA3766">
        <w:rPr>
          <w:rFonts w:ascii="Times New Roman" w:hAnsi="Times New Roman" w:cs="Times New Roman"/>
        </w:rPr>
        <w:t>厂商，深度聚焦特定行业，提供专业解决方案。</w:t>
      </w:r>
      <w:r w:rsidRPr="00DA3766">
        <w:rPr>
          <w:rFonts w:ascii="Times New Roman" w:hAnsi="Times New Roman" w:cs="Times New Roman"/>
        </w:rPr>
        <w:t>3</w:t>
      </w:r>
      <w:r w:rsidRPr="00DA3766">
        <w:rPr>
          <w:rFonts w:ascii="Times New Roman" w:hAnsi="Times New Roman" w:cs="Times New Roman"/>
        </w:rPr>
        <w:t>）专注于</w:t>
      </w:r>
      <w:r w:rsidRPr="00DA3766">
        <w:rPr>
          <w:rFonts w:ascii="Times New Roman" w:hAnsi="Times New Roman" w:cs="Times New Roman"/>
        </w:rPr>
        <w:t>AI</w:t>
      </w:r>
      <w:r w:rsidRPr="00DA3766">
        <w:rPr>
          <w:rFonts w:ascii="Times New Roman" w:hAnsi="Times New Roman" w:cs="Times New Roman"/>
        </w:rPr>
        <w:t>、数据等领域的</w:t>
      </w:r>
      <w:r w:rsidRPr="00DA3766">
        <w:rPr>
          <w:rFonts w:ascii="Times New Roman" w:hAnsi="Times New Roman" w:cs="Times New Roman"/>
        </w:rPr>
        <w:t>PaaS</w:t>
      </w:r>
      <w:r w:rsidRPr="00DA3766">
        <w:rPr>
          <w:rFonts w:ascii="Times New Roman" w:hAnsi="Times New Roman" w:cs="Times New Roman"/>
        </w:rPr>
        <w:t>及</w:t>
      </w:r>
      <w:r w:rsidRPr="00DA3766">
        <w:rPr>
          <w:rFonts w:ascii="Times New Roman" w:hAnsi="Times New Roman" w:cs="Times New Roman"/>
        </w:rPr>
        <w:t>SaaS</w:t>
      </w:r>
      <w:r w:rsidRPr="00DA3766">
        <w:rPr>
          <w:rFonts w:ascii="Times New Roman" w:hAnsi="Times New Roman" w:cs="Times New Roman"/>
        </w:rPr>
        <w:t>新兴创业公司等。目前</w:t>
      </w:r>
      <w:r w:rsidRPr="00DA3766">
        <w:rPr>
          <w:rFonts w:ascii="Times New Roman" w:hAnsi="Times New Roman" w:cs="Times New Roman"/>
        </w:rPr>
        <w:t>SaaS</w:t>
      </w:r>
      <w:r w:rsidRPr="00DA3766">
        <w:rPr>
          <w:rFonts w:ascii="Times New Roman" w:hAnsi="Times New Roman" w:cs="Times New Roman"/>
        </w:rPr>
        <w:t>云平台行业竞争已从早年的</w:t>
      </w:r>
      <w:r w:rsidRPr="00DA3766">
        <w:rPr>
          <w:rFonts w:cs="Times New Roman"/>
        </w:rPr>
        <w:t>“</w:t>
      </w:r>
      <w:r w:rsidRPr="00DA3766">
        <w:rPr>
          <w:rFonts w:ascii="Times New Roman" w:hAnsi="Times New Roman" w:cs="Times New Roman"/>
        </w:rPr>
        <w:t>价格战</w:t>
      </w:r>
      <w:r w:rsidRPr="00DA3766">
        <w:rPr>
          <w:rFonts w:cs="Times New Roman"/>
        </w:rPr>
        <w:t>”</w:t>
      </w:r>
      <w:r w:rsidRPr="00DA3766">
        <w:rPr>
          <w:rFonts w:ascii="Times New Roman" w:hAnsi="Times New Roman" w:cs="Times New Roman"/>
        </w:rPr>
        <w:t>转向价值竞争。用户关注成本的同时，更加关注</w:t>
      </w:r>
      <w:r w:rsidRPr="00DA3766">
        <w:rPr>
          <w:rFonts w:ascii="Times New Roman" w:hAnsi="Times New Roman" w:cs="Times New Roman"/>
        </w:rPr>
        <w:t>SaaS</w:t>
      </w:r>
      <w:r w:rsidRPr="00DA3766">
        <w:rPr>
          <w:rFonts w:ascii="Times New Roman" w:hAnsi="Times New Roman" w:cs="Times New Roman"/>
        </w:rPr>
        <w:t>产品能否带来真正的业务增长和效率提</w:t>
      </w:r>
      <w:r w:rsidR="00872105">
        <w:rPr>
          <w:rFonts w:ascii="Times New Roman" w:hAnsi="Times New Roman" w:cs="Times New Roman" w:hint="eastAsia"/>
        </w:rPr>
        <w:t>升</w:t>
      </w:r>
      <w:r w:rsidRPr="00DA3766">
        <w:rPr>
          <w:rFonts w:ascii="Times New Roman" w:hAnsi="Times New Roman" w:cs="Times New Roman"/>
        </w:rPr>
        <w:t>。</w:t>
      </w:r>
    </w:p>
    <w:p w14:paraId="249E21F5"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标的公司聚焦自助设备等细分领域物联网</w:t>
      </w:r>
      <w:r w:rsidRPr="00DA3766">
        <w:rPr>
          <w:rFonts w:ascii="Times New Roman" w:hAnsi="Times New Roman" w:cs="Times New Roman"/>
        </w:rPr>
        <w:t>SaaS</w:t>
      </w:r>
      <w:r w:rsidRPr="00DA3766">
        <w:rPr>
          <w:rFonts w:ascii="Times New Roman" w:hAnsi="Times New Roman" w:cs="Times New Roman"/>
        </w:rPr>
        <w:t>云服务场景，通过自主研发的多品类</w:t>
      </w:r>
      <w:r w:rsidRPr="00DA3766">
        <w:rPr>
          <w:rFonts w:ascii="Times New Roman" w:hAnsi="Times New Roman" w:cs="Times New Roman"/>
        </w:rPr>
        <w:t>IoT</w:t>
      </w:r>
      <w:r w:rsidRPr="00DA3766">
        <w:rPr>
          <w:rFonts w:ascii="Times New Roman" w:hAnsi="Times New Roman" w:cs="Times New Roman"/>
        </w:rPr>
        <w:t>智能硬件和</w:t>
      </w:r>
      <w:r w:rsidRPr="00DA3766">
        <w:rPr>
          <w:rFonts w:ascii="Times New Roman" w:hAnsi="Times New Roman" w:cs="Times New Roman"/>
        </w:rPr>
        <w:t>SaaS</w:t>
      </w:r>
      <w:r w:rsidRPr="00DA3766">
        <w:rPr>
          <w:rFonts w:ascii="Times New Roman" w:hAnsi="Times New Roman" w:cs="Times New Roman"/>
        </w:rPr>
        <w:t>云平台，实现了数据收集、建模、测试、故障诊断和智能预测的智能自助设备全链条数据开发和应用，构建了广泛的市场覆盖网</w:t>
      </w:r>
      <w:r w:rsidRPr="00DA3766">
        <w:rPr>
          <w:rFonts w:ascii="Times New Roman" w:hAnsi="Times New Roman" w:cs="Times New Roman"/>
        </w:rPr>
        <w:lastRenderedPageBreak/>
        <w:t>络，并积累了丰富的行业经验，标的公司在自助设备等细分领域具备较强的市场竞争力。</w:t>
      </w:r>
      <w:r w:rsidRPr="00DA3766">
        <w:rPr>
          <w:rFonts w:ascii="Times New Roman" w:hAnsi="Times New Roman" w:cs="Times New Roman"/>
        </w:rPr>
        <w:t>2024</w:t>
      </w:r>
      <w:r w:rsidRPr="00DA3766">
        <w:rPr>
          <w:rFonts w:ascii="Times New Roman" w:hAnsi="Times New Roman" w:cs="Times New Roman"/>
        </w:rPr>
        <w:t>年度，标的资产全平台在线智能自助设备总数超</w:t>
      </w:r>
      <w:r w:rsidRPr="00DA3766">
        <w:rPr>
          <w:rFonts w:ascii="Times New Roman" w:hAnsi="Times New Roman" w:cs="Times New Roman"/>
        </w:rPr>
        <w:t>300</w:t>
      </w:r>
      <w:r w:rsidRPr="00DA3766">
        <w:rPr>
          <w:rFonts w:ascii="Times New Roman" w:hAnsi="Times New Roman" w:cs="Times New Roman"/>
        </w:rPr>
        <w:t>万台，报告期内全部终端设备单日支付笔数峰值超</w:t>
      </w:r>
      <w:r w:rsidRPr="00DA3766">
        <w:rPr>
          <w:rFonts w:ascii="Times New Roman" w:hAnsi="Times New Roman" w:cs="Times New Roman"/>
        </w:rPr>
        <w:t>700</w:t>
      </w:r>
      <w:r w:rsidRPr="00DA3766">
        <w:rPr>
          <w:rFonts w:ascii="Times New Roman" w:hAnsi="Times New Roman" w:cs="Times New Roman"/>
        </w:rPr>
        <w:t>万笔。</w:t>
      </w:r>
    </w:p>
    <w:p w14:paraId="61898BE5"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）数字增值服务</w:t>
      </w:r>
    </w:p>
    <w:p w14:paraId="74C8AC80"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数字增值服务行业市场竞争格局呈现出多元化、动态化的特点，行业参与者包括互联网巨头、传统软件企业、新兴科技创业公司等。互联网巨头凭借技术、数据和用户基础，占据高端市场和核心场景；传统软件企业通过数字化转型，拓展增值服务领域；新兴创业公司则聚焦细分赛道，以创新技术和灵活服务切入市场。目前，数字增值行业主要竞争方向为通过技术创新提升服务效率、精准度和个性化水平，并通过建立生态体系、深耕行业应用场景等提高市场渗透率。</w:t>
      </w:r>
    </w:p>
    <w:p w14:paraId="518EA24F"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标的基于业内领先的</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一体化解决方案和强大的智能自助设备全链条服务能力，灵活开展广告投放、流量引入和价值转化等多元化数字增值服务，以增加业务收入来源和提升综合盈利能力。</w:t>
      </w:r>
    </w:p>
    <w:p w14:paraId="67F59B9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、下游智能自助设备行业的发展情况及趋势</w:t>
      </w:r>
    </w:p>
    <w:p w14:paraId="54600451"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随着全球数字化进程的加快，智能自助设备在海内外市场的潜力巨大。根据</w:t>
      </w:r>
      <w:r w:rsidRPr="00DA3766">
        <w:rPr>
          <w:rFonts w:ascii="Times New Roman" w:hAnsi="Times New Roman" w:cs="Times New Roman"/>
        </w:rPr>
        <w:t>IDC</w:t>
      </w:r>
      <w:r w:rsidRPr="00DA3766">
        <w:rPr>
          <w:rFonts w:ascii="Times New Roman" w:hAnsi="Times New Roman" w:cs="Times New Roman"/>
        </w:rPr>
        <w:t>数据，</w:t>
      </w:r>
      <w:r w:rsidRPr="00DA3766">
        <w:rPr>
          <w:rFonts w:ascii="Times New Roman" w:hAnsi="Times New Roman" w:cs="Times New Roman"/>
        </w:rPr>
        <w:t>2024</w:t>
      </w:r>
      <w:r w:rsidRPr="00DA3766">
        <w:rPr>
          <w:rFonts w:ascii="Times New Roman" w:hAnsi="Times New Roman" w:cs="Times New Roman"/>
        </w:rPr>
        <w:t>年中国物联网市场规模达</w:t>
      </w:r>
      <w:r w:rsidRPr="00DA3766">
        <w:rPr>
          <w:rFonts w:ascii="Times New Roman" w:hAnsi="Times New Roman" w:cs="Times New Roman"/>
        </w:rPr>
        <w:t>1,982.50</w:t>
      </w:r>
      <w:r w:rsidRPr="00DA3766">
        <w:rPr>
          <w:rFonts w:ascii="Times New Roman" w:hAnsi="Times New Roman" w:cs="Times New Roman"/>
        </w:rPr>
        <w:t>亿美元，同比增长</w:t>
      </w:r>
      <w:r w:rsidRPr="00DA3766">
        <w:rPr>
          <w:rFonts w:ascii="Times New Roman" w:hAnsi="Times New Roman" w:cs="Times New Roman"/>
        </w:rPr>
        <w:t>13.2%</w:t>
      </w:r>
      <w:r w:rsidRPr="00DA3766">
        <w:rPr>
          <w:rFonts w:ascii="Times New Roman" w:hAnsi="Times New Roman" w:cs="Times New Roman"/>
        </w:rPr>
        <w:t>，预计</w:t>
      </w:r>
      <w:r w:rsidRPr="00DA3766">
        <w:rPr>
          <w:rFonts w:ascii="Times New Roman" w:hAnsi="Times New Roman" w:cs="Times New Roman"/>
        </w:rPr>
        <w:t>2028</w:t>
      </w:r>
      <w:r w:rsidRPr="00DA3766">
        <w:rPr>
          <w:rFonts w:ascii="Times New Roman" w:hAnsi="Times New Roman" w:cs="Times New Roman"/>
        </w:rPr>
        <w:t>年将增至</w:t>
      </w:r>
      <w:r w:rsidRPr="00DA3766">
        <w:rPr>
          <w:rFonts w:ascii="Times New Roman" w:hAnsi="Times New Roman" w:cs="Times New Roman"/>
        </w:rPr>
        <w:t>3,264.70</w:t>
      </w:r>
      <w:r w:rsidRPr="00DA3766">
        <w:rPr>
          <w:rFonts w:ascii="Times New Roman" w:hAnsi="Times New Roman" w:cs="Times New Roman"/>
        </w:rPr>
        <w:t>亿美元，</w:t>
      </w:r>
      <w:r w:rsidRPr="00DA3766">
        <w:rPr>
          <w:rFonts w:ascii="Times New Roman" w:hAnsi="Times New Roman" w:cs="Times New Roman"/>
        </w:rPr>
        <w:t>5</w:t>
      </w:r>
      <w:r w:rsidRPr="00DA3766">
        <w:rPr>
          <w:rFonts w:ascii="Times New Roman" w:hAnsi="Times New Roman" w:cs="Times New Roman"/>
        </w:rPr>
        <w:t>年</w:t>
      </w:r>
      <w:r w:rsidRPr="00DA3766">
        <w:rPr>
          <w:rFonts w:ascii="Times New Roman" w:hAnsi="Times New Roman" w:cs="Times New Roman"/>
        </w:rPr>
        <w:t>CAGR</w:t>
      </w:r>
      <w:r w:rsidRPr="00DA3766">
        <w:rPr>
          <w:rFonts w:ascii="Times New Roman" w:hAnsi="Times New Roman" w:cs="Times New Roman"/>
        </w:rPr>
        <w:t>达</w:t>
      </w:r>
      <w:r w:rsidRPr="00DA3766">
        <w:rPr>
          <w:rFonts w:ascii="Times New Roman" w:hAnsi="Times New Roman" w:cs="Times New Roman"/>
        </w:rPr>
        <w:t>13.30%</w:t>
      </w:r>
      <w:r w:rsidRPr="00DA3766">
        <w:rPr>
          <w:rFonts w:ascii="Times New Roman" w:hAnsi="Times New Roman" w:cs="Times New Roman"/>
        </w:rPr>
        <w:t>。</w:t>
      </w:r>
    </w:p>
    <w:p w14:paraId="0292844D"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标的公司在长期的行业深耕过程中，形成了</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核心技术体系，并主动辐射智慧生活、智慧出行和智慧零售等多个细分领域，已具备相对较大的收入和净利润规模，拥有领先的市场地位，未来标的公司将在巩固市场地位的基础上持续增强产品竞争力和细分业务领域，推动经营业绩持续增长。</w:t>
      </w:r>
    </w:p>
    <w:p w14:paraId="49EA2E87"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（二）标的资产的竞争优劣势</w:t>
      </w:r>
    </w:p>
    <w:p w14:paraId="3807BF7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、核心竞争优势</w:t>
      </w:r>
    </w:p>
    <w:p w14:paraId="1C4A3C7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）拥有健全领先产品矩阵，全面覆盖终端场景</w:t>
      </w:r>
    </w:p>
    <w:p w14:paraId="66FD4B3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标的公司专注于提供</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一体化解决方案，实现二者深度耦合。目前，标的公司已经打造覆盖智慧生活解决方案、智慧零售解决方案、智慧出行解决方案等在内的全场景解决方案矩阵，能够全面覆盖多类型的自助设备终端场景，有效满足客户和消费者的多元需求，具体情况如下：</w:t>
      </w:r>
    </w:p>
    <w:p w14:paraId="1E3C1FA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标的公司提供成熟可靠的</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智能硬件产品，依托集成芯片模组方案及边缘算力能力，并通过统一的底层</w:t>
      </w:r>
      <w:r w:rsidRPr="00DA3766">
        <w:rPr>
          <w:rFonts w:ascii="Times New Roman" w:hAnsi="Times New Roman" w:cs="Times New Roman"/>
          <w:kern w:val="2"/>
          <w:szCs w:val="22"/>
        </w:rPr>
        <w:t>SDK</w:t>
      </w:r>
      <w:r w:rsidRPr="00DA3766">
        <w:rPr>
          <w:rFonts w:ascii="Times New Roman" w:hAnsi="Times New Roman" w:cs="Times New Roman"/>
          <w:kern w:val="2"/>
          <w:szCs w:val="22"/>
        </w:rPr>
        <w:t>实现各类传感器数据及协议标准化。制造商仅需专注自身产品硬件接口的控制，即可借助标的公司提供的集成芯片模组，补足自助设备控制主板的智能化与数字化升级短板，提升硬件研发能力，实现设备在生产测试环节的全流程监测，从而提升产品质量。标的公司在智慧硬件产业链已形成规模化优势，能够进一步降低综合成本，为市场提供更具性价比的智能硬件解决方案。</w:t>
      </w:r>
    </w:p>
    <w:p w14:paraId="03962D5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同时，标的公司还提供功能强大、稳定可靠的</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云平台服务，助力自助设备运营商实现经营管理、设备监控、商品调配、数据分析、智能补货及故障预警等</w:t>
      </w:r>
      <w:r w:rsidRPr="00DA3766">
        <w:rPr>
          <w:rFonts w:cs="Times New Roman"/>
          <w:kern w:val="2"/>
          <w:szCs w:val="22"/>
        </w:rPr>
        <w:t>“</w:t>
      </w:r>
      <w:r w:rsidRPr="00DA3766">
        <w:rPr>
          <w:rFonts w:ascii="Times New Roman" w:hAnsi="Times New Roman" w:cs="Times New Roman"/>
          <w:kern w:val="2"/>
          <w:szCs w:val="22"/>
        </w:rPr>
        <w:t>一站式</w:t>
      </w:r>
      <w:r w:rsidRPr="00DA3766">
        <w:rPr>
          <w:rFonts w:cs="Times New Roman"/>
          <w:kern w:val="2"/>
          <w:szCs w:val="22"/>
        </w:rPr>
        <w:t>”</w:t>
      </w:r>
      <w:r w:rsidRPr="00DA3766">
        <w:rPr>
          <w:rFonts w:ascii="Times New Roman" w:hAnsi="Times New Roman" w:cs="Times New Roman"/>
          <w:kern w:val="2"/>
          <w:szCs w:val="22"/>
        </w:rPr>
        <w:t>高效管理，赋能智慧经营决策。此外，该</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云平台服务还能为自助设备运营商提供安全保障、智慧营销等方面支持，全方位助力其提升管理效率，优化商业效益。</w:t>
      </w:r>
    </w:p>
    <w:p w14:paraId="33574CB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）高度重视研发创新能力，构建可靠高效的研发体系</w:t>
      </w:r>
    </w:p>
    <w:p w14:paraId="37279D1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标的公司始终重视研发创新能力的构建与提升，保持较高的研发投入水平，在长期的经营发展过程中打造出一支研发能力过硬、人员稳定且组成结构合理的精英研发团队。在</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智能硬件及</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云平台技术方面，标的公司始终坚持自主研发，持续进行创新技术投入，通过布局边缘计算、</w:t>
      </w:r>
      <w:r w:rsidRPr="00DA3766">
        <w:rPr>
          <w:rFonts w:ascii="Times New Roman" w:hAnsi="Times New Roman" w:cs="Times New Roman"/>
          <w:kern w:val="2"/>
          <w:szCs w:val="22"/>
        </w:rPr>
        <w:t>AI</w:t>
      </w:r>
      <w:r w:rsidRPr="00DA3766">
        <w:rPr>
          <w:rFonts w:ascii="Times New Roman" w:hAnsi="Times New Roman" w:cs="Times New Roman"/>
          <w:kern w:val="2"/>
          <w:szCs w:val="22"/>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14:paraId="05C3530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）长期深耕自助设备行业，客户资源优势突出</w:t>
      </w:r>
    </w:p>
    <w:p w14:paraId="3155FAA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自</w:t>
      </w:r>
      <w:r w:rsidRPr="00DA3766">
        <w:rPr>
          <w:rFonts w:ascii="Times New Roman" w:hAnsi="Times New Roman" w:cs="Times New Roman"/>
          <w:kern w:val="2"/>
          <w:szCs w:val="22"/>
        </w:rPr>
        <w:t>2015</w:t>
      </w:r>
      <w:r w:rsidRPr="00DA3766">
        <w:rPr>
          <w:rFonts w:ascii="Times New Roman" w:hAnsi="Times New Roman" w:cs="Times New Roman"/>
          <w:kern w:val="2"/>
          <w:szCs w:val="22"/>
        </w:rPr>
        <w:t>年成立以来，标的公司长期深耕自助设备行业，秉承着行业共赢的理念，通过集成芯片模组，补足自助设备控制主板的智能化、数字化升级短板，</w:t>
      </w:r>
      <w:r w:rsidRPr="00DA3766">
        <w:rPr>
          <w:rFonts w:ascii="Times New Roman" w:hAnsi="Times New Roman" w:cs="Times New Roman"/>
          <w:kern w:val="2"/>
          <w:szCs w:val="22"/>
        </w:rPr>
        <w:lastRenderedPageBreak/>
        <w:t>提高工业生产合作伙伴的硬件研发能力，从而实现设备在生产测试环节的全流程监测，提高生产质量。依托持续的产品创新、服务优化及敏捷的客户需求响应能力，目前标的公司已与下游各大终端消费场景的自助设备制造商建立了深度战略合作关系，形成了稳定的下游客户生态。</w:t>
      </w:r>
    </w:p>
    <w:p w14:paraId="4A7EC0B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）陪伴物联网设备行业成长，具备较强品牌效应</w:t>
      </w:r>
    </w:p>
    <w:p w14:paraId="7BB3648C" w14:textId="35C2277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标的公司作为国内最早布局自助设备物联网模块及</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云平台服务的企业之一，始终秉持</w:t>
      </w:r>
      <w:r w:rsidRPr="00DA3766">
        <w:rPr>
          <w:rFonts w:cs="Times New Roman"/>
          <w:kern w:val="2"/>
          <w:szCs w:val="22"/>
        </w:rPr>
        <w:t>“</w:t>
      </w:r>
      <w:r w:rsidRPr="00DA3766">
        <w:rPr>
          <w:rFonts w:ascii="Times New Roman" w:hAnsi="Times New Roman" w:cs="Times New Roman"/>
          <w:kern w:val="2"/>
          <w:szCs w:val="22"/>
        </w:rPr>
        <w:t>质量先行、客户至上</w:t>
      </w:r>
      <w:r w:rsidRPr="00DA3766">
        <w:rPr>
          <w:rFonts w:cs="Times New Roman"/>
          <w:kern w:val="2"/>
          <w:szCs w:val="22"/>
        </w:rPr>
        <w:t>”</w:t>
      </w:r>
      <w:r w:rsidRPr="00DA3766">
        <w:rPr>
          <w:rFonts w:ascii="Times New Roman" w:hAnsi="Times New Roman" w:cs="Times New Roman"/>
          <w:kern w:val="2"/>
          <w:szCs w:val="22"/>
        </w:rPr>
        <w:t>的核心服务理念，凭借卓越的技术创新能力、快速迭代的产品体系及全流程服务能力，已在行业内铸就了高口碑的品牌形象。标的公司旗下</w:t>
      </w:r>
      <w:r w:rsidRPr="00DA3766">
        <w:rPr>
          <w:rFonts w:cs="Times New Roman"/>
          <w:kern w:val="2"/>
          <w:szCs w:val="22"/>
        </w:rPr>
        <w:t>“</w:t>
      </w:r>
      <w:r w:rsidRPr="00DA3766">
        <w:rPr>
          <w:rFonts w:ascii="Times New Roman" w:hAnsi="Times New Roman" w:cs="Times New Roman"/>
          <w:kern w:val="2"/>
          <w:szCs w:val="22"/>
        </w:rPr>
        <w:t>乐摇摇</w:t>
      </w:r>
      <w:r w:rsidRPr="00DA3766">
        <w:rPr>
          <w:rFonts w:cs="Times New Roman"/>
          <w:kern w:val="2"/>
          <w:szCs w:val="22"/>
        </w:rPr>
        <w:t>”</w:t>
      </w:r>
      <w:r w:rsidRPr="00DA3766">
        <w:rPr>
          <w:rFonts w:ascii="Times New Roman" w:hAnsi="Times New Roman" w:cs="Times New Roman"/>
          <w:kern w:val="2"/>
          <w:szCs w:val="22"/>
        </w:rPr>
        <w:t>等品牌已广为市场认同与接受，通过</w:t>
      </w:r>
      <w:r w:rsidRPr="00DA3766">
        <w:rPr>
          <w:rFonts w:ascii="Times New Roman" w:hAnsi="Times New Roman" w:cs="Times New Roman"/>
          <w:kern w:val="2"/>
          <w:szCs w:val="22"/>
        </w:rPr>
        <w:t>7*</w:t>
      </w:r>
      <w:r w:rsidR="00491670" w:rsidRPr="00DA3766">
        <w:rPr>
          <w:rFonts w:ascii="Times New Roman" w:hAnsi="Times New Roman" w:cs="Times New Roman"/>
          <w:kern w:val="2"/>
          <w:szCs w:val="22"/>
        </w:rPr>
        <w:t>12</w:t>
      </w:r>
      <w:r w:rsidRPr="00DA3766">
        <w:rPr>
          <w:rFonts w:ascii="Times New Roman" w:hAnsi="Times New Roman" w:cs="Times New Roman"/>
          <w:kern w:val="2"/>
          <w:szCs w:val="22"/>
        </w:rPr>
        <w:t>小时专业客服支持、智能化系统监控及快速响应的技术运维体系，已累计为超过</w:t>
      </w:r>
      <w:r w:rsidRPr="00DA3766">
        <w:rPr>
          <w:rFonts w:ascii="Times New Roman" w:hAnsi="Times New Roman" w:cs="Times New Roman"/>
          <w:kern w:val="2"/>
          <w:szCs w:val="22"/>
        </w:rPr>
        <w:t>45</w:t>
      </w:r>
      <w:r w:rsidRPr="00DA3766">
        <w:rPr>
          <w:rFonts w:ascii="Times New Roman" w:hAnsi="Times New Roman" w:cs="Times New Roman"/>
          <w:kern w:val="2"/>
          <w:szCs w:val="22"/>
        </w:rPr>
        <w:t>万家商户提供稳定可靠的技术支持与经营管理赋能，成为广大自助设备运营商日常经营与战略决策的重要合作伙伴。历经十年深耕，标的公司通过持续的技术沉淀、客户资源积累与品牌价值释放，已成功打造出深层次的客户粘性与较强的行业影响力。</w:t>
      </w:r>
    </w:p>
    <w:p w14:paraId="2C2540A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标的公司自设立以来坚持以技术为基石的基本经营原则，以打造业内长期领先的技术创新能力为最终目标，形成了较为完善的核心技术体系。</w:t>
      </w:r>
    </w:p>
    <w:p w14:paraId="2C2F0364"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、竞争劣势</w:t>
      </w:r>
    </w:p>
    <w:p w14:paraId="22A1E54D" w14:textId="0EA5BF04"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标的公司的主要竞争劣势包含资金实力较弱、融资渠道单一、经营规模较小，标的公司发展需要持续投入研发和市场开拓，但主要依赖自身经营积累，融资渠道有限，制约了快速发展。</w:t>
      </w:r>
    </w:p>
    <w:p w14:paraId="37E689D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（三）与主要客户合作的可持续性、新客户拓展情况</w:t>
      </w:r>
    </w:p>
    <w:p w14:paraId="2244141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、与主要客户合作的可持续性</w:t>
      </w:r>
    </w:p>
    <w:p w14:paraId="28C4902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标的公司主营业务为</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一体化解决方案，涵盖硬件销售、软件订阅及数字增值服务。在该模式下，客户购买硬件设备后，将持续使用标的公司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平台进行设备管理、数据分析和运营优化，从而构建了较强的业务粘性。</w:t>
      </w:r>
    </w:p>
    <w:p w14:paraId="17DAE61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标的公司客户群体主要包括自助设备制造商、运营商、第三方支付机构（如</w:t>
      </w:r>
      <w:r w:rsidRPr="00DA3766">
        <w:rPr>
          <w:rFonts w:ascii="Times New Roman" w:hAnsi="Times New Roman" w:cs="Times New Roman"/>
          <w:kern w:val="2"/>
          <w:szCs w:val="22"/>
        </w:rPr>
        <w:lastRenderedPageBreak/>
        <w:t>汇付天下、蚂蚁集团）以及个人消费者。其中，企业客户（</w:t>
      </w:r>
      <w:r w:rsidRPr="00DA3766">
        <w:rPr>
          <w:rFonts w:ascii="Times New Roman" w:hAnsi="Times New Roman" w:cs="Times New Roman"/>
          <w:kern w:val="2"/>
          <w:szCs w:val="22"/>
        </w:rPr>
        <w:t>B</w:t>
      </w:r>
      <w:r w:rsidRPr="00DA3766">
        <w:rPr>
          <w:rFonts w:ascii="Times New Roman" w:hAnsi="Times New Roman" w:cs="Times New Roman"/>
          <w:kern w:val="2"/>
          <w:szCs w:val="22"/>
        </w:rPr>
        <w:t>端）特别是支付机构及数字营销大型客户，通常具有合作周期长、需求持续性强、对服务合规性与安全性要求高等特点，客户粘性较高，转换成本亦相对较高。</w:t>
      </w:r>
    </w:p>
    <w:p w14:paraId="43B8A8A3" w14:textId="5E44408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公司与蚂蚁集团、腾讯、京东、汇付天下等主要客户已形成长期稳定的合作关系，相关交易规模持续增长，体现了客户对标的公司产品与服务的高度认可及合作关系的稳固性。</w:t>
      </w:r>
    </w:p>
    <w:p w14:paraId="1E2A513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报告期内主要客户销售情况如下：</w:t>
      </w:r>
    </w:p>
    <w:tbl>
      <w:tblPr>
        <w:tblStyle w:val="afc"/>
        <w:tblW w:w="5000" w:type="pct"/>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30"/>
        <w:gridCol w:w="2780"/>
        <w:gridCol w:w="1560"/>
        <w:gridCol w:w="1478"/>
        <w:gridCol w:w="1980"/>
      </w:tblGrid>
      <w:tr w:rsidR="00EB3B4C" w:rsidRPr="00DA3766" w14:paraId="00D5F3B3" w14:textId="77777777" w:rsidTr="00DA3766">
        <w:trPr>
          <w:trHeight w:val="397"/>
          <w:jc w:val="center"/>
        </w:trPr>
        <w:tc>
          <w:tcPr>
            <w:tcW w:w="8528" w:type="dxa"/>
            <w:gridSpan w:val="5"/>
            <w:tcMar>
              <w:top w:w="0" w:type="dxa"/>
              <w:left w:w="108" w:type="dxa"/>
              <w:bottom w:w="0" w:type="dxa"/>
              <w:right w:w="108" w:type="dxa"/>
            </w:tcMar>
            <w:vAlign w:val="center"/>
          </w:tcPr>
          <w:p w14:paraId="587AFA0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r>
      <w:tr w:rsidR="00EB3B4C" w:rsidRPr="00DA3766" w14:paraId="7B23A06F" w14:textId="77777777" w:rsidTr="00DA3766">
        <w:trPr>
          <w:trHeight w:val="397"/>
          <w:jc w:val="center"/>
        </w:trPr>
        <w:tc>
          <w:tcPr>
            <w:tcW w:w="730" w:type="dxa"/>
            <w:tcMar>
              <w:top w:w="0" w:type="dxa"/>
              <w:left w:w="108" w:type="dxa"/>
              <w:bottom w:w="0" w:type="dxa"/>
              <w:right w:w="108" w:type="dxa"/>
            </w:tcMar>
            <w:vAlign w:val="center"/>
          </w:tcPr>
          <w:p w14:paraId="2AF2CCC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3FA5E0D4"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59AF0CC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2B892148"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46CE807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占营业收入的比例</w:t>
            </w:r>
          </w:p>
        </w:tc>
      </w:tr>
      <w:tr w:rsidR="00EB3B4C" w:rsidRPr="00DA3766" w14:paraId="091FC212" w14:textId="77777777" w:rsidTr="00DA3766">
        <w:trPr>
          <w:trHeight w:val="397"/>
          <w:jc w:val="center"/>
        </w:trPr>
        <w:tc>
          <w:tcPr>
            <w:tcW w:w="730" w:type="dxa"/>
            <w:tcMar>
              <w:top w:w="0" w:type="dxa"/>
              <w:left w:w="108" w:type="dxa"/>
              <w:bottom w:w="0" w:type="dxa"/>
              <w:right w:w="108" w:type="dxa"/>
            </w:tcMar>
            <w:vAlign w:val="center"/>
          </w:tcPr>
          <w:p w14:paraId="20CEB38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34CAA0A8"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5C8219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061D41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1,680.10</w:t>
            </w:r>
          </w:p>
        </w:tc>
        <w:tc>
          <w:tcPr>
            <w:tcW w:w="1980" w:type="dxa"/>
            <w:tcMar>
              <w:top w:w="0" w:type="dxa"/>
              <w:left w:w="108" w:type="dxa"/>
              <w:bottom w:w="0" w:type="dxa"/>
              <w:right w:w="108" w:type="dxa"/>
            </w:tcMar>
            <w:vAlign w:val="center"/>
          </w:tcPr>
          <w:p w14:paraId="2B697E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6.77%</w:t>
            </w:r>
          </w:p>
        </w:tc>
      </w:tr>
      <w:tr w:rsidR="00EB3B4C" w:rsidRPr="00DA3766" w14:paraId="4F9C576A" w14:textId="77777777" w:rsidTr="00DA3766">
        <w:trPr>
          <w:trHeight w:val="397"/>
          <w:jc w:val="center"/>
        </w:trPr>
        <w:tc>
          <w:tcPr>
            <w:tcW w:w="730" w:type="dxa"/>
            <w:tcMar>
              <w:top w:w="0" w:type="dxa"/>
              <w:left w:w="108" w:type="dxa"/>
              <w:bottom w:w="0" w:type="dxa"/>
              <w:right w:w="108" w:type="dxa"/>
            </w:tcMar>
            <w:vAlign w:val="center"/>
          </w:tcPr>
          <w:p w14:paraId="2264DB7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12437304"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14:paraId="40A028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B459F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color w:val="000000"/>
                <w:sz w:val="21"/>
                <w:szCs w:val="21"/>
              </w:rPr>
              <w:t>1,432.08</w:t>
            </w:r>
          </w:p>
        </w:tc>
        <w:tc>
          <w:tcPr>
            <w:tcW w:w="1980" w:type="dxa"/>
            <w:tcMar>
              <w:top w:w="0" w:type="dxa"/>
              <w:left w:w="108" w:type="dxa"/>
              <w:bottom w:w="0" w:type="dxa"/>
              <w:right w:w="108" w:type="dxa"/>
            </w:tcMar>
            <w:vAlign w:val="center"/>
          </w:tcPr>
          <w:p w14:paraId="18FD7C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5.77%</w:t>
            </w:r>
          </w:p>
        </w:tc>
      </w:tr>
      <w:tr w:rsidR="00EB3B4C" w:rsidRPr="00DA3766" w14:paraId="60AB9F93" w14:textId="77777777" w:rsidTr="00DA3766">
        <w:trPr>
          <w:trHeight w:val="397"/>
          <w:jc w:val="center"/>
        </w:trPr>
        <w:tc>
          <w:tcPr>
            <w:tcW w:w="730" w:type="dxa"/>
            <w:tcMar>
              <w:top w:w="0" w:type="dxa"/>
              <w:left w:w="108" w:type="dxa"/>
              <w:bottom w:w="0" w:type="dxa"/>
              <w:right w:w="108" w:type="dxa"/>
            </w:tcMar>
            <w:vAlign w:val="center"/>
          </w:tcPr>
          <w:p w14:paraId="3BD25F37"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109B956E"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3BC0454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A2E5D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color w:val="000000"/>
                <w:sz w:val="21"/>
                <w:szCs w:val="21"/>
              </w:rPr>
              <w:t>1,089.16</w:t>
            </w:r>
          </w:p>
        </w:tc>
        <w:tc>
          <w:tcPr>
            <w:tcW w:w="1980" w:type="dxa"/>
            <w:tcMar>
              <w:top w:w="0" w:type="dxa"/>
              <w:left w:w="108" w:type="dxa"/>
              <w:bottom w:w="0" w:type="dxa"/>
              <w:right w:w="108" w:type="dxa"/>
            </w:tcMar>
            <w:vAlign w:val="center"/>
          </w:tcPr>
          <w:p w14:paraId="3FCAC3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w:t>
            </w:r>
          </w:p>
        </w:tc>
      </w:tr>
      <w:tr w:rsidR="00EB3B4C" w:rsidRPr="00DA3766" w14:paraId="64AA1886" w14:textId="77777777" w:rsidTr="00DA3766">
        <w:trPr>
          <w:trHeight w:val="397"/>
          <w:jc w:val="center"/>
        </w:trPr>
        <w:tc>
          <w:tcPr>
            <w:tcW w:w="730" w:type="dxa"/>
            <w:tcMar>
              <w:top w:w="0" w:type="dxa"/>
              <w:left w:w="108" w:type="dxa"/>
              <w:bottom w:w="0" w:type="dxa"/>
              <w:right w:w="108" w:type="dxa"/>
            </w:tcMar>
            <w:vAlign w:val="center"/>
          </w:tcPr>
          <w:p w14:paraId="3315B028"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6213BBA1" w14:textId="0C0C1390" w:rsidR="00EB3B4C" w:rsidRPr="00DA3766" w:rsidRDefault="00335249"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1560" w:type="dxa"/>
            <w:tcMar>
              <w:top w:w="0" w:type="dxa"/>
              <w:left w:w="108" w:type="dxa"/>
              <w:bottom w:w="0" w:type="dxa"/>
              <w:right w:w="108" w:type="dxa"/>
            </w:tcMar>
            <w:vAlign w:val="center"/>
          </w:tcPr>
          <w:p w14:paraId="2A120C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14:paraId="1169B1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201.99</w:t>
            </w:r>
          </w:p>
        </w:tc>
        <w:tc>
          <w:tcPr>
            <w:tcW w:w="1980" w:type="dxa"/>
            <w:tcMar>
              <w:top w:w="0" w:type="dxa"/>
              <w:left w:w="108" w:type="dxa"/>
              <w:bottom w:w="0" w:type="dxa"/>
              <w:right w:w="108" w:type="dxa"/>
            </w:tcMar>
            <w:vAlign w:val="center"/>
          </w:tcPr>
          <w:p w14:paraId="1EBA1A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0.81%</w:t>
            </w:r>
          </w:p>
        </w:tc>
      </w:tr>
      <w:tr w:rsidR="00EB3B4C" w:rsidRPr="00DA3766" w14:paraId="3A8DDBF6" w14:textId="77777777" w:rsidTr="00DA3766">
        <w:trPr>
          <w:trHeight w:val="397"/>
          <w:jc w:val="center"/>
        </w:trPr>
        <w:tc>
          <w:tcPr>
            <w:tcW w:w="730" w:type="dxa"/>
            <w:tcMar>
              <w:top w:w="0" w:type="dxa"/>
              <w:left w:w="108" w:type="dxa"/>
              <w:bottom w:w="0" w:type="dxa"/>
              <w:right w:w="108" w:type="dxa"/>
            </w:tcMar>
            <w:vAlign w:val="center"/>
          </w:tcPr>
          <w:p w14:paraId="6C7BCAD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64222F43" w14:textId="524D3949" w:rsidR="00EB3B4C" w:rsidRPr="00DA3766" w:rsidRDefault="00335249"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B</w:t>
            </w:r>
          </w:p>
        </w:tc>
        <w:tc>
          <w:tcPr>
            <w:tcW w:w="1560" w:type="dxa"/>
            <w:tcMar>
              <w:top w:w="0" w:type="dxa"/>
              <w:left w:w="108" w:type="dxa"/>
              <w:bottom w:w="0" w:type="dxa"/>
              <w:right w:w="108" w:type="dxa"/>
            </w:tcMar>
            <w:vAlign w:val="center"/>
          </w:tcPr>
          <w:p w14:paraId="0E7C195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14:paraId="49E536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198.96</w:t>
            </w:r>
          </w:p>
        </w:tc>
        <w:tc>
          <w:tcPr>
            <w:tcW w:w="1980" w:type="dxa"/>
            <w:tcMar>
              <w:top w:w="0" w:type="dxa"/>
              <w:left w:w="108" w:type="dxa"/>
              <w:bottom w:w="0" w:type="dxa"/>
              <w:right w:w="108" w:type="dxa"/>
            </w:tcMar>
            <w:vAlign w:val="center"/>
          </w:tcPr>
          <w:p w14:paraId="796534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0.80%</w:t>
            </w:r>
          </w:p>
        </w:tc>
      </w:tr>
      <w:tr w:rsidR="00EB3B4C" w:rsidRPr="00DA3766" w14:paraId="74546AEE" w14:textId="77777777" w:rsidTr="00DA3766">
        <w:trPr>
          <w:trHeight w:val="397"/>
          <w:jc w:val="center"/>
        </w:trPr>
        <w:tc>
          <w:tcPr>
            <w:tcW w:w="5070" w:type="dxa"/>
            <w:gridSpan w:val="3"/>
            <w:tcMar>
              <w:top w:w="0" w:type="dxa"/>
              <w:left w:w="108" w:type="dxa"/>
              <w:bottom w:w="0" w:type="dxa"/>
              <w:right w:w="108" w:type="dxa"/>
            </w:tcMar>
            <w:vAlign w:val="center"/>
          </w:tcPr>
          <w:p w14:paraId="6F3C3D8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14:paraId="7510BF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4,602.29</w:t>
            </w:r>
          </w:p>
        </w:tc>
        <w:tc>
          <w:tcPr>
            <w:tcW w:w="1980" w:type="dxa"/>
            <w:tcMar>
              <w:top w:w="0" w:type="dxa"/>
              <w:left w:w="108" w:type="dxa"/>
              <w:bottom w:w="0" w:type="dxa"/>
              <w:right w:w="108" w:type="dxa"/>
            </w:tcMar>
            <w:vAlign w:val="center"/>
          </w:tcPr>
          <w:p w14:paraId="1E9FD2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18.56%</w:t>
            </w:r>
          </w:p>
        </w:tc>
      </w:tr>
      <w:tr w:rsidR="00EB3B4C" w:rsidRPr="00DA3766" w14:paraId="6F46995E" w14:textId="77777777" w:rsidTr="00DA3766">
        <w:trPr>
          <w:trHeight w:val="397"/>
          <w:jc w:val="center"/>
        </w:trPr>
        <w:tc>
          <w:tcPr>
            <w:tcW w:w="8528" w:type="dxa"/>
            <w:gridSpan w:val="5"/>
            <w:tcMar>
              <w:top w:w="0" w:type="dxa"/>
              <w:left w:w="108" w:type="dxa"/>
              <w:bottom w:w="0" w:type="dxa"/>
              <w:right w:w="108" w:type="dxa"/>
            </w:tcMar>
            <w:vAlign w:val="center"/>
          </w:tcPr>
          <w:p w14:paraId="65970FD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r>
      <w:tr w:rsidR="00EB3B4C" w:rsidRPr="00DA3766" w14:paraId="44686983" w14:textId="77777777" w:rsidTr="00DA3766">
        <w:trPr>
          <w:trHeight w:val="397"/>
          <w:jc w:val="center"/>
        </w:trPr>
        <w:tc>
          <w:tcPr>
            <w:tcW w:w="730" w:type="dxa"/>
            <w:tcMar>
              <w:top w:w="0" w:type="dxa"/>
              <w:left w:w="108" w:type="dxa"/>
              <w:bottom w:w="0" w:type="dxa"/>
              <w:right w:w="108" w:type="dxa"/>
            </w:tcMar>
            <w:vAlign w:val="center"/>
          </w:tcPr>
          <w:p w14:paraId="0276A03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1BEC20C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4CB2A69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7CAD20ED"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18D527E6"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占营业收入的比例</w:t>
            </w:r>
          </w:p>
        </w:tc>
      </w:tr>
      <w:tr w:rsidR="00EB3B4C" w:rsidRPr="00DA3766" w14:paraId="36716764" w14:textId="77777777" w:rsidTr="00DA3766">
        <w:trPr>
          <w:trHeight w:val="397"/>
          <w:jc w:val="center"/>
        </w:trPr>
        <w:tc>
          <w:tcPr>
            <w:tcW w:w="730" w:type="dxa"/>
            <w:tcMar>
              <w:top w:w="0" w:type="dxa"/>
              <w:left w:w="108" w:type="dxa"/>
              <w:bottom w:w="0" w:type="dxa"/>
              <w:right w:w="108" w:type="dxa"/>
            </w:tcMar>
            <w:vAlign w:val="center"/>
          </w:tcPr>
          <w:p w14:paraId="74A4A0F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6ABF8CBA"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51869E8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347D5F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3,322.79</w:t>
            </w:r>
          </w:p>
        </w:tc>
        <w:tc>
          <w:tcPr>
            <w:tcW w:w="1980" w:type="dxa"/>
            <w:tcMar>
              <w:top w:w="0" w:type="dxa"/>
              <w:left w:w="108" w:type="dxa"/>
              <w:bottom w:w="0" w:type="dxa"/>
              <w:right w:w="108" w:type="dxa"/>
            </w:tcMar>
            <w:vAlign w:val="center"/>
          </w:tcPr>
          <w:p w14:paraId="48B3D7F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7.43%</w:t>
            </w:r>
          </w:p>
        </w:tc>
      </w:tr>
      <w:tr w:rsidR="00EB3B4C" w:rsidRPr="00DA3766" w14:paraId="5793D2B0" w14:textId="77777777" w:rsidTr="00DA3766">
        <w:trPr>
          <w:trHeight w:val="397"/>
          <w:jc w:val="center"/>
        </w:trPr>
        <w:tc>
          <w:tcPr>
            <w:tcW w:w="730" w:type="dxa"/>
            <w:tcMar>
              <w:top w:w="0" w:type="dxa"/>
              <w:left w:w="108" w:type="dxa"/>
              <w:bottom w:w="0" w:type="dxa"/>
              <w:right w:w="108" w:type="dxa"/>
            </w:tcMar>
            <w:vAlign w:val="center"/>
          </w:tcPr>
          <w:p w14:paraId="37982B7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63C745CC"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14:paraId="6ECD825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D0E3E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2,629.83</w:t>
            </w:r>
          </w:p>
        </w:tc>
        <w:tc>
          <w:tcPr>
            <w:tcW w:w="1980" w:type="dxa"/>
            <w:tcMar>
              <w:top w:w="0" w:type="dxa"/>
              <w:left w:w="108" w:type="dxa"/>
              <w:bottom w:w="0" w:type="dxa"/>
              <w:right w:w="108" w:type="dxa"/>
            </w:tcMar>
            <w:vAlign w:val="center"/>
          </w:tcPr>
          <w:p w14:paraId="0685D6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5.88%</w:t>
            </w:r>
          </w:p>
        </w:tc>
      </w:tr>
      <w:tr w:rsidR="00EB3B4C" w:rsidRPr="00DA3766" w14:paraId="26467B7B" w14:textId="77777777" w:rsidTr="00DA3766">
        <w:trPr>
          <w:trHeight w:val="397"/>
          <w:jc w:val="center"/>
        </w:trPr>
        <w:tc>
          <w:tcPr>
            <w:tcW w:w="730" w:type="dxa"/>
            <w:tcMar>
              <w:top w:w="0" w:type="dxa"/>
              <w:left w:w="108" w:type="dxa"/>
              <w:bottom w:w="0" w:type="dxa"/>
              <w:right w:w="108" w:type="dxa"/>
            </w:tcMar>
            <w:vAlign w:val="center"/>
          </w:tcPr>
          <w:p w14:paraId="5D067C6F"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5CE087A3"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2CC065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6C0F92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852.83</w:t>
            </w:r>
          </w:p>
        </w:tc>
        <w:tc>
          <w:tcPr>
            <w:tcW w:w="1980" w:type="dxa"/>
            <w:tcMar>
              <w:top w:w="0" w:type="dxa"/>
              <w:left w:w="108" w:type="dxa"/>
              <w:bottom w:w="0" w:type="dxa"/>
              <w:right w:w="108" w:type="dxa"/>
            </w:tcMar>
            <w:vAlign w:val="center"/>
          </w:tcPr>
          <w:p w14:paraId="2C7883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1.91%</w:t>
            </w:r>
          </w:p>
        </w:tc>
      </w:tr>
      <w:tr w:rsidR="00EB3B4C" w:rsidRPr="00DA3766" w14:paraId="4F2B0D44" w14:textId="77777777" w:rsidTr="00DA3766">
        <w:trPr>
          <w:trHeight w:val="397"/>
          <w:jc w:val="center"/>
        </w:trPr>
        <w:tc>
          <w:tcPr>
            <w:tcW w:w="730" w:type="dxa"/>
            <w:tcMar>
              <w:top w:w="0" w:type="dxa"/>
              <w:left w:w="108" w:type="dxa"/>
              <w:bottom w:w="0" w:type="dxa"/>
              <w:right w:w="108" w:type="dxa"/>
            </w:tcMar>
            <w:vAlign w:val="center"/>
          </w:tcPr>
          <w:p w14:paraId="78FBE769"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72E99D27"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14:paraId="073EE4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14:paraId="12D745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842.81</w:t>
            </w:r>
          </w:p>
        </w:tc>
        <w:tc>
          <w:tcPr>
            <w:tcW w:w="1980" w:type="dxa"/>
            <w:tcMar>
              <w:top w:w="0" w:type="dxa"/>
              <w:left w:w="108" w:type="dxa"/>
              <w:bottom w:w="0" w:type="dxa"/>
              <w:right w:w="108" w:type="dxa"/>
            </w:tcMar>
            <w:vAlign w:val="center"/>
          </w:tcPr>
          <w:p w14:paraId="6794B6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1.88%</w:t>
            </w:r>
          </w:p>
        </w:tc>
      </w:tr>
      <w:tr w:rsidR="00EB3B4C" w:rsidRPr="00DA3766" w14:paraId="2D1BD2C8" w14:textId="77777777" w:rsidTr="00DA3766">
        <w:trPr>
          <w:trHeight w:val="397"/>
          <w:jc w:val="center"/>
        </w:trPr>
        <w:tc>
          <w:tcPr>
            <w:tcW w:w="730" w:type="dxa"/>
            <w:tcMar>
              <w:top w:w="0" w:type="dxa"/>
              <w:left w:w="108" w:type="dxa"/>
              <w:bottom w:w="0" w:type="dxa"/>
              <w:right w:w="108" w:type="dxa"/>
            </w:tcMar>
            <w:vAlign w:val="center"/>
          </w:tcPr>
          <w:p w14:paraId="41A8DAB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05DAB536"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美团</w:t>
            </w:r>
          </w:p>
        </w:tc>
        <w:tc>
          <w:tcPr>
            <w:tcW w:w="1560" w:type="dxa"/>
            <w:tcMar>
              <w:top w:w="0" w:type="dxa"/>
              <w:left w:w="108" w:type="dxa"/>
              <w:bottom w:w="0" w:type="dxa"/>
              <w:right w:w="108" w:type="dxa"/>
            </w:tcMar>
            <w:vAlign w:val="center"/>
          </w:tcPr>
          <w:p w14:paraId="3266843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21EB73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764.83</w:t>
            </w:r>
          </w:p>
        </w:tc>
        <w:tc>
          <w:tcPr>
            <w:tcW w:w="1980" w:type="dxa"/>
            <w:tcMar>
              <w:top w:w="0" w:type="dxa"/>
              <w:left w:w="108" w:type="dxa"/>
              <w:bottom w:w="0" w:type="dxa"/>
              <w:right w:w="108" w:type="dxa"/>
            </w:tcMar>
            <w:vAlign w:val="center"/>
          </w:tcPr>
          <w:p w14:paraId="60CCD5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1.71%</w:t>
            </w:r>
          </w:p>
        </w:tc>
      </w:tr>
      <w:tr w:rsidR="00EB3B4C" w:rsidRPr="00DA3766" w14:paraId="3C272673" w14:textId="77777777" w:rsidTr="00DA3766">
        <w:trPr>
          <w:trHeight w:val="397"/>
          <w:jc w:val="center"/>
        </w:trPr>
        <w:tc>
          <w:tcPr>
            <w:tcW w:w="5070" w:type="dxa"/>
            <w:gridSpan w:val="3"/>
            <w:tcMar>
              <w:top w:w="0" w:type="dxa"/>
              <w:left w:w="108" w:type="dxa"/>
              <w:bottom w:w="0" w:type="dxa"/>
              <w:right w:w="108" w:type="dxa"/>
            </w:tcMar>
            <w:vAlign w:val="center"/>
          </w:tcPr>
          <w:p w14:paraId="1F72008D"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14:paraId="738BD60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8,413.09</w:t>
            </w:r>
          </w:p>
        </w:tc>
        <w:tc>
          <w:tcPr>
            <w:tcW w:w="1980" w:type="dxa"/>
            <w:tcMar>
              <w:top w:w="0" w:type="dxa"/>
              <w:left w:w="108" w:type="dxa"/>
              <w:bottom w:w="0" w:type="dxa"/>
              <w:right w:w="108" w:type="dxa"/>
            </w:tcMar>
            <w:vAlign w:val="center"/>
          </w:tcPr>
          <w:p w14:paraId="569F66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18.81%</w:t>
            </w:r>
          </w:p>
        </w:tc>
      </w:tr>
      <w:tr w:rsidR="00EB3B4C" w:rsidRPr="00DA3766" w14:paraId="67401E79" w14:textId="77777777" w:rsidTr="00DA3766">
        <w:trPr>
          <w:trHeight w:val="397"/>
          <w:jc w:val="center"/>
        </w:trPr>
        <w:tc>
          <w:tcPr>
            <w:tcW w:w="8528" w:type="dxa"/>
            <w:gridSpan w:val="5"/>
            <w:tcMar>
              <w:top w:w="0" w:type="dxa"/>
              <w:left w:w="108" w:type="dxa"/>
              <w:bottom w:w="0" w:type="dxa"/>
              <w:right w:w="108" w:type="dxa"/>
            </w:tcMar>
            <w:vAlign w:val="center"/>
          </w:tcPr>
          <w:p w14:paraId="44FADEBF"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EB3B4C" w:rsidRPr="00DA3766" w14:paraId="7CC7B35D" w14:textId="77777777" w:rsidTr="00DA3766">
        <w:trPr>
          <w:trHeight w:val="397"/>
          <w:jc w:val="center"/>
        </w:trPr>
        <w:tc>
          <w:tcPr>
            <w:tcW w:w="730" w:type="dxa"/>
            <w:tcMar>
              <w:top w:w="0" w:type="dxa"/>
              <w:left w:w="108" w:type="dxa"/>
              <w:bottom w:w="0" w:type="dxa"/>
              <w:right w:w="108" w:type="dxa"/>
            </w:tcMar>
            <w:vAlign w:val="center"/>
          </w:tcPr>
          <w:p w14:paraId="21DE070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5DC0C08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46A605B5"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6A35B95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2A14D8A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占营业收入的比例</w:t>
            </w:r>
          </w:p>
        </w:tc>
      </w:tr>
      <w:tr w:rsidR="00EB3B4C" w:rsidRPr="00DA3766" w14:paraId="1D758721" w14:textId="77777777" w:rsidTr="00DA3766">
        <w:trPr>
          <w:trHeight w:val="397"/>
          <w:jc w:val="center"/>
        </w:trPr>
        <w:tc>
          <w:tcPr>
            <w:tcW w:w="730" w:type="dxa"/>
            <w:tcMar>
              <w:top w:w="0" w:type="dxa"/>
              <w:left w:w="108" w:type="dxa"/>
              <w:bottom w:w="0" w:type="dxa"/>
              <w:right w:w="108" w:type="dxa"/>
            </w:tcMar>
            <w:vAlign w:val="center"/>
          </w:tcPr>
          <w:p w14:paraId="1438E1F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65405E12"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7165C6F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688F815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2,836.78</w:t>
            </w:r>
          </w:p>
        </w:tc>
        <w:tc>
          <w:tcPr>
            <w:tcW w:w="1980" w:type="dxa"/>
            <w:tcMar>
              <w:top w:w="0" w:type="dxa"/>
              <w:left w:w="108" w:type="dxa"/>
              <w:bottom w:w="0" w:type="dxa"/>
              <w:right w:w="108" w:type="dxa"/>
            </w:tcMar>
            <w:vAlign w:val="center"/>
          </w:tcPr>
          <w:p w14:paraId="6461F8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7.37%</w:t>
            </w:r>
          </w:p>
        </w:tc>
      </w:tr>
      <w:tr w:rsidR="00EB3B4C" w:rsidRPr="00DA3766" w14:paraId="4AC759B3" w14:textId="77777777" w:rsidTr="00DA3766">
        <w:trPr>
          <w:trHeight w:val="397"/>
          <w:jc w:val="center"/>
        </w:trPr>
        <w:tc>
          <w:tcPr>
            <w:tcW w:w="730" w:type="dxa"/>
            <w:tcMar>
              <w:top w:w="0" w:type="dxa"/>
              <w:left w:w="108" w:type="dxa"/>
              <w:bottom w:w="0" w:type="dxa"/>
              <w:right w:w="108" w:type="dxa"/>
            </w:tcMar>
            <w:vAlign w:val="center"/>
          </w:tcPr>
          <w:p w14:paraId="40CDBB4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2F958448"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14:paraId="1600859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14:paraId="2D10C3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1,318.39</w:t>
            </w:r>
          </w:p>
        </w:tc>
        <w:tc>
          <w:tcPr>
            <w:tcW w:w="1980" w:type="dxa"/>
            <w:tcMar>
              <w:top w:w="0" w:type="dxa"/>
              <w:left w:w="108" w:type="dxa"/>
              <w:bottom w:w="0" w:type="dxa"/>
              <w:right w:w="108" w:type="dxa"/>
            </w:tcMar>
            <w:vAlign w:val="center"/>
          </w:tcPr>
          <w:p w14:paraId="771A65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3.42%</w:t>
            </w:r>
          </w:p>
        </w:tc>
      </w:tr>
      <w:tr w:rsidR="00EB3B4C" w:rsidRPr="00DA3766" w14:paraId="3072FD0D" w14:textId="77777777" w:rsidTr="00DA3766">
        <w:trPr>
          <w:trHeight w:val="397"/>
          <w:jc w:val="center"/>
        </w:trPr>
        <w:tc>
          <w:tcPr>
            <w:tcW w:w="730" w:type="dxa"/>
            <w:tcMar>
              <w:top w:w="0" w:type="dxa"/>
              <w:left w:w="108" w:type="dxa"/>
              <w:bottom w:w="0" w:type="dxa"/>
              <w:right w:w="108" w:type="dxa"/>
            </w:tcMar>
            <w:vAlign w:val="center"/>
          </w:tcPr>
          <w:p w14:paraId="5CC90A4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279B64D6"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0F783D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12ECCB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1,011.23</w:t>
            </w:r>
          </w:p>
        </w:tc>
        <w:tc>
          <w:tcPr>
            <w:tcW w:w="1980" w:type="dxa"/>
            <w:tcMar>
              <w:top w:w="0" w:type="dxa"/>
              <w:left w:w="108" w:type="dxa"/>
              <w:bottom w:w="0" w:type="dxa"/>
              <w:right w:w="108" w:type="dxa"/>
            </w:tcMar>
            <w:vAlign w:val="center"/>
          </w:tcPr>
          <w:p w14:paraId="214D60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2.63%</w:t>
            </w:r>
          </w:p>
        </w:tc>
      </w:tr>
      <w:tr w:rsidR="00EB3B4C" w:rsidRPr="00DA3766" w14:paraId="24D9460C" w14:textId="77777777" w:rsidTr="00DA3766">
        <w:trPr>
          <w:trHeight w:val="397"/>
          <w:jc w:val="center"/>
        </w:trPr>
        <w:tc>
          <w:tcPr>
            <w:tcW w:w="730" w:type="dxa"/>
            <w:tcMar>
              <w:top w:w="0" w:type="dxa"/>
              <w:left w:w="108" w:type="dxa"/>
              <w:bottom w:w="0" w:type="dxa"/>
              <w:right w:w="108" w:type="dxa"/>
            </w:tcMar>
            <w:vAlign w:val="center"/>
          </w:tcPr>
          <w:p w14:paraId="4662A839"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51DC7E01" w14:textId="3938B41F" w:rsidR="00EB3B4C" w:rsidRPr="00DA3766" w:rsidRDefault="00335249"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D</w:t>
            </w:r>
          </w:p>
        </w:tc>
        <w:tc>
          <w:tcPr>
            <w:tcW w:w="1560" w:type="dxa"/>
            <w:tcMar>
              <w:top w:w="0" w:type="dxa"/>
              <w:left w:w="108" w:type="dxa"/>
              <w:bottom w:w="0" w:type="dxa"/>
              <w:right w:w="108" w:type="dxa"/>
            </w:tcMar>
            <w:vAlign w:val="center"/>
          </w:tcPr>
          <w:p w14:paraId="12DACA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6E9383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823.64</w:t>
            </w:r>
          </w:p>
        </w:tc>
        <w:tc>
          <w:tcPr>
            <w:tcW w:w="1980" w:type="dxa"/>
            <w:tcMar>
              <w:top w:w="0" w:type="dxa"/>
              <w:left w:w="108" w:type="dxa"/>
              <w:bottom w:w="0" w:type="dxa"/>
              <w:right w:w="108" w:type="dxa"/>
            </w:tcMar>
            <w:vAlign w:val="center"/>
          </w:tcPr>
          <w:p w14:paraId="2C21B99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2.14%</w:t>
            </w:r>
          </w:p>
        </w:tc>
      </w:tr>
      <w:tr w:rsidR="00EB3B4C" w:rsidRPr="00DA3766" w14:paraId="5B0576D8" w14:textId="77777777" w:rsidTr="00DA3766">
        <w:trPr>
          <w:trHeight w:val="397"/>
          <w:jc w:val="center"/>
        </w:trPr>
        <w:tc>
          <w:tcPr>
            <w:tcW w:w="730" w:type="dxa"/>
            <w:tcMar>
              <w:top w:w="0" w:type="dxa"/>
              <w:left w:w="108" w:type="dxa"/>
              <w:bottom w:w="0" w:type="dxa"/>
              <w:right w:w="108" w:type="dxa"/>
            </w:tcMar>
            <w:vAlign w:val="center"/>
          </w:tcPr>
          <w:p w14:paraId="3E6107B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2B70AFCC"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小呗无限（深圳）科技有限公司</w:t>
            </w:r>
          </w:p>
        </w:tc>
        <w:tc>
          <w:tcPr>
            <w:tcW w:w="1560" w:type="dxa"/>
            <w:tcMar>
              <w:top w:w="0" w:type="dxa"/>
              <w:left w:w="108" w:type="dxa"/>
              <w:bottom w:w="0" w:type="dxa"/>
              <w:right w:w="108" w:type="dxa"/>
            </w:tcMar>
            <w:vAlign w:val="center"/>
          </w:tcPr>
          <w:p w14:paraId="1D14FC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491B26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622.43</w:t>
            </w:r>
          </w:p>
        </w:tc>
        <w:tc>
          <w:tcPr>
            <w:tcW w:w="1980" w:type="dxa"/>
            <w:tcMar>
              <w:top w:w="0" w:type="dxa"/>
              <w:left w:w="108" w:type="dxa"/>
              <w:bottom w:w="0" w:type="dxa"/>
              <w:right w:w="108" w:type="dxa"/>
            </w:tcMar>
            <w:vAlign w:val="center"/>
          </w:tcPr>
          <w:p w14:paraId="31A9D2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1.62%</w:t>
            </w:r>
          </w:p>
        </w:tc>
      </w:tr>
      <w:tr w:rsidR="00EB3B4C" w:rsidRPr="00DA3766" w14:paraId="4294F60E" w14:textId="77777777" w:rsidTr="00DA3766">
        <w:trPr>
          <w:trHeight w:val="397"/>
          <w:jc w:val="center"/>
        </w:trPr>
        <w:tc>
          <w:tcPr>
            <w:tcW w:w="5070" w:type="dxa"/>
            <w:gridSpan w:val="3"/>
            <w:tcMar>
              <w:top w:w="0" w:type="dxa"/>
              <w:left w:w="108" w:type="dxa"/>
              <w:bottom w:w="0" w:type="dxa"/>
              <w:right w:w="108" w:type="dxa"/>
            </w:tcMar>
            <w:vAlign w:val="center"/>
          </w:tcPr>
          <w:p w14:paraId="7BAD176E"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lastRenderedPageBreak/>
              <w:t>合计</w:t>
            </w:r>
          </w:p>
        </w:tc>
        <w:tc>
          <w:tcPr>
            <w:tcW w:w="1478" w:type="dxa"/>
            <w:tcMar>
              <w:top w:w="0" w:type="dxa"/>
              <w:left w:w="108" w:type="dxa"/>
              <w:bottom w:w="0" w:type="dxa"/>
              <w:right w:w="108" w:type="dxa"/>
            </w:tcMar>
            <w:vAlign w:val="center"/>
          </w:tcPr>
          <w:p w14:paraId="3A68C4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6,612.46</w:t>
            </w:r>
          </w:p>
        </w:tc>
        <w:tc>
          <w:tcPr>
            <w:tcW w:w="1980" w:type="dxa"/>
            <w:tcMar>
              <w:top w:w="0" w:type="dxa"/>
              <w:left w:w="108" w:type="dxa"/>
              <w:bottom w:w="0" w:type="dxa"/>
              <w:right w:w="108" w:type="dxa"/>
            </w:tcMar>
            <w:vAlign w:val="center"/>
          </w:tcPr>
          <w:p w14:paraId="6044985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17.17%</w:t>
            </w:r>
          </w:p>
        </w:tc>
      </w:tr>
    </w:tbl>
    <w:p w14:paraId="67B0569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、新客户拓展情况</w:t>
      </w:r>
    </w:p>
    <w:p w14:paraId="72F7DBF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标的公司具备良好的新客户拓展能力，具体体现如下：</w:t>
      </w:r>
    </w:p>
    <w:p w14:paraId="29BD7FA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）较强的推广和渠道覆盖能力</w:t>
      </w:r>
    </w:p>
    <w:p w14:paraId="65D6C7B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年度，标的公司全平台在线智能自助设备总数超过</w:t>
      </w:r>
      <w:r w:rsidRPr="00DA3766">
        <w:rPr>
          <w:rFonts w:ascii="Times New Roman" w:hAnsi="Times New Roman" w:cs="Times New Roman"/>
          <w:kern w:val="2"/>
          <w:szCs w:val="22"/>
        </w:rPr>
        <w:t>300</w:t>
      </w:r>
      <w:r w:rsidRPr="00DA3766">
        <w:rPr>
          <w:rFonts w:ascii="Times New Roman" w:hAnsi="Times New Roman" w:cs="Times New Roman"/>
          <w:kern w:val="2"/>
          <w:szCs w:val="22"/>
        </w:rPr>
        <w:t>万台，已覆盖全国</w:t>
      </w:r>
      <w:r w:rsidRPr="00DA3766">
        <w:rPr>
          <w:rFonts w:ascii="Times New Roman" w:hAnsi="Times New Roman" w:cs="Times New Roman"/>
          <w:kern w:val="2"/>
          <w:szCs w:val="22"/>
        </w:rPr>
        <w:t>600</w:t>
      </w:r>
      <w:r w:rsidRPr="00DA3766">
        <w:rPr>
          <w:rFonts w:ascii="Times New Roman" w:hAnsi="Times New Roman" w:cs="Times New Roman"/>
          <w:kern w:val="2"/>
          <w:szCs w:val="22"/>
        </w:rPr>
        <w:t>多个城市。报告期内，标的公司已经累计服务自助设备运营商超</w:t>
      </w:r>
      <w:r w:rsidRPr="00DA3766">
        <w:rPr>
          <w:rFonts w:ascii="Times New Roman" w:hAnsi="Times New Roman" w:cs="Times New Roman"/>
          <w:kern w:val="2"/>
          <w:szCs w:val="22"/>
        </w:rPr>
        <w:t>45</w:t>
      </w:r>
      <w:r w:rsidRPr="00DA3766">
        <w:rPr>
          <w:rFonts w:ascii="Times New Roman" w:hAnsi="Times New Roman" w:cs="Times New Roman"/>
          <w:kern w:val="2"/>
          <w:szCs w:val="22"/>
        </w:rPr>
        <w:t>万家，全部终端设备单日支付笔数峰值突破</w:t>
      </w:r>
      <w:r w:rsidRPr="00DA3766">
        <w:rPr>
          <w:rFonts w:ascii="Times New Roman" w:hAnsi="Times New Roman" w:cs="Times New Roman"/>
          <w:kern w:val="2"/>
          <w:szCs w:val="22"/>
        </w:rPr>
        <w:t>700</w:t>
      </w:r>
      <w:r w:rsidRPr="00DA3766">
        <w:rPr>
          <w:rFonts w:ascii="Times New Roman" w:hAnsi="Times New Roman" w:cs="Times New Roman"/>
          <w:kern w:val="2"/>
          <w:szCs w:val="22"/>
        </w:rPr>
        <w:t>万笔，单月移动支付流水峰值超过</w:t>
      </w:r>
      <w:r w:rsidRPr="00DA3766">
        <w:rPr>
          <w:rFonts w:ascii="Times New Roman" w:hAnsi="Times New Roman" w:cs="Times New Roman"/>
          <w:kern w:val="2"/>
          <w:szCs w:val="22"/>
        </w:rPr>
        <w:t>21</w:t>
      </w:r>
      <w:r w:rsidRPr="00DA3766">
        <w:rPr>
          <w:rFonts w:ascii="Times New Roman" w:hAnsi="Times New Roman" w:cs="Times New Roman"/>
          <w:kern w:val="2"/>
          <w:szCs w:val="22"/>
        </w:rPr>
        <w:t>亿元，标的公司拥有较强的推广和渠道覆盖能力。</w:t>
      </w:r>
    </w:p>
    <w:p w14:paraId="7BB88B1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）具备技术壁垒与品牌认可</w:t>
      </w:r>
    </w:p>
    <w:p w14:paraId="71BD333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作为国家级专精特新</w:t>
      </w:r>
      <w:r w:rsidRPr="00DA3766">
        <w:rPr>
          <w:rFonts w:cs="Times New Roman"/>
          <w:kern w:val="2"/>
          <w:szCs w:val="22"/>
        </w:rPr>
        <w:t>“</w:t>
      </w:r>
      <w:r w:rsidRPr="00DA3766">
        <w:rPr>
          <w:rFonts w:ascii="Times New Roman" w:hAnsi="Times New Roman" w:cs="Times New Roman"/>
          <w:kern w:val="2"/>
          <w:szCs w:val="22"/>
        </w:rPr>
        <w:t>小巨人</w:t>
      </w:r>
      <w:r w:rsidRPr="00DA3766">
        <w:rPr>
          <w:rFonts w:cs="Times New Roman"/>
          <w:kern w:val="2"/>
          <w:szCs w:val="22"/>
        </w:rPr>
        <w:t>”</w:t>
      </w:r>
      <w:r w:rsidRPr="00DA3766">
        <w:rPr>
          <w:rFonts w:ascii="Times New Roman" w:hAnsi="Times New Roman" w:cs="Times New Roman"/>
          <w:kern w:val="2"/>
          <w:szCs w:val="22"/>
        </w:rPr>
        <w:t>企业，标的公司拥有大量专利和软著，技术实力获得官方和市场认可。旗下</w:t>
      </w:r>
      <w:r w:rsidRPr="00DA3766">
        <w:rPr>
          <w:rFonts w:cs="Times New Roman"/>
          <w:kern w:val="2"/>
          <w:szCs w:val="22"/>
        </w:rPr>
        <w:t>“</w:t>
      </w:r>
      <w:r w:rsidRPr="00DA3766">
        <w:rPr>
          <w:rFonts w:ascii="Times New Roman" w:hAnsi="Times New Roman" w:cs="Times New Roman"/>
          <w:kern w:val="2"/>
          <w:szCs w:val="22"/>
        </w:rPr>
        <w:t>乐摇摇</w:t>
      </w:r>
      <w:r w:rsidRPr="00DA3766">
        <w:rPr>
          <w:rFonts w:cs="Times New Roman"/>
          <w:kern w:val="2"/>
          <w:szCs w:val="22"/>
        </w:rPr>
        <w:t>”</w:t>
      </w:r>
      <w:r w:rsidRPr="00DA3766">
        <w:rPr>
          <w:rFonts w:ascii="Times New Roman" w:hAnsi="Times New Roman" w:cs="Times New Roman"/>
          <w:kern w:val="2"/>
          <w:szCs w:val="22"/>
        </w:rPr>
        <w:t>等品牌在行业内已形成较高知名度，降低了新客户的信任成本。</w:t>
      </w:r>
    </w:p>
    <w:p w14:paraId="0261DB6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）拥有全场景解决方案矩阵</w:t>
      </w:r>
    </w:p>
    <w:p w14:paraId="7F2B015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标的公司拥有全场景解决方案矩阵，覆盖智慧生活、智慧零售、智慧出行等多个场景，能够满足不同领域客户的多样化需求，拓展了潜在客户的市场范围。</w:t>
      </w:r>
    </w:p>
    <w:p w14:paraId="2FDE66C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）轻资产运营与规模效应</w:t>
      </w:r>
    </w:p>
    <w:p w14:paraId="0219D5D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标的公司采用外协生产模式，自身聚焦研发和平台运营。随着设备接入规模的扩大，边际成本降低，规模效应显现，使其在定价和服务上更具竞争力，有利于吸引价格敏感型新客户。</w:t>
      </w:r>
    </w:p>
    <w:p w14:paraId="342E0C2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5</w:t>
      </w:r>
      <w:r w:rsidRPr="00DA3766">
        <w:rPr>
          <w:rFonts w:ascii="Times New Roman" w:hAnsi="Times New Roman" w:cs="Times New Roman"/>
          <w:kern w:val="2"/>
          <w:szCs w:val="22"/>
        </w:rPr>
        <w:t>）行业发展趋势利好</w:t>
      </w:r>
    </w:p>
    <w:p w14:paraId="6595D71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国家政策推动生活性服务业数字化转型（如《关于深化智慧城市发展推进城市全域数字化转型的指导意见》），自助设备物联网市场空间广阔，为标的公司新客户拓展提供了良好的外部环境。</w:t>
      </w:r>
    </w:p>
    <w:p w14:paraId="406A704B" w14:textId="1BBD6DA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综上所述，标的公司具备良好的新客户拓展能力。其</w:t>
      </w:r>
      <w:r w:rsidRPr="00DA3766">
        <w:rPr>
          <w:rFonts w:cs="Times New Roman"/>
          <w:kern w:val="2"/>
          <w:szCs w:val="22"/>
        </w:rPr>
        <w:t>“</w:t>
      </w:r>
      <w:r w:rsidRPr="00DA3766">
        <w:rPr>
          <w:rFonts w:ascii="Times New Roman" w:hAnsi="Times New Roman" w:cs="Times New Roman"/>
          <w:kern w:val="2"/>
          <w:szCs w:val="22"/>
        </w:rPr>
        <w:t>硬件为入口、软件服务实现持续变现、数据资源深化价值</w:t>
      </w:r>
      <w:r w:rsidRPr="00DA3766">
        <w:rPr>
          <w:rFonts w:cs="Times New Roman"/>
          <w:kern w:val="2"/>
          <w:szCs w:val="22"/>
        </w:rPr>
        <w:t>”</w:t>
      </w:r>
      <w:r w:rsidRPr="00DA3766">
        <w:rPr>
          <w:rFonts w:ascii="Times New Roman" w:hAnsi="Times New Roman" w:cs="Times New Roman"/>
          <w:kern w:val="2"/>
          <w:szCs w:val="22"/>
        </w:rPr>
        <w:t>的业务模式具备内生增长性与客户粘性，已在经营实践中验证了其获取与留存多元化客户群体的有效性。</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公司坚实的</w:t>
      </w:r>
      <w:r w:rsidRPr="00DA3766">
        <w:rPr>
          <w:rFonts w:ascii="Times New Roman" w:hAnsi="Times New Roman" w:cs="Times New Roman"/>
          <w:kern w:val="2"/>
          <w:szCs w:val="22"/>
        </w:rPr>
        <w:lastRenderedPageBreak/>
        <w:t>技术基础、逐步提升的品牌影响力、规模化的设备连接网络以及与行业头部企业建立的稳定合作，共同构成了其持续开拓新客户、拓宽业务覆盖的坚实基础。未来，标的公司可借助与上市公司的协同及技术迭代，进一步开拓智慧政务、教育、医疗等领域的</w:t>
      </w:r>
      <w:r w:rsidRPr="00DA3766">
        <w:rPr>
          <w:rFonts w:ascii="Times New Roman" w:hAnsi="Times New Roman" w:cs="Times New Roman"/>
          <w:kern w:val="2"/>
          <w:szCs w:val="22"/>
        </w:rPr>
        <w:t>G</w:t>
      </w:r>
      <w:r w:rsidRPr="00DA3766">
        <w:rPr>
          <w:rFonts w:ascii="Times New Roman" w:hAnsi="Times New Roman" w:cs="Times New Roman"/>
          <w:kern w:val="2"/>
          <w:szCs w:val="22"/>
        </w:rPr>
        <w:t>端和大型</w:t>
      </w:r>
      <w:r w:rsidRPr="00DA3766">
        <w:rPr>
          <w:rFonts w:ascii="Times New Roman" w:hAnsi="Times New Roman" w:cs="Times New Roman"/>
          <w:kern w:val="2"/>
          <w:szCs w:val="22"/>
        </w:rPr>
        <w:t>B</w:t>
      </w:r>
      <w:r w:rsidRPr="00DA3766">
        <w:rPr>
          <w:rFonts w:ascii="Times New Roman" w:hAnsi="Times New Roman" w:cs="Times New Roman"/>
          <w:kern w:val="2"/>
          <w:szCs w:val="22"/>
        </w:rPr>
        <w:t>端客户资源，将业务从消费级市场延伸至产业级和政务级市场，开拓全新的客户群体，其新客户拓展能力有望得到进一步强化。</w:t>
      </w:r>
    </w:p>
    <w:p w14:paraId="4E62B14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（四）平台接入终端设备数量、客户数量、支付笔数及交易流水规模、服务费率、单用户贡献等核心运营指标和各类硬件设备单价、销量的变动情况</w:t>
      </w:r>
    </w:p>
    <w:p w14:paraId="3B37EE4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参见</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4</w:t>
      </w:r>
      <w:r w:rsidRPr="00DA3766">
        <w:rPr>
          <w:rFonts w:ascii="Times New Roman" w:hAnsi="Times New Roman" w:cs="Times New Roman"/>
          <w:kern w:val="2"/>
          <w:szCs w:val="22"/>
        </w:rPr>
        <w:t>、关于收益法评估</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补充披露预测期各年各业务收入、毛利率等重要评估参数的具体预测情况、测算过程、测算依据及其合理性</w:t>
      </w:r>
      <w:r w:rsidRPr="00DA3766">
        <w:rPr>
          <w:rFonts w:cs="Times New Roman"/>
          <w:kern w:val="2"/>
          <w:szCs w:val="22"/>
        </w:rPr>
        <w:t>”</w:t>
      </w:r>
      <w:r w:rsidRPr="00DA3766">
        <w:rPr>
          <w:rFonts w:ascii="Times New Roman" w:hAnsi="Times New Roman" w:cs="Times New Roman"/>
          <w:kern w:val="2"/>
          <w:szCs w:val="22"/>
        </w:rPr>
        <w:t>相关回复。</w:t>
      </w:r>
    </w:p>
    <w:p w14:paraId="6BBDBCF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（五）同行业公司或同类产品的比较情况，本次业务收入预测的合理性、谨慎性分析</w:t>
      </w:r>
    </w:p>
    <w:p w14:paraId="69072406" w14:textId="079DC40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目前，与</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公司同属</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云服务</w:t>
      </w:r>
      <w:r w:rsidRPr="00DA3766">
        <w:rPr>
          <w:rFonts w:cs="Times New Roman"/>
          <w:kern w:val="2"/>
          <w:szCs w:val="22"/>
        </w:rPr>
        <w:t>”</w:t>
      </w:r>
      <w:r w:rsidRPr="00DA3766">
        <w:rPr>
          <w:rFonts w:ascii="Times New Roman" w:hAnsi="Times New Roman" w:cs="Times New Roman"/>
          <w:kern w:val="2"/>
          <w:szCs w:val="22"/>
        </w:rPr>
        <w:t>领域的上市公司包括石基信息、映翰通及广联达等，但尚未发现与标的公司下游细分领域完全一致或高度相似的可比同行业上市公司。从市面上的同类产品价格来看，当前市场中</w:t>
      </w:r>
      <w:r w:rsidRPr="00DA3766">
        <w:rPr>
          <w:rFonts w:ascii="Times New Roman" w:hAnsi="Times New Roman" w:cs="Times New Roman"/>
          <w:kern w:val="2"/>
          <w:szCs w:val="22"/>
        </w:rPr>
        <w:t>4G</w:t>
      </w:r>
      <w:r w:rsidRPr="00DA3766">
        <w:rPr>
          <w:rFonts w:ascii="Times New Roman" w:hAnsi="Times New Roman" w:cs="Times New Roman"/>
          <w:kern w:val="2"/>
          <w:szCs w:val="22"/>
        </w:rPr>
        <w:t>物联网通信模块的价格普遍介于人民币</w:t>
      </w:r>
      <w:r w:rsidRPr="00DA3766">
        <w:rPr>
          <w:rFonts w:ascii="Times New Roman" w:hAnsi="Times New Roman" w:cs="Times New Roman"/>
          <w:kern w:val="2"/>
          <w:szCs w:val="22"/>
        </w:rPr>
        <w:t>73</w:t>
      </w:r>
      <w:r w:rsidRPr="00DA3766">
        <w:rPr>
          <w:rFonts w:ascii="Times New Roman" w:hAnsi="Times New Roman" w:cs="Times New Roman"/>
          <w:kern w:val="2"/>
          <w:szCs w:val="22"/>
        </w:rPr>
        <w:t>元至</w:t>
      </w:r>
      <w:r w:rsidRPr="00DA3766">
        <w:rPr>
          <w:rFonts w:ascii="Times New Roman" w:hAnsi="Times New Roman" w:cs="Times New Roman"/>
          <w:kern w:val="2"/>
          <w:szCs w:val="22"/>
        </w:rPr>
        <w:t>526</w:t>
      </w:r>
      <w:r w:rsidRPr="00DA3766">
        <w:rPr>
          <w:rFonts w:ascii="Times New Roman" w:hAnsi="Times New Roman" w:cs="Times New Roman"/>
          <w:kern w:val="2"/>
          <w:szCs w:val="22"/>
        </w:rPr>
        <w:t>元之间，差异主要是消费级和工业级产品差异、附加功能组件差异（如蓝牙和</w:t>
      </w:r>
      <w:r w:rsidRPr="00DA3766">
        <w:rPr>
          <w:rFonts w:ascii="Times New Roman" w:hAnsi="Times New Roman" w:cs="Times New Roman"/>
          <w:kern w:val="2"/>
          <w:szCs w:val="22"/>
        </w:rPr>
        <w:t>GPS</w:t>
      </w:r>
      <w:r w:rsidRPr="00DA3766">
        <w:rPr>
          <w:rFonts w:ascii="Times New Roman" w:hAnsi="Times New Roman" w:cs="Times New Roman"/>
          <w:kern w:val="2"/>
          <w:szCs w:val="22"/>
        </w:rPr>
        <w:t>）以及是否附送流量。</w:t>
      </w:r>
    </w:p>
    <w:p w14:paraId="51FDE15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查询结果如下：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39"/>
        <w:gridCol w:w="2656"/>
      </w:tblGrid>
      <w:tr w:rsidR="00EB3B4C" w:rsidRPr="00DA3766" w14:paraId="47D22976" w14:textId="77777777" w:rsidTr="00DA3766">
        <w:trPr>
          <w:trHeight w:val="397"/>
          <w:tblHeader/>
          <w:jc w:val="center"/>
        </w:trPr>
        <w:tc>
          <w:tcPr>
            <w:tcW w:w="1192" w:type="pct"/>
            <w:vAlign w:val="center"/>
            <w:hideMark/>
          </w:tcPr>
          <w:p w14:paraId="13BB3E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DTU</w:t>
            </w:r>
            <w:r w:rsidRPr="00DA3766">
              <w:rPr>
                <w:rFonts w:ascii="Times New Roman" w:hAnsi="Times New Roman" w:cs="Times New Roman"/>
                <w:b/>
                <w:color w:val="000000"/>
                <w:sz w:val="21"/>
              </w:rPr>
              <w:t>品牌</w:t>
            </w:r>
          </w:p>
        </w:tc>
        <w:tc>
          <w:tcPr>
            <w:tcW w:w="2251" w:type="pct"/>
            <w:vAlign w:val="center"/>
            <w:hideMark/>
          </w:tcPr>
          <w:p w14:paraId="1158565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型号</w:t>
            </w:r>
          </w:p>
        </w:tc>
        <w:tc>
          <w:tcPr>
            <w:tcW w:w="1557" w:type="pct"/>
            <w:vAlign w:val="center"/>
            <w:hideMark/>
          </w:tcPr>
          <w:p w14:paraId="04F50B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零售价（元）</w:t>
            </w:r>
          </w:p>
        </w:tc>
      </w:tr>
      <w:tr w:rsidR="00EB3B4C" w:rsidRPr="00DA3766" w14:paraId="6AE61B94" w14:textId="77777777" w:rsidTr="00DA3766">
        <w:trPr>
          <w:trHeight w:val="397"/>
          <w:jc w:val="center"/>
        </w:trPr>
        <w:tc>
          <w:tcPr>
            <w:tcW w:w="1192" w:type="pct"/>
            <w:vAlign w:val="center"/>
            <w:hideMark/>
          </w:tcPr>
          <w:p w14:paraId="648D6EF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艾莫迅</w:t>
            </w:r>
          </w:p>
        </w:tc>
        <w:tc>
          <w:tcPr>
            <w:tcW w:w="2251" w:type="pct"/>
            <w:vAlign w:val="center"/>
            <w:hideMark/>
          </w:tcPr>
          <w:p w14:paraId="20E7683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 DTU 485/232</w:t>
            </w:r>
          </w:p>
        </w:tc>
        <w:tc>
          <w:tcPr>
            <w:tcW w:w="1557" w:type="pct"/>
            <w:vAlign w:val="center"/>
            <w:hideMark/>
          </w:tcPr>
          <w:p w14:paraId="689659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129.00-526.00</w:t>
            </w:r>
          </w:p>
        </w:tc>
      </w:tr>
      <w:tr w:rsidR="00EB3B4C" w:rsidRPr="00DA3766" w14:paraId="11EF83F3" w14:textId="77777777" w:rsidTr="00DA3766">
        <w:trPr>
          <w:trHeight w:val="397"/>
          <w:jc w:val="center"/>
        </w:trPr>
        <w:tc>
          <w:tcPr>
            <w:tcW w:w="1192" w:type="pct"/>
            <w:vAlign w:val="center"/>
            <w:hideMark/>
          </w:tcPr>
          <w:p w14:paraId="18BCFF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有人</w:t>
            </w:r>
          </w:p>
        </w:tc>
        <w:tc>
          <w:tcPr>
            <w:tcW w:w="2251" w:type="pct"/>
            <w:vAlign w:val="center"/>
            <w:hideMark/>
          </w:tcPr>
          <w:p w14:paraId="25ABE2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G780s</w:t>
            </w:r>
          </w:p>
        </w:tc>
        <w:tc>
          <w:tcPr>
            <w:tcW w:w="1557" w:type="pct"/>
            <w:vAlign w:val="center"/>
            <w:hideMark/>
          </w:tcPr>
          <w:p w14:paraId="4E2F91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198.00</w:t>
            </w:r>
          </w:p>
        </w:tc>
      </w:tr>
      <w:tr w:rsidR="00EB3B4C" w:rsidRPr="00DA3766" w14:paraId="40C5740E" w14:textId="77777777" w:rsidTr="00DA3766">
        <w:trPr>
          <w:trHeight w:val="397"/>
          <w:jc w:val="center"/>
        </w:trPr>
        <w:tc>
          <w:tcPr>
            <w:tcW w:w="1192" w:type="pct"/>
            <w:vAlign w:val="center"/>
            <w:hideMark/>
          </w:tcPr>
          <w:p w14:paraId="2CA5BD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映翰通</w:t>
            </w:r>
          </w:p>
        </w:tc>
        <w:tc>
          <w:tcPr>
            <w:tcW w:w="2251" w:type="pct"/>
            <w:vAlign w:val="center"/>
            <w:hideMark/>
          </w:tcPr>
          <w:p w14:paraId="6D6FF22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LQ20-232-DS</w:t>
            </w:r>
          </w:p>
        </w:tc>
        <w:tc>
          <w:tcPr>
            <w:tcW w:w="1557" w:type="pct"/>
            <w:vAlign w:val="center"/>
            <w:hideMark/>
          </w:tcPr>
          <w:p w14:paraId="7AA902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518.00</w:t>
            </w:r>
          </w:p>
        </w:tc>
      </w:tr>
      <w:tr w:rsidR="00EB3B4C" w:rsidRPr="00DA3766" w14:paraId="7ACC0A9D" w14:textId="77777777" w:rsidTr="00DA3766">
        <w:trPr>
          <w:trHeight w:val="397"/>
          <w:jc w:val="center"/>
        </w:trPr>
        <w:tc>
          <w:tcPr>
            <w:tcW w:w="1192" w:type="pct"/>
            <w:vAlign w:val="center"/>
            <w:hideMark/>
          </w:tcPr>
          <w:p w14:paraId="720212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移远</w:t>
            </w:r>
          </w:p>
        </w:tc>
        <w:tc>
          <w:tcPr>
            <w:tcW w:w="2251" w:type="pct"/>
            <w:vAlign w:val="center"/>
            <w:hideMark/>
          </w:tcPr>
          <w:p w14:paraId="54955B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 EG25-G</w:t>
            </w:r>
          </w:p>
        </w:tc>
        <w:tc>
          <w:tcPr>
            <w:tcW w:w="1557" w:type="pct"/>
            <w:vAlign w:val="center"/>
            <w:hideMark/>
          </w:tcPr>
          <w:p w14:paraId="00D15C3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309.00</w:t>
            </w:r>
          </w:p>
        </w:tc>
      </w:tr>
      <w:tr w:rsidR="00EB3B4C" w:rsidRPr="00DA3766" w14:paraId="2EB00C7C" w14:textId="77777777" w:rsidTr="00DA3766">
        <w:trPr>
          <w:trHeight w:val="397"/>
          <w:jc w:val="center"/>
        </w:trPr>
        <w:tc>
          <w:tcPr>
            <w:tcW w:w="1192" w:type="pct"/>
            <w:vAlign w:val="center"/>
            <w:hideMark/>
          </w:tcPr>
          <w:p w14:paraId="00C0184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利尔达</w:t>
            </w:r>
          </w:p>
        </w:tc>
        <w:tc>
          <w:tcPr>
            <w:tcW w:w="2251" w:type="pct"/>
            <w:vAlign w:val="center"/>
            <w:hideMark/>
          </w:tcPr>
          <w:p w14:paraId="647143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LSD4WN-DTU470A1</w:t>
            </w:r>
          </w:p>
        </w:tc>
        <w:tc>
          <w:tcPr>
            <w:tcW w:w="1557" w:type="pct"/>
            <w:vAlign w:val="center"/>
            <w:hideMark/>
          </w:tcPr>
          <w:p w14:paraId="683E07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99.00</w:t>
            </w:r>
          </w:p>
        </w:tc>
      </w:tr>
      <w:tr w:rsidR="00EB3B4C" w:rsidRPr="00DA3766" w14:paraId="51C7C92F" w14:textId="77777777" w:rsidTr="00DA3766">
        <w:trPr>
          <w:trHeight w:val="397"/>
          <w:jc w:val="center"/>
        </w:trPr>
        <w:tc>
          <w:tcPr>
            <w:tcW w:w="1192" w:type="pct"/>
            <w:vAlign w:val="center"/>
            <w:hideMark/>
          </w:tcPr>
          <w:p w14:paraId="32DBBE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京宁</w:t>
            </w:r>
          </w:p>
        </w:tc>
        <w:tc>
          <w:tcPr>
            <w:tcW w:w="2251" w:type="pct"/>
            <w:vAlign w:val="center"/>
            <w:hideMark/>
          </w:tcPr>
          <w:p w14:paraId="33318D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4GDTU 485</w:t>
            </w:r>
            <w:r w:rsidRPr="00DA3766">
              <w:rPr>
                <w:rFonts w:ascii="Times New Roman" w:hAnsi="Times New Roman" w:cs="Times New Roman"/>
                <w:color w:val="000000"/>
                <w:sz w:val="21"/>
              </w:rPr>
              <w:t>串口</w:t>
            </w:r>
          </w:p>
        </w:tc>
        <w:tc>
          <w:tcPr>
            <w:tcW w:w="1557" w:type="pct"/>
            <w:vAlign w:val="center"/>
            <w:hideMark/>
          </w:tcPr>
          <w:p w14:paraId="0EFE6D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73.00-108.00</w:t>
            </w:r>
          </w:p>
        </w:tc>
      </w:tr>
      <w:tr w:rsidR="00EB3B4C" w:rsidRPr="00DA3766" w14:paraId="2628717C" w14:textId="77777777" w:rsidTr="00DA3766">
        <w:trPr>
          <w:trHeight w:val="397"/>
          <w:jc w:val="center"/>
        </w:trPr>
        <w:tc>
          <w:tcPr>
            <w:tcW w:w="1192" w:type="pct"/>
            <w:vAlign w:val="center"/>
            <w:hideMark/>
          </w:tcPr>
          <w:p w14:paraId="787DFD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塔石</w:t>
            </w:r>
          </w:p>
        </w:tc>
        <w:tc>
          <w:tcPr>
            <w:tcW w:w="2251" w:type="pct"/>
            <w:vAlign w:val="center"/>
            <w:hideMark/>
          </w:tcPr>
          <w:p w14:paraId="146926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LTE-892D5</w:t>
            </w:r>
            <w:r w:rsidRPr="00DA3766">
              <w:rPr>
                <w:rFonts w:ascii="Times New Roman" w:hAnsi="Times New Roman" w:cs="Times New Roman"/>
                <w:color w:val="000000"/>
                <w:sz w:val="21"/>
              </w:rPr>
              <w:t>、</w:t>
            </w:r>
            <w:r w:rsidRPr="00DA3766">
              <w:rPr>
                <w:rFonts w:ascii="Times New Roman" w:hAnsi="Times New Roman" w:cs="Times New Roman"/>
                <w:color w:val="000000"/>
                <w:sz w:val="21"/>
              </w:rPr>
              <w:t>TAS-LTE-365A-D</w:t>
            </w:r>
          </w:p>
        </w:tc>
        <w:tc>
          <w:tcPr>
            <w:tcW w:w="1557" w:type="pct"/>
            <w:vAlign w:val="center"/>
            <w:hideMark/>
          </w:tcPr>
          <w:p w14:paraId="20EFAF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131.17-161.00</w:t>
            </w:r>
          </w:p>
        </w:tc>
      </w:tr>
    </w:tbl>
    <w:p w14:paraId="789679EF" w14:textId="1FB46F46"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本次收入预测中，星云开物</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智能硬件模块模组类在报告期和预测期的平均价格在</w:t>
      </w:r>
      <w:r w:rsidRPr="00DA3766">
        <w:rPr>
          <w:rFonts w:ascii="Times New Roman" w:hAnsi="Times New Roman" w:cs="Times New Roman"/>
          <w:kern w:val="2"/>
          <w:szCs w:val="22"/>
        </w:rPr>
        <w:t>90-1</w:t>
      </w:r>
      <w:r w:rsidR="00450541">
        <w:rPr>
          <w:rFonts w:ascii="Times New Roman" w:hAnsi="Times New Roman" w:cs="Times New Roman" w:hint="eastAsia"/>
          <w:kern w:val="2"/>
          <w:szCs w:val="22"/>
        </w:rPr>
        <w:t>2</w:t>
      </w:r>
      <w:r w:rsidRPr="00DA3766">
        <w:rPr>
          <w:rFonts w:ascii="Times New Roman" w:hAnsi="Times New Roman" w:cs="Times New Roman"/>
          <w:kern w:val="2"/>
          <w:szCs w:val="22"/>
        </w:rPr>
        <w:t>0</w:t>
      </w:r>
      <w:r w:rsidRPr="00DA3766">
        <w:rPr>
          <w:rFonts w:ascii="Times New Roman" w:hAnsi="Times New Roman" w:cs="Times New Roman"/>
          <w:kern w:val="2"/>
          <w:szCs w:val="22"/>
        </w:rPr>
        <w:t>元左右，在上述区间内，具备合理性。</w:t>
      </w:r>
    </w:p>
    <w:p w14:paraId="3FD0C88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在</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云平台业务及数字营销服务业务的收入预测方面，由于行业内各公司的经营模式与收入结构存在差异，目前市场上缺乏完全可比的同类业务产品。因此，本次预测对</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云平台业务及数字营销服务业务收入主要参照历史年度的收入水平或费率予以确定，同时在相关运营指标中考虑了合理的变动趋势。整体来看，该预测方法符合行业特点，具备审慎性与合理性。</w:t>
      </w:r>
    </w:p>
    <w:p w14:paraId="47A8A7F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（六）</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云平台、数字增值服务收入维持增长的合理性分析</w:t>
      </w:r>
    </w:p>
    <w:p w14:paraId="2C3FD9C3" w14:textId="7189BFE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00491670" w:rsidRPr="00DA3766">
        <w:rPr>
          <w:rFonts w:ascii="Times New Roman" w:hAnsi="Times New Roman" w:cs="Times New Roman"/>
          <w:kern w:val="2"/>
          <w:szCs w:val="22"/>
        </w:rPr>
        <w:t>标的公司</w:t>
      </w:r>
      <w:r w:rsidR="00491670" w:rsidRPr="00DA3766">
        <w:rPr>
          <w:rFonts w:ascii="Times New Roman" w:hAnsi="Times New Roman" w:cs="Times New Roman"/>
          <w:kern w:val="2"/>
          <w:szCs w:val="22"/>
        </w:rPr>
        <w:t>IoT</w:t>
      </w:r>
      <w:r w:rsidR="00491670" w:rsidRPr="00DA3766">
        <w:rPr>
          <w:rFonts w:ascii="Times New Roman" w:hAnsi="Times New Roman" w:cs="Times New Roman"/>
          <w:kern w:val="2"/>
          <w:szCs w:val="22"/>
        </w:rPr>
        <w:t>智能硬件收入基本保持稳定，硬件持续出货将带动接入终端的活跃设备数量稳定持续增长</w:t>
      </w:r>
      <w:r w:rsidRPr="00DA3766">
        <w:rPr>
          <w:rFonts w:ascii="Times New Roman" w:hAnsi="Times New Roman" w:cs="Times New Roman"/>
          <w:kern w:val="2"/>
          <w:szCs w:val="22"/>
        </w:rPr>
        <w:t>。在</w:t>
      </w:r>
      <w:r w:rsidR="00847360" w:rsidRPr="00DA3766">
        <w:rPr>
          <w:rFonts w:ascii="Times New Roman" w:hAnsi="Times New Roman" w:cs="Times New Roman"/>
          <w:kern w:val="2"/>
          <w:szCs w:val="22"/>
        </w:rPr>
        <w:t>标的公司的</w:t>
      </w:r>
      <w:r w:rsidRPr="00DA3766">
        <w:rPr>
          <w:rFonts w:ascii="Times New Roman" w:hAnsi="Times New Roman" w:cs="Times New Roman"/>
          <w:kern w:val="2"/>
          <w:szCs w:val="22"/>
        </w:rPr>
        <w:t>业务模式下，活跃设备规模是支撑</w:t>
      </w:r>
      <w:r w:rsidRPr="00DA3766">
        <w:rPr>
          <w:rFonts w:ascii="Times New Roman" w:hAnsi="Times New Roman" w:cs="Times New Roman"/>
          <w:kern w:val="2"/>
          <w:szCs w:val="22"/>
        </w:rPr>
        <w:t>SaaS</w:t>
      </w:r>
      <w:r w:rsidRPr="00DA3766">
        <w:rPr>
          <w:rFonts w:ascii="Times New Roman" w:hAnsi="Times New Roman" w:cs="Times New Roman"/>
          <w:kern w:val="2"/>
          <w:szCs w:val="22"/>
        </w:rPr>
        <w:t>业务发展的关键基础，其增长有效推动了支付用户数量、交易流水等核心运营数据的提升。由于</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云平台收入及数字增值服务收入与上述运营指标密切相关，结合标的公司既定的经营规划，预计该等业务收入在未来期间将保持增长态势，该预测具备合理性。</w:t>
      </w:r>
    </w:p>
    <w:p w14:paraId="2891E86E"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三、结合报告期内各项业务毛利率变动原因，各业务毛利率的主要影响因素及其未来变化情况，预测期内各业务毛利率较报告期、同行业可比公司是否存在差异等，补充披露各业务毛利率预测是否合理、谨慎</w:t>
      </w:r>
    </w:p>
    <w:p w14:paraId="008E8E9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（一）报告期内各项业务毛利率变动原因，各业务毛利率的主要影响因素及其未来变化情况</w:t>
      </w:r>
    </w:p>
    <w:p w14:paraId="78010D6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参见</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4</w:t>
      </w:r>
      <w:r w:rsidRPr="00DA3766">
        <w:rPr>
          <w:rFonts w:ascii="Times New Roman" w:hAnsi="Times New Roman" w:cs="Times New Roman"/>
          <w:kern w:val="2"/>
          <w:szCs w:val="22"/>
        </w:rPr>
        <w:t>、关于收益法评估</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补充披露预测期各年各业务收入、毛利率等重要评估参数的具体预测情况、测算过程、测算依据及其合理性</w:t>
      </w:r>
      <w:r w:rsidRPr="00DA3766">
        <w:rPr>
          <w:rFonts w:cs="Times New Roman"/>
          <w:kern w:val="2"/>
          <w:szCs w:val="22"/>
        </w:rPr>
        <w:t>”</w:t>
      </w:r>
      <w:r w:rsidRPr="00DA3766">
        <w:rPr>
          <w:rFonts w:ascii="Times New Roman" w:hAnsi="Times New Roman" w:cs="Times New Roman"/>
          <w:kern w:val="2"/>
          <w:szCs w:val="22"/>
        </w:rPr>
        <w:t>相关回复。</w:t>
      </w:r>
    </w:p>
    <w:p w14:paraId="5B6BD407"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（二）预测期内各业务毛利率较报告期、同行业可比公司是否存在差异等，补充披露各业务毛利率预测是否合理、谨慎</w:t>
      </w:r>
    </w:p>
    <w:p w14:paraId="52B1EAF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标的公司定位为</w:t>
      </w:r>
      <w:r w:rsidRPr="00DA3766">
        <w:rPr>
          <w:rFonts w:cs="Times New Roman"/>
          <w:kern w:val="2"/>
          <w:szCs w:val="22"/>
        </w:rPr>
        <w:t>“</w:t>
      </w:r>
      <w:r w:rsidRPr="00DA3766">
        <w:rPr>
          <w:rFonts w:ascii="Times New Roman" w:hAnsi="Times New Roman" w:cs="Times New Roman"/>
          <w:kern w:val="2"/>
          <w:szCs w:val="22"/>
        </w:rPr>
        <w:t>IoT+SaaS</w:t>
      </w:r>
      <w:r w:rsidRPr="00DA3766">
        <w:rPr>
          <w:rFonts w:cs="Times New Roman"/>
          <w:kern w:val="2"/>
          <w:szCs w:val="22"/>
        </w:rPr>
        <w:t>”</w:t>
      </w:r>
      <w:r w:rsidRPr="00DA3766">
        <w:rPr>
          <w:rFonts w:ascii="Times New Roman" w:hAnsi="Times New Roman" w:cs="Times New Roman"/>
          <w:kern w:val="2"/>
          <w:szCs w:val="22"/>
        </w:rPr>
        <w:t>的具备物联网硬件销售并提供软件服务供应商，其下属的智慧生活、智慧零售、智慧出行板块均属于消费板块。在软件及信息服务行业中，无业务定位、下游板块完全一致的上市公司。故本次选取软件及信息服务业上市公司对比分析其毛利率水平，具体如下：</w:t>
      </w:r>
    </w:p>
    <w:p w14:paraId="0E90823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标的公司报告期及预测期毛利水平如下：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561"/>
        <w:gridCol w:w="2040"/>
      </w:tblGrid>
      <w:tr w:rsidR="00EB3B4C" w:rsidRPr="00DA3766" w14:paraId="455A0CD4" w14:textId="77777777" w:rsidTr="00DA3766">
        <w:trPr>
          <w:trHeight w:val="397"/>
          <w:tblHeader/>
          <w:jc w:val="center"/>
        </w:trPr>
        <w:tc>
          <w:tcPr>
            <w:tcW w:w="1227" w:type="pct"/>
            <w:vAlign w:val="center"/>
          </w:tcPr>
          <w:p w14:paraId="58E13C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年份</w:t>
            </w:r>
          </w:p>
        </w:tc>
        <w:tc>
          <w:tcPr>
            <w:tcW w:w="831" w:type="pct"/>
            <w:vAlign w:val="center"/>
          </w:tcPr>
          <w:p w14:paraId="53EBE1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831" w:type="pct"/>
            <w:vAlign w:val="center"/>
          </w:tcPr>
          <w:p w14:paraId="1B28D1A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915" w:type="pct"/>
            <w:vAlign w:val="center"/>
          </w:tcPr>
          <w:p w14:paraId="080000F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c>
          <w:tcPr>
            <w:tcW w:w="1196" w:type="pct"/>
            <w:vAlign w:val="center"/>
          </w:tcPr>
          <w:p w14:paraId="03328D0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4FB1A892" w14:textId="77777777" w:rsidTr="00DA3766">
        <w:trPr>
          <w:trHeight w:val="397"/>
          <w:jc w:val="center"/>
        </w:trPr>
        <w:tc>
          <w:tcPr>
            <w:tcW w:w="1227" w:type="pct"/>
            <w:vAlign w:val="center"/>
          </w:tcPr>
          <w:p w14:paraId="2AAB0A7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毛利率</w:t>
            </w:r>
          </w:p>
        </w:tc>
        <w:tc>
          <w:tcPr>
            <w:tcW w:w="831" w:type="pct"/>
            <w:vAlign w:val="center"/>
          </w:tcPr>
          <w:p w14:paraId="7EBC71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60.18%</w:t>
            </w:r>
          </w:p>
        </w:tc>
        <w:tc>
          <w:tcPr>
            <w:tcW w:w="831" w:type="pct"/>
            <w:vAlign w:val="center"/>
          </w:tcPr>
          <w:p w14:paraId="1E54B36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62.90%</w:t>
            </w:r>
          </w:p>
        </w:tc>
        <w:tc>
          <w:tcPr>
            <w:tcW w:w="915" w:type="pct"/>
            <w:vAlign w:val="center"/>
          </w:tcPr>
          <w:p w14:paraId="327260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62.05%</w:t>
            </w:r>
          </w:p>
        </w:tc>
        <w:tc>
          <w:tcPr>
            <w:tcW w:w="1196" w:type="pct"/>
            <w:vAlign w:val="center"/>
          </w:tcPr>
          <w:p w14:paraId="68EC63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61.88%-62.24%</w:t>
            </w:r>
          </w:p>
        </w:tc>
      </w:tr>
    </w:tbl>
    <w:p w14:paraId="6D9CD40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软件及信息服务业上市公司基准日毛利率水平统计如下：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95"/>
        <w:gridCol w:w="2045"/>
        <w:gridCol w:w="2045"/>
        <w:gridCol w:w="2043"/>
      </w:tblGrid>
      <w:tr w:rsidR="00EB3B4C" w:rsidRPr="00DA3766" w14:paraId="67767BC9" w14:textId="77777777" w:rsidTr="00DA3766">
        <w:trPr>
          <w:trHeight w:val="397"/>
          <w:tblHeader/>
          <w:jc w:val="center"/>
        </w:trPr>
        <w:tc>
          <w:tcPr>
            <w:tcW w:w="1404" w:type="pct"/>
            <w:vAlign w:val="center"/>
            <w:hideMark/>
          </w:tcPr>
          <w:p w14:paraId="347F45C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项目（年份）</w:t>
            </w:r>
          </w:p>
        </w:tc>
        <w:tc>
          <w:tcPr>
            <w:tcW w:w="1199" w:type="pct"/>
            <w:vAlign w:val="center"/>
            <w:hideMark/>
          </w:tcPr>
          <w:p w14:paraId="11A5659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1136704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1199" w:type="pct"/>
            <w:vAlign w:val="center"/>
            <w:hideMark/>
          </w:tcPr>
          <w:p w14:paraId="707F00C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534DC51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1198" w:type="pct"/>
            <w:vAlign w:val="center"/>
            <w:hideMark/>
          </w:tcPr>
          <w:p w14:paraId="698E9AF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1EDB8B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上半年）</w:t>
            </w:r>
          </w:p>
        </w:tc>
      </w:tr>
      <w:tr w:rsidR="00EB3B4C" w:rsidRPr="00DA3766" w14:paraId="01C9A07D" w14:textId="77777777" w:rsidTr="00DA3766">
        <w:trPr>
          <w:trHeight w:val="397"/>
          <w:jc w:val="center"/>
        </w:trPr>
        <w:tc>
          <w:tcPr>
            <w:tcW w:w="1404" w:type="pct"/>
            <w:vAlign w:val="center"/>
            <w:hideMark/>
          </w:tcPr>
          <w:p w14:paraId="4777AA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平均值</w:t>
            </w:r>
          </w:p>
        </w:tc>
        <w:tc>
          <w:tcPr>
            <w:tcW w:w="1199" w:type="pct"/>
            <w:vAlign w:val="center"/>
            <w:hideMark/>
          </w:tcPr>
          <w:p w14:paraId="54CE50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48.26</w:t>
            </w:r>
          </w:p>
        </w:tc>
        <w:tc>
          <w:tcPr>
            <w:tcW w:w="1199" w:type="pct"/>
            <w:vAlign w:val="center"/>
            <w:hideMark/>
          </w:tcPr>
          <w:p w14:paraId="09EC6B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50.08</w:t>
            </w:r>
          </w:p>
        </w:tc>
        <w:tc>
          <w:tcPr>
            <w:tcW w:w="1198" w:type="pct"/>
            <w:vAlign w:val="center"/>
            <w:hideMark/>
          </w:tcPr>
          <w:p w14:paraId="4DD1B9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49.71</w:t>
            </w:r>
          </w:p>
        </w:tc>
      </w:tr>
      <w:tr w:rsidR="00EB3B4C" w:rsidRPr="00DA3766" w14:paraId="1470434C" w14:textId="77777777" w:rsidTr="00DA3766">
        <w:trPr>
          <w:trHeight w:val="397"/>
          <w:jc w:val="center"/>
        </w:trPr>
        <w:tc>
          <w:tcPr>
            <w:tcW w:w="1404" w:type="pct"/>
            <w:vAlign w:val="center"/>
            <w:hideMark/>
          </w:tcPr>
          <w:p w14:paraId="2F1E8B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最大值</w:t>
            </w:r>
          </w:p>
        </w:tc>
        <w:tc>
          <w:tcPr>
            <w:tcW w:w="1199" w:type="pct"/>
            <w:vAlign w:val="center"/>
            <w:hideMark/>
          </w:tcPr>
          <w:p w14:paraId="41DDF1D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94.79</w:t>
            </w:r>
          </w:p>
        </w:tc>
        <w:tc>
          <w:tcPr>
            <w:tcW w:w="1199" w:type="pct"/>
            <w:vAlign w:val="center"/>
            <w:hideMark/>
          </w:tcPr>
          <w:p w14:paraId="7A9337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93.41</w:t>
            </w:r>
          </w:p>
        </w:tc>
        <w:tc>
          <w:tcPr>
            <w:tcW w:w="1198" w:type="pct"/>
            <w:vAlign w:val="center"/>
            <w:hideMark/>
          </w:tcPr>
          <w:p w14:paraId="7CD50D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93.93</w:t>
            </w:r>
          </w:p>
        </w:tc>
      </w:tr>
      <w:tr w:rsidR="00EB3B4C" w:rsidRPr="00DA3766" w14:paraId="56F11623" w14:textId="77777777" w:rsidTr="00DA3766">
        <w:trPr>
          <w:trHeight w:val="397"/>
          <w:jc w:val="center"/>
        </w:trPr>
        <w:tc>
          <w:tcPr>
            <w:tcW w:w="1404" w:type="pct"/>
            <w:vAlign w:val="center"/>
            <w:hideMark/>
          </w:tcPr>
          <w:p w14:paraId="31D27F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中值</w:t>
            </w:r>
          </w:p>
        </w:tc>
        <w:tc>
          <w:tcPr>
            <w:tcW w:w="1199" w:type="pct"/>
            <w:vAlign w:val="center"/>
            <w:hideMark/>
          </w:tcPr>
          <w:p w14:paraId="7370F5A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51.10</w:t>
            </w:r>
          </w:p>
        </w:tc>
        <w:tc>
          <w:tcPr>
            <w:tcW w:w="1199" w:type="pct"/>
            <w:vAlign w:val="center"/>
            <w:hideMark/>
          </w:tcPr>
          <w:p w14:paraId="4F8D30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50.01</w:t>
            </w:r>
          </w:p>
        </w:tc>
        <w:tc>
          <w:tcPr>
            <w:tcW w:w="1198" w:type="pct"/>
            <w:vAlign w:val="center"/>
            <w:hideMark/>
          </w:tcPr>
          <w:p w14:paraId="769541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48.58</w:t>
            </w:r>
          </w:p>
        </w:tc>
      </w:tr>
      <w:tr w:rsidR="00EB3B4C" w:rsidRPr="00DA3766" w14:paraId="7B8007CC" w14:textId="77777777" w:rsidTr="00DA3766">
        <w:trPr>
          <w:trHeight w:val="397"/>
          <w:jc w:val="center"/>
        </w:trPr>
        <w:tc>
          <w:tcPr>
            <w:tcW w:w="1404" w:type="pct"/>
            <w:vAlign w:val="center"/>
            <w:hideMark/>
          </w:tcPr>
          <w:p w14:paraId="79EB13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最小值</w:t>
            </w:r>
          </w:p>
        </w:tc>
        <w:tc>
          <w:tcPr>
            <w:tcW w:w="1199" w:type="pct"/>
            <w:vAlign w:val="center"/>
            <w:hideMark/>
          </w:tcPr>
          <w:p w14:paraId="4A5A1C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w:t>
            </w:r>
          </w:p>
        </w:tc>
        <w:tc>
          <w:tcPr>
            <w:tcW w:w="1199" w:type="pct"/>
            <w:vAlign w:val="center"/>
            <w:hideMark/>
          </w:tcPr>
          <w:p w14:paraId="7E018C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7.59</w:t>
            </w:r>
          </w:p>
        </w:tc>
        <w:tc>
          <w:tcPr>
            <w:tcW w:w="1198" w:type="pct"/>
            <w:vAlign w:val="center"/>
            <w:hideMark/>
          </w:tcPr>
          <w:p w14:paraId="1C86D4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4.93</w:t>
            </w:r>
          </w:p>
        </w:tc>
      </w:tr>
    </w:tbl>
    <w:p w14:paraId="79B80A5A"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报告期内，同行业上市公司平均毛利率介于</w:t>
      </w:r>
      <w:r w:rsidRPr="00DA3766">
        <w:rPr>
          <w:rFonts w:ascii="Times New Roman" w:hAnsi="Times New Roman" w:cs="Times New Roman"/>
          <w:kern w:val="2"/>
          <w:szCs w:val="22"/>
        </w:rPr>
        <w:t>48.26%</w:t>
      </w:r>
      <w:r w:rsidRPr="00DA3766">
        <w:rPr>
          <w:rFonts w:ascii="Times New Roman" w:hAnsi="Times New Roman" w:cs="Times New Roman"/>
          <w:kern w:val="2"/>
          <w:szCs w:val="22"/>
        </w:rPr>
        <w:t>至</w:t>
      </w:r>
      <w:r w:rsidRPr="00DA3766">
        <w:rPr>
          <w:rFonts w:ascii="Times New Roman" w:hAnsi="Times New Roman" w:cs="Times New Roman"/>
          <w:kern w:val="2"/>
          <w:szCs w:val="22"/>
        </w:rPr>
        <w:t>50.08%</w:t>
      </w:r>
      <w:r w:rsidRPr="00DA3766">
        <w:rPr>
          <w:rFonts w:ascii="Times New Roman" w:hAnsi="Times New Roman" w:cs="Times New Roman"/>
          <w:kern w:val="2"/>
          <w:szCs w:val="22"/>
        </w:rPr>
        <w:t>之间，整体保持稳定。同期，标的公司毛利率处于</w:t>
      </w:r>
      <w:r w:rsidRPr="00DA3766">
        <w:rPr>
          <w:rFonts w:ascii="Times New Roman" w:hAnsi="Times New Roman" w:cs="Times New Roman"/>
          <w:kern w:val="2"/>
          <w:szCs w:val="22"/>
        </w:rPr>
        <w:t>60.18%</w:t>
      </w:r>
      <w:r w:rsidRPr="00DA3766">
        <w:rPr>
          <w:rFonts w:ascii="Times New Roman" w:hAnsi="Times New Roman" w:cs="Times New Roman"/>
          <w:kern w:val="2"/>
          <w:szCs w:val="22"/>
        </w:rPr>
        <w:t>至</w:t>
      </w:r>
      <w:r w:rsidRPr="00DA3766">
        <w:rPr>
          <w:rFonts w:ascii="Times New Roman" w:hAnsi="Times New Roman" w:cs="Times New Roman"/>
          <w:kern w:val="2"/>
          <w:szCs w:val="22"/>
        </w:rPr>
        <w:t>62.90%</w:t>
      </w:r>
      <w:r w:rsidRPr="00DA3766">
        <w:rPr>
          <w:rFonts w:ascii="Times New Roman" w:hAnsi="Times New Roman" w:cs="Times New Roman"/>
          <w:kern w:val="2"/>
          <w:szCs w:val="22"/>
        </w:rPr>
        <w:t>区间，较行业平均水平高约</w:t>
      </w:r>
      <w:r w:rsidRPr="00DA3766">
        <w:rPr>
          <w:rFonts w:ascii="Times New Roman" w:hAnsi="Times New Roman" w:cs="Times New Roman"/>
          <w:kern w:val="2"/>
          <w:szCs w:val="22"/>
        </w:rPr>
        <w:t>10</w:t>
      </w:r>
      <w:r w:rsidRPr="00DA3766">
        <w:rPr>
          <w:rFonts w:ascii="Times New Roman" w:hAnsi="Times New Roman" w:cs="Times New Roman"/>
          <w:kern w:val="2"/>
          <w:szCs w:val="22"/>
        </w:rPr>
        <w:t>个百分点，但仍位于同行业公司的毛利率分布范围之内，且同样呈现稳定态势。同行业公司因下游市场结构、业务布局不同，毛利率水平存在一定差异。标的公司主要聚焦于消费行业，在智慧生活、智慧零售板块已形成深耕优势，并积极拓展智慧出行领域，共同支持其预测期内的稳健发展。整体来看，标的公司预测毛利率水平具有合理的业务基础与可比性。</w:t>
      </w:r>
    </w:p>
    <w:p w14:paraId="247218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4826BA2A"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四、结合各项期间费用主要明细项目的具体预测情况、过程及依据，补充披露预测期内期间费用率低于报告期平均水平且呈现逐年下降趋势的合理性，是否足以支撑标的资产的持续发展。</w:t>
      </w:r>
    </w:p>
    <w:p w14:paraId="10C0BE85"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（一）销售费用主要明细项目的具体预测情况、过程及依据</w:t>
      </w:r>
    </w:p>
    <w:p w14:paraId="4D599EF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、销售费用主要明细项目</w:t>
      </w:r>
    </w:p>
    <w:p w14:paraId="0233B7A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销售费用主要由职工薪酬及福利费、市场推广费、摊销及折旧等构成，报告期各期，标的公司销售费用分别为</w:t>
      </w:r>
      <w:r w:rsidRPr="00DA3766">
        <w:rPr>
          <w:rFonts w:ascii="Times New Roman" w:hAnsi="Times New Roman" w:cs="Times New Roman"/>
          <w:kern w:val="2"/>
          <w:szCs w:val="22"/>
        </w:rPr>
        <w:t>7,949.08</w:t>
      </w:r>
      <w:r w:rsidRPr="00DA3766">
        <w:rPr>
          <w:rFonts w:ascii="Times New Roman" w:hAnsi="Times New Roman" w:cs="Times New Roman"/>
          <w:kern w:val="2"/>
          <w:szCs w:val="22"/>
        </w:rPr>
        <w:t>万元、</w:t>
      </w:r>
      <w:r w:rsidRPr="00DA3766">
        <w:rPr>
          <w:rFonts w:ascii="Times New Roman" w:hAnsi="Times New Roman" w:cs="Times New Roman"/>
          <w:kern w:val="2"/>
          <w:szCs w:val="22"/>
        </w:rPr>
        <w:t>7,083.27</w:t>
      </w:r>
      <w:r w:rsidRPr="00DA3766">
        <w:rPr>
          <w:rFonts w:ascii="Times New Roman" w:hAnsi="Times New Roman" w:cs="Times New Roman"/>
          <w:kern w:val="2"/>
          <w:szCs w:val="22"/>
        </w:rPr>
        <w:t>万元和</w:t>
      </w:r>
      <w:r w:rsidRPr="00DA3766">
        <w:rPr>
          <w:rFonts w:ascii="Times New Roman" w:hAnsi="Times New Roman" w:cs="Times New Roman"/>
          <w:kern w:val="2"/>
          <w:szCs w:val="22"/>
        </w:rPr>
        <w:t>3,749.82</w:t>
      </w:r>
      <w:r w:rsidRPr="00DA3766">
        <w:rPr>
          <w:rFonts w:ascii="Times New Roman" w:hAnsi="Times New Roman" w:cs="Times New Roman"/>
          <w:kern w:val="2"/>
          <w:szCs w:val="22"/>
        </w:rPr>
        <w:t>万元。具体情况如下：</w:t>
      </w:r>
    </w:p>
    <w:p w14:paraId="151A5B2A"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92"/>
        <w:gridCol w:w="1088"/>
        <w:gridCol w:w="1090"/>
        <w:gridCol w:w="1090"/>
        <w:gridCol w:w="1090"/>
        <w:gridCol w:w="1090"/>
        <w:gridCol w:w="1088"/>
      </w:tblGrid>
      <w:tr w:rsidR="00EB3B4C" w:rsidRPr="00DA3766" w14:paraId="20DD0F62" w14:textId="77777777" w:rsidTr="00DA3766">
        <w:trPr>
          <w:trHeight w:val="397"/>
          <w:tblHeader/>
          <w:jc w:val="center"/>
        </w:trPr>
        <w:tc>
          <w:tcPr>
            <w:tcW w:w="1168" w:type="pct"/>
            <w:vMerge w:val="restart"/>
            <w:tcMar>
              <w:top w:w="0" w:type="dxa"/>
              <w:left w:w="108" w:type="dxa"/>
              <w:bottom w:w="0" w:type="dxa"/>
              <w:right w:w="108" w:type="dxa"/>
            </w:tcMar>
            <w:vAlign w:val="center"/>
          </w:tcPr>
          <w:p w14:paraId="2F2822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277" w:type="pct"/>
            <w:gridSpan w:val="2"/>
            <w:tcMar>
              <w:top w:w="0" w:type="dxa"/>
              <w:left w:w="108" w:type="dxa"/>
              <w:bottom w:w="0" w:type="dxa"/>
              <w:right w:w="108" w:type="dxa"/>
            </w:tcMar>
            <w:vAlign w:val="center"/>
          </w:tcPr>
          <w:p w14:paraId="31C5C9E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78" w:type="pct"/>
            <w:gridSpan w:val="2"/>
            <w:tcMar>
              <w:top w:w="0" w:type="dxa"/>
              <w:left w:w="108" w:type="dxa"/>
              <w:bottom w:w="0" w:type="dxa"/>
              <w:right w:w="108" w:type="dxa"/>
            </w:tcMar>
            <w:vAlign w:val="center"/>
          </w:tcPr>
          <w:p w14:paraId="0BDF014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77" w:type="pct"/>
            <w:gridSpan w:val="2"/>
            <w:tcMar>
              <w:top w:w="0" w:type="dxa"/>
              <w:left w:w="108" w:type="dxa"/>
              <w:bottom w:w="0" w:type="dxa"/>
              <w:right w:w="108" w:type="dxa"/>
            </w:tcMar>
            <w:vAlign w:val="center"/>
          </w:tcPr>
          <w:p w14:paraId="0540C54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36EF5C61" w14:textId="77777777" w:rsidTr="00DA3766">
        <w:trPr>
          <w:trHeight w:val="397"/>
          <w:tblHeader/>
          <w:jc w:val="center"/>
        </w:trPr>
        <w:tc>
          <w:tcPr>
            <w:tcW w:w="0" w:type="auto"/>
            <w:vMerge/>
            <w:tcMar>
              <w:top w:w="0" w:type="dxa"/>
              <w:left w:w="108" w:type="dxa"/>
              <w:bottom w:w="0" w:type="dxa"/>
              <w:right w:w="108" w:type="dxa"/>
            </w:tcMar>
            <w:vAlign w:val="center"/>
          </w:tcPr>
          <w:p w14:paraId="5BA3ED3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38" w:type="pct"/>
            <w:tcMar>
              <w:top w:w="0" w:type="dxa"/>
              <w:left w:w="108" w:type="dxa"/>
              <w:bottom w:w="0" w:type="dxa"/>
              <w:right w:w="108" w:type="dxa"/>
            </w:tcMar>
            <w:vAlign w:val="center"/>
          </w:tcPr>
          <w:p w14:paraId="3AD0C6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9" w:type="pct"/>
            <w:tcMar>
              <w:top w:w="0" w:type="dxa"/>
              <w:left w:w="108" w:type="dxa"/>
              <w:bottom w:w="0" w:type="dxa"/>
              <w:right w:w="108" w:type="dxa"/>
            </w:tcMar>
            <w:vAlign w:val="center"/>
          </w:tcPr>
          <w:p w14:paraId="766E36C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39" w:type="pct"/>
            <w:tcMar>
              <w:top w:w="0" w:type="dxa"/>
              <w:left w:w="108" w:type="dxa"/>
              <w:bottom w:w="0" w:type="dxa"/>
              <w:right w:w="108" w:type="dxa"/>
            </w:tcMar>
            <w:vAlign w:val="center"/>
          </w:tcPr>
          <w:p w14:paraId="7D38D8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9" w:type="pct"/>
            <w:tcMar>
              <w:top w:w="0" w:type="dxa"/>
              <w:left w:w="108" w:type="dxa"/>
              <w:bottom w:w="0" w:type="dxa"/>
              <w:right w:w="108" w:type="dxa"/>
            </w:tcMar>
            <w:vAlign w:val="center"/>
          </w:tcPr>
          <w:p w14:paraId="08DC16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39" w:type="pct"/>
            <w:tcMar>
              <w:top w:w="0" w:type="dxa"/>
              <w:left w:w="108" w:type="dxa"/>
              <w:bottom w:w="0" w:type="dxa"/>
              <w:right w:w="108" w:type="dxa"/>
            </w:tcMar>
            <w:vAlign w:val="center"/>
          </w:tcPr>
          <w:p w14:paraId="7E49778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8" w:type="pct"/>
            <w:tcMar>
              <w:top w:w="0" w:type="dxa"/>
              <w:left w:w="108" w:type="dxa"/>
              <w:bottom w:w="0" w:type="dxa"/>
              <w:right w:w="108" w:type="dxa"/>
            </w:tcMar>
            <w:vAlign w:val="center"/>
          </w:tcPr>
          <w:p w14:paraId="637C69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72541D8C" w14:textId="77777777" w:rsidTr="00DA3766">
        <w:trPr>
          <w:trHeight w:val="397"/>
          <w:jc w:val="center"/>
        </w:trPr>
        <w:tc>
          <w:tcPr>
            <w:tcW w:w="1168" w:type="pct"/>
            <w:tcMar>
              <w:top w:w="0" w:type="dxa"/>
              <w:left w:w="108" w:type="dxa"/>
              <w:bottom w:w="0" w:type="dxa"/>
              <w:right w:w="108" w:type="dxa"/>
            </w:tcMar>
            <w:vAlign w:val="center"/>
          </w:tcPr>
          <w:p w14:paraId="17B7CE1B"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职工薪酬及福利费</w:t>
            </w:r>
          </w:p>
        </w:tc>
        <w:tc>
          <w:tcPr>
            <w:tcW w:w="638" w:type="pct"/>
            <w:tcMar>
              <w:top w:w="0" w:type="dxa"/>
              <w:left w:w="108" w:type="dxa"/>
              <w:bottom w:w="0" w:type="dxa"/>
              <w:right w:w="108" w:type="dxa"/>
            </w:tcMar>
            <w:vAlign w:val="center"/>
          </w:tcPr>
          <w:p w14:paraId="016AA59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2,371.18</w:t>
            </w:r>
          </w:p>
        </w:tc>
        <w:tc>
          <w:tcPr>
            <w:tcW w:w="639" w:type="pct"/>
            <w:tcMar>
              <w:top w:w="0" w:type="dxa"/>
              <w:left w:w="108" w:type="dxa"/>
              <w:bottom w:w="0" w:type="dxa"/>
              <w:right w:w="108" w:type="dxa"/>
            </w:tcMar>
            <w:vAlign w:val="center"/>
          </w:tcPr>
          <w:p w14:paraId="736086F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63.23%</w:t>
            </w:r>
          </w:p>
        </w:tc>
        <w:tc>
          <w:tcPr>
            <w:tcW w:w="639" w:type="pct"/>
            <w:tcMar>
              <w:top w:w="0" w:type="dxa"/>
              <w:left w:w="108" w:type="dxa"/>
              <w:bottom w:w="0" w:type="dxa"/>
              <w:right w:w="108" w:type="dxa"/>
            </w:tcMar>
            <w:vAlign w:val="center"/>
          </w:tcPr>
          <w:p w14:paraId="5927D45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4,092.87</w:t>
            </w:r>
          </w:p>
        </w:tc>
        <w:tc>
          <w:tcPr>
            <w:tcW w:w="639" w:type="pct"/>
            <w:tcMar>
              <w:top w:w="0" w:type="dxa"/>
              <w:left w:w="108" w:type="dxa"/>
              <w:bottom w:w="0" w:type="dxa"/>
              <w:right w:w="108" w:type="dxa"/>
            </w:tcMar>
            <w:vAlign w:val="center"/>
          </w:tcPr>
          <w:p w14:paraId="680A85D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57.78%</w:t>
            </w:r>
          </w:p>
        </w:tc>
        <w:tc>
          <w:tcPr>
            <w:tcW w:w="639" w:type="pct"/>
            <w:tcMar>
              <w:top w:w="0" w:type="dxa"/>
              <w:left w:w="108" w:type="dxa"/>
              <w:bottom w:w="0" w:type="dxa"/>
              <w:right w:w="108" w:type="dxa"/>
            </w:tcMar>
            <w:vAlign w:val="center"/>
          </w:tcPr>
          <w:p w14:paraId="76BD80B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4,061.69</w:t>
            </w:r>
          </w:p>
        </w:tc>
        <w:tc>
          <w:tcPr>
            <w:tcW w:w="638" w:type="pct"/>
            <w:tcMar>
              <w:top w:w="0" w:type="dxa"/>
              <w:left w:w="108" w:type="dxa"/>
              <w:bottom w:w="0" w:type="dxa"/>
              <w:right w:w="108" w:type="dxa"/>
            </w:tcMar>
            <w:vAlign w:val="center"/>
          </w:tcPr>
          <w:p w14:paraId="5EFEDC3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51.10%</w:t>
            </w:r>
          </w:p>
        </w:tc>
      </w:tr>
      <w:tr w:rsidR="00EB3B4C" w:rsidRPr="00DA3766" w14:paraId="64AFF2BC" w14:textId="77777777" w:rsidTr="00DA3766">
        <w:trPr>
          <w:trHeight w:val="397"/>
          <w:jc w:val="center"/>
        </w:trPr>
        <w:tc>
          <w:tcPr>
            <w:tcW w:w="1168" w:type="pct"/>
            <w:tcMar>
              <w:top w:w="0" w:type="dxa"/>
              <w:left w:w="108" w:type="dxa"/>
              <w:bottom w:w="0" w:type="dxa"/>
              <w:right w:w="108" w:type="dxa"/>
            </w:tcMar>
            <w:vAlign w:val="center"/>
          </w:tcPr>
          <w:p w14:paraId="1FFE7AB3"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市场推广费</w:t>
            </w:r>
          </w:p>
        </w:tc>
        <w:tc>
          <w:tcPr>
            <w:tcW w:w="638" w:type="pct"/>
            <w:tcMar>
              <w:top w:w="0" w:type="dxa"/>
              <w:left w:w="108" w:type="dxa"/>
              <w:bottom w:w="0" w:type="dxa"/>
              <w:right w:w="108" w:type="dxa"/>
            </w:tcMar>
            <w:vAlign w:val="center"/>
          </w:tcPr>
          <w:p w14:paraId="00B5DBC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768.86</w:t>
            </w:r>
          </w:p>
        </w:tc>
        <w:tc>
          <w:tcPr>
            <w:tcW w:w="639" w:type="pct"/>
            <w:tcMar>
              <w:top w:w="0" w:type="dxa"/>
              <w:left w:w="108" w:type="dxa"/>
              <w:bottom w:w="0" w:type="dxa"/>
              <w:right w:w="108" w:type="dxa"/>
            </w:tcMar>
            <w:vAlign w:val="center"/>
          </w:tcPr>
          <w:p w14:paraId="5BBE18D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20.50%</w:t>
            </w:r>
          </w:p>
        </w:tc>
        <w:tc>
          <w:tcPr>
            <w:tcW w:w="639" w:type="pct"/>
            <w:tcMar>
              <w:top w:w="0" w:type="dxa"/>
              <w:left w:w="108" w:type="dxa"/>
              <w:bottom w:w="0" w:type="dxa"/>
              <w:right w:w="108" w:type="dxa"/>
            </w:tcMar>
            <w:vAlign w:val="center"/>
          </w:tcPr>
          <w:p w14:paraId="26CBFA5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1,685.88</w:t>
            </w:r>
          </w:p>
        </w:tc>
        <w:tc>
          <w:tcPr>
            <w:tcW w:w="639" w:type="pct"/>
            <w:tcMar>
              <w:top w:w="0" w:type="dxa"/>
              <w:left w:w="108" w:type="dxa"/>
              <w:bottom w:w="0" w:type="dxa"/>
              <w:right w:w="108" w:type="dxa"/>
            </w:tcMar>
            <w:vAlign w:val="center"/>
          </w:tcPr>
          <w:p w14:paraId="7A50128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23.80%</w:t>
            </w:r>
          </w:p>
        </w:tc>
        <w:tc>
          <w:tcPr>
            <w:tcW w:w="639" w:type="pct"/>
            <w:tcMar>
              <w:top w:w="0" w:type="dxa"/>
              <w:left w:w="108" w:type="dxa"/>
              <w:bottom w:w="0" w:type="dxa"/>
              <w:right w:w="108" w:type="dxa"/>
            </w:tcMar>
            <w:vAlign w:val="center"/>
          </w:tcPr>
          <w:p w14:paraId="6CE2C77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2,441.09</w:t>
            </w:r>
          </w:p>
        </w:tc>
        <w:tc>
          <w:tcPr>
            <w:tcW w:w="638" w:type="pct"/>
            <w:tcMar>
              <w:top w:w="0" w:type="dxa"/>
              <w:left w:w="108" w:type="dxa"/>
              <w:bottom w:w="0" w:type="dxa"/>
              <w:right w:w="108" w:type="dxa"/>
            </w:tcMar>
            <w:vAlign w:val="center"/>
          </w:tcPr>
          <w:p w14:paraId="530AE99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30.71%</w:t>
            </w:r>
          </w:p>
        </w:tc>
      </w:tr>
      <w:tr w:rsidR="00EB3B4C" w:rsidRPr="00DA3766" w14:paraId="54B72C9E" w14:textId="77777777" w:rsidTr="00DA3766">
        <w:trPr>
          <w:trHeight w:val="397"/>
          <w:jc w:val="center"/>
        </w:trPr>
        <w:tc>
          <w:tcPr>
            <w:tcW w:w="1168" w:type="pct"/>
            <w:tcMar>
              <w:top w:w="0" w:type="dxa"/>
              <w:left w:w="108" w:type="dxa"/>
              <w:bottom w:w="0" w:type="dxa"/>
              <w:right w:w="108" w:type="dxa"/>
            </w:tcMar>
            <w:vAlign w:val="center"/>
          </w:tcPr>
          <w:p w14:paraId="4D000EEE"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摊销及折旧</w:t>
            </w:r>
          </w:p>
        </w:tc>
        <w:tc>
          <w:tcPr>
            <w:tcW w:w="638" w:type="pct"/>
            <w:tcMar>
              <w:top w:w="0" w:type="dxa"/>
              <w:left w:w="108" w:type="dxa"/>
              <w:bottom w:w="0" w:type="dxa"/>
              <w:right w:w="108" w:type="dxa"/>
            </w:tcMar>
            <w:vAlign w:val="center"/>
          </w:tcPr>
          <w:p w14:paraId="1649AB3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259.73</w:t>
            </w:r>
          </w:p>
        </w:tc>
        <w:tc>
          <w:tcPr>
            <w:tcW w:w="639" w:type="pct"/>
            <w:tcMar>
              <w:top w:w="0" w:type="dxa"/>
              <w:left w:w="108" w:type="dxa"/>
              <w:bottom w:w="0" w:type="dxa"/>
              <w:right w:w="108" w:type="dxa"/>
            </w:tcMar>
            <w:vAlign w:val="center"/>
          </w:tcPr>
          <w:p w14:paraId="233AF06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6.93%</w:t>
            </w:r>
          </w:p>
        </w:tc>
        <w:tc>
          <w:tcPr>
            <w:tcW w:w="639" w:type="pct"/>
            <w:tcMar>
              <w:top w:w="0" w:type="dxa"/>
              <w:left w:w="108" w:type="dxa"/>
              <w:bottom w:w="0" w:type="dxa"/>
              <w:right w:w="108" w:type="dxa"/>
            </w:tcMar>
            <w:vAlign w:val="center"/>
          </w:tcPr>
          <w:p w14:paraId="2726079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547.40</w:t>
            </w:r>
          </w:p>
        </w:tc>
        <w:tc>
          <w:tcPr>
            <w:tcW w:w="639" w:type="pct"/>
            <w:tcMar>
              <w:top w:w="0" w:type="dxa"/>
              <w:left w:w="108" w:type="dxa"/>
              <w:bottom w:w="0" w:type="dxa"/>
              <w:right w:w="108" w:type="dxa"/>
            </w:tcMar>
            <w:vAlign w:val="center"/>
          </w:tcPr>
          <w:p w14:paraId="78FF34E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7.73%</w:t>
            </w:r>
          </w:p>
        </w:tc>
        <w:tc>
          <w:tcPr>
            <w:tcW w:w="639" w:type="pct"/>
            <w:tcMar>
              <w:top w:w="0" w:type="dxa"/>
              <w:left w:w="108" w:type="dxa"/>
              <w:bottom w:w="0" w:type="dxa"/>
              <w:right w:w="108" w:type="dxa"/>
            </w:tcMar>
            <w:vAlign w:val="center"/>
          </w:tcPr>
          <w:p w14:paraId="719E63F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815.05</w:t>
            </w:r>
          </w:p>
        </w:tc>
        <w:tc>
          <w:tcPr>
            <w:tcW w:w="638" w:type="pct"/>
            <w:tcMar>
              <w:top w:w="0" w:type="dxa"/>
              <w:left w:w="108" w:type="dxa"/>
              <w:bottom w:w="0" w:type="dxa"/>
              <w:right w:w="108" w:type="dxa"/>
            </w:tcMar>
            <w:vAlign w:val="center"/>
          </w:tcPr>
          <w:p w14:paraId="646D6B3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10.25%</w:t>
            </w:r>
          </w:p>
        </w:tc>
      </w:tr>
      <w:tr w:rsidR="00EB3B4C" w:rsidRPr="00DA3766" w14:paraId="25C01A2B" w14:textId="77777777" w:rsidTr="00DA3766">
        <w:trPr>
          <w:trHeight w:val="397"/>
          <w:jc w:val="center"/>
        </w:trPr>
        <w:tc>
          <w:tcPr>
            <w:tcW w:w="1168" w:type="pct"/>
            <w:tcMar>
              <w:top w:w="0" w:type="dxa"/>
              <w:left w:w="108" w:type="dxa"/>
              <w:bottom w:w="0" w:type="dxa"/>
              <w:right w:w="108" w:type="dxa"/>
            </w:tcMar>
            <w:vAlign w:val="center"/>
          </w:tcPr>
          <w:p w14:paraId="12378B1C"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办公场所及办公费</w:t>
            </w:r>
          </w:p>
        </w:tc>
        <w:tc>
          <w:tcPr>
            <w:tcW w:w="638" w:type="pct"/>
            <w:tcMar>
              <w:top w:w="0" w:type="dxa"/>
              <w:left w:w="108" w:type="dxa"/>
              <w:bottom w:w="0" w:type="dxa"/>
              <w:right w:w="108" w:type="dxa"/>
            </w:tcMar>
            <w:vAlign w:val="center"/>
          </w:tcPr>
          <w:p w14:paraId="77E05F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270.76</w:t>
            </w:r>
          </w:p>
        </w:tc>
        <w:tc>
          <w:tcPr>
            <w:tcW w:w="639" w:type="pct"/>
            <w:tcMar>
              <w:top w:w="0" w:type="dxa"/>
              <w:left w:w="108" w:type="dxa"/>
              <w:bottom w:w="0" w:type="dxa"/>
              <w:right w:w="108" w:type="dxa"/>
            </w:tcMar>
            <w:vAlign w:val="center"/>
          </w:tcPr>
          <w:p w14:paraId="75B30F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7.22%</w:t>
            </w:r>
          </w:p>
        </w:tc>
        <w:tc>
          <w:tcPr>
            <w:tcW w:w="639" w:type="pct"/>
            <w:tcMar>
              <w:top w:w="0" w:type="dxa"/>
              <w:left w:w="108" w:type="dxa"/>
              <w:bottom w:w="0" w:type="dxa"/>
              <w:right w:w="108" w:type="dxa"/>
            </w:tcMar>
            <w:vAlign w:val="center"/>
          </w:tcPr>
          <w:p w14:paraId="715E59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479.34</w:t>
            </w:r>
          </w:p>
        </w:tc>
        <w:tc>
          <w:tcPr>
            <w:tcW w:w="639" w:type="pct"/>
            <w:tcMar>
              <w:top w:w="0" w:type="dxa"/>
              <w:left w:w="108" w:type="dxa"/>
              <w:bottom w:w="0" w:type="dxa"/>
              <w:right w:w="108" w:type="dxa"/>
            </w:tcMar>
            <w:vAlign w:val="center"/>
          </w:tcPr>
          <w:p w14:paraId="4B92140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6.77%</w:t>
            </w:r>
          </w:p>
        </w:tc>
        <w:tc>
          <w:tcPr>
            <w:tcW w:w="639" w:type="pct"/>
            <w:tcMar>
              <w:top w:w="0" w:type="dxa"/>
              <w:left w:w="108" w:type="dxa"/>
              <w:bottom w:w="0" w:type="dxa"/>
              <w:right w:w="108" w:type="dxa"/>
            </w:tcMar>
            <w:vAlign w:val="center"/>
          </w:tcPr>
          <w:p w14:paraId="3E18656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350.34</w:t>
            </w:r>
          </w:p>
        </w:tc>
        <w:tc>
          <w:tcPr>
            <w:tcW w:w="638" w:type="pct"/>
            <w:tcMar>
              <w:top w:w="0" w:type="dxa"/>
              <w:left w:w="108" w:type="dxa"/>
              <w:bottom w:w="0" w:type="dxa"/>
              <w:right w:w="108" w:type="dxa"/>
            </w:tcMar>
            <w:vAlign w:val="center"/>
          </w:tcPr>
          <w:p w14:paraId="48F6239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4.41%</w:t>
            </w:r>
          </w:p>
        </w:tc>
      </w:tr>
      <w:tr w:rsidR="00EB3B4C" w:rsidRPr="00DA3766" w14:paraId="4C14A90E" w14:textId="77777777" w:rsidTr="00DA3766">
        <w:trPr>
          <w:trHeight w:val="397"/>
          <w:jc w:val="center"/>
        </w:trPr>
        <w:tc>
          <w:tcPr>
            <w:tcW w:w="1168" w:type="pct"/>
            <w:tcMar>
              <w:top w:w="0" w:type="dxa"/>
              <w:left w:w="108" w:type="dxa"/>
              <w:bottom w:w="0" w:type="dxa"/>
              <w:right w:w="108" w:type="dxa"/>
            </w:tcMar>
            <w:vAlign w:val="center"/>
          </w:tcPr>
          <w:p w14:paraId="55B8B3F1"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专业服务费</w:t>
            </w:r>
          </w:p>
        </w:tc>
        <w:tc>
          <w:tcPr>
            <w:tcW w:w="638" w:type="pct"/>
            <w:tcMar>
              <w:top w:w="0" w:type="dxa"/>
              <w:left w:w="108" w:type="dxa"/>
              <w:bottom w:w="0" w:type="dxa"/>
              <w:right w:w="108" w:type="dxa"/>
            </w:tcMar>
            <w:vAlign w:val="center"/>
          </w:tcPr>
          <w:p w14:paraId="29DC19F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18.45</w:t>
            </w:r>
          </w:p>
        </w:tc>
        <w:tc>
          <w:tcPr>
            <w:tcW w:w="639" w:type="pct"/>
            <w:tcMar>
              <w:top w:w="0" w:type="dxa"/>
              <w:left w:w="108" w:type="dxa"/>
              <w:bottom w:w="0" w:type="dxa"/>
              <w:right w:w="108" w:type="dxa"/>
            </w:tcMar>
            <w:vAlign w:val="center"/>
          </w:tcPr>
          <w:p w14:paraId="7BDCE46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0.49%</w:t>
            </w:r>
          </w:p>
        </w:tc>
        <w:tc>
          <w:tcPr>
            <w:tcW w:w="639" w:type="pct"/>
            <w:tcMar>
              <w:top w:w="0" w:type="dxa"/>
              <w:left w:w="108" w:type="dxa"/>
              <w:bottom w:w="0" w:type="dxa"/>
              <w:right w:w="108" w:type="dxa"/>
            </w:tcMar>
            <w:vAlign w:val="center"/>
          </w:tcPr>
          <w:p w14:paraId="6433552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112.99</w:t>
            </w:r>
          </w:p>
        </w:tc>
        <w:tc>
          <w:tcPr>
            <w:tcW w:w="639" w:type="pct"/>
            <w:tcMar>
              <w:top w:w="0" w:type="dxa"/>
              <w:left w:w="108" w:type="dxa"/>
              <w:bottom w:w="0" w:type="dxa"/>
              <w:right w:w="108" w:type="dxa"/>
            </w:tcMar>
            <w:vAlign w:val="center"/>
          </w:tcPr>
          <w:p w14:paraId="20569E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1.60%</w:t>
            </w:r>
          </w:p>
        </w:tc>
        <w:tc>
          <w:tcPr>
            <w:tcW w:w="639" w:type="pct"/>
            <w:tcMar>
              <w:top w:w="0" w:type="dxa"/>
              <w:left w:w="108" w:type="dxa"/>
              <w:bottom w:w="0" w:type="dxa"/>
              <w:right w:w="108" w:type="dxa"/>
            </w:tcMar>
            <w:vAlign w:val="center"/>
          </w:tcPr>
          <w:p w14:paraId="3601B20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156.14</w:t>
            </w:r>
          </w:p>
        </w:tc>
        <w:tc>
          <w:tcPr>
            <w:tcW w:w="638" w:type="pct"/>
            <w:tcMar>
              <w:top w:w="0" w:type="dxa"/>
              <w:left w:w="108" w:type="dxa"/>
              <w:bottom w:w="0" w:type="dxa"/>
              <w:right w:w="108" w:type="dxa"/>
            </w:tcMar>
            <w:vAlign w:val="center"/>
          </w:tcPr>
          <w:p w14:paraId="7A167F0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1.96%</w:t>
            </w:r>
          </w:p>
        </w:tc>
      </w:tr>
      <w:tr w:rsidR="00EB3B4C" w:rsidRPr="00DA3766" w14:paraId="331357E5" w14:textId="77777777" w:rsidTr="00DA3766">
        <w:trPr>
          <w:trHeight w:val="397"/>
          <w:jc w:val="center"/>
        </w:trPr>
        <w:tc>
          <w:tcPr>
            <w:tcW w:w="1168" w:type="pct"/>
            <w:tcMar>
              <w:top w:w="0" w:type="dxa"/>
              <w:left w:w="108" w:type="dxa"/>
              <w:bottom w:w="0" w:type="dxa"/>
              <w:right w:w="108" w:type="dxa"/>
            </w:tcMar>
            <w:vAlign w:val="center"/>
          </w:tcPr>
          <w:p w14:paraId="4FA652D4"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业务招待费</w:t>
            </w:r>
          </w:p>
        </w:tc>
        <w:tc>
          <w:tcPr>
            <w:tcW w:w="638" w:type="pct"/>
            <w:tcMar>
              <w:top w:w="0" w:type="dxa"/>
              <w:left w:w="108" w:type="dxa"/>
              <w:bottom w:w="0" w:type="dxa"/>
              <w:right w:w="108" w:type="dxa"/>
            </w:tcMar>
            <w:vAlign w:val="center"/>
          </w:tcPr>
          <w:p w14:paraId="3AC4799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53.56</w:t>
            </w:r>
          </w:p>
        </w:tc>
        <w:tc>
          <w:tcPr>
            <w:tcW w:w="639" w:type="pct"/>
            <w:tcMar>
              <w:top w:w="0" w:type="dxa"/>
              <w:left w:w="108" w:type="dxa"/>
              <w:bottom w:w="0" w:type="dxa"/>
              <w:right w:w="108" w:type="dxa"/>
            </w:tcMar>
            <w:vAlign w:val="center"/>
          </w:tcPr>
          <w:p w14:paraId="1E786E65"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1.43%</w:t>
            </w:r>
          </w:p>
        </w:tc>
        <w:tc>
          <w:tcPr>
            <w:tcW w:w="639" w:type="pct"/>
            <w:tcMar>
              <w:top w:w="0" w:type="dxa"/>
              <w:left w:w="108" w:type="dxa"/>
              <w:bottom w:w="0" w:type="dxa"/>
              <w:right w:w="108" w:type="dxa"/>
            </w:tcMar>
            <w:vAlign w:val="center"/>
          </w:tcPr>
          <w:p w14:paraId="0D2FCD7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156.86</w:t>
            </w:r>
          </w:p>
        </w:tc>
        <w:tc>
          <w:tcPr>
            <w:tcW w:w="639" w:type="pct"/>
            <w:tcMar>
              <w:top w:w="0" w:type="dxa"/>
              <w:left w:w="108" w:type="dxa"/>
              <w:bottom w:w="0" w:type="dxa"/>
              <w:right w:w="108" w:type="dxa"/>
            </w:tcMar>
            <w:vAlign w:val="center"/>
          </w:tcPr>
          <w:p w14:paraId="7DE93D1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2.21%</w:t>
            </w:r>
          </w:p>
        </w:tc>
        <w:tc>
          <w:tcPr>
            <w:tcW w:w="639" w:type="pct"/>
            <w:tcMar>
              <w:top w:w="0" w:type="dxa"/>
              <w:left w:w="108" w:type="dxa"/>
              <w:bottom w:w="0" w:type="dxa"/>
              <w:right w:w="108" w:type="dxa"/>
            </w:tcMar>
            <w:vAlign w:val="center"/>
          </w:tcPr>
          <w:p w14:paraId="77D9A1C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98.24</w:t>
            </w:r>
          </w:p>
        </w:tc>
        <w:tc>
          <w:tcPr>
            <w:tcW w:w="638" w:type="pct"/>
            <w:tcMar>
              <w:top w:w="0" w:type="dxa"/>
              <w:left w:w="108" w:type="dxa"/>
              <w:bottom w:w="0" w:type="dxa"/>
              <w:right w:w="108" w:type="dxa"/>
            </w:tcMar>
            <w:vAlign w:val="center"/>
          </w:tcPr>
          <w:p w14:paraId="7320240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1.24%</w:t>
            </w:r>
          </w:p>
        </w:tc>
      </w:tr>
      <w:tr w:rsidR="00EB3B4C" w:rsidRPr="00DA3766" w14:paraId="7885468F" w14:textId="77777777" w:rsidTr="00DA3766">
        <w:trPr>
          <w:trHeight w:val="397"/>
          <w:jc w:val="center"/>
        </w:trPr>
        <w:tc>
          <w:tcPr>
            <w:tcW w:w="1168" w:type="pct"/>
            <w:tcMar>
              <w:top w:w="0" w:type="dxa"/>
              <w:left w:w="108" w:type="dxa"/>
              <w:bottom w:w="0" w:type="dxa"/>
              <w:right w:w="108" w:type="dxa"/>
            </w:tcMar>
            <w:vAlign w:val="center"/>
          </w:tcPr>
          <w:p w14:paraId="081FB1F4"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其他</w:t>
            </w:r>
          </w:p>
        </w:tc>
        <w:tc>
          <w:tcPr>
            <w:tcW w:w="638" w:type="pct"/>
            <w:tcMar>
              <w:top w:w="0" w:type="dxa"/>
              <w:left w:w="108" w:type="dxa"/>
              <w:bottom w:w="0" w:type="dxa"/>
              <w:right w:w="108" w:type="dxa"/>
            </w:tcMar>
            <w:vAlign w:val="center"/>
          </w:tcPr>
          <w:p w14:paraId="42FA953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7.29</w:t>
            </w:r>
          </w:p>
        </w:tc>
        <w:tc>
          <w:tcPr>
            <w:tcW w:w="639" w:type="pct"/>
            <w:tcMar>
              <w:top w:w="0" w:type="dxa"/>
              <w:left w:w="108" w:type="dxa"/>
              <w:bottom w:w="0" w:type="dxa"/>
              <w:right w:w="108" w:type="dxa"/>
            </w:tcMar>
            <w:vAlign w:val="center"/>
          </w:tcPr>
          <w:p w14:paraId="223C167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0.19%</w:t>
            </w:r>
          </w:p>
        </w:tc>
        <w:tc>
          <w:tcPr>
            <w:tcW w:w="639" w:type="pct"/>
            <w:tcMar>
              <w:top w:w="0" w:type="dxa"/>
              <w:left w:w="108" w:type="dxa"/>
              <w:bottom w:w="0" w:type="dxa"/>
              <w:right w:w="108" w:type="dxa"/>
            </w:tcMar>
            <w:vAlign w:val="center"/>
          </w:tcPr>
          <w:p w14:paraId="7636636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7.93</w:t>
            </w:r>
          </w:p>
        </w:tc>
        <w:tc>
          <w:tcPr>
            <w:tcW w:w="639" w:type="pct"/>
            <w:tcMar>
              <w:top w:w="0" w:type="dxa"/>
              <w:left w:w="108" w:type="dxa"/>
              <w:bottom w:w="0" w:type="dxa"/>
              <w:right w:w="108" w:type="dxa"/>
            </w:tcMar>
            <w:vAlign w:val="center"/>
          </w:tcPr>
          <w:p w14:paraId="1F90BC5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0.11%</w:t>
            </w:r>
          </w:p>
        </w:tc>
        <w:tc>
          <w:tcPr>
            <w:tcW w:w="639" w:type="pct"/>
            <w:tcMar>
              <w:top w:w="0" w:type="dxa"/>
              <w:left w:w="108" w:type="dxa"/>
              <w:bottom w:w="0" w:type="dxa"/>
              <w:right w:w="108" w:type="dxa"/>
            </w:tcMar>
            <w:vAlign w:val="center"/>
          </w:tcPr>
          <w:p w14:paraId="0E961F9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26.53</w:t>
            </w:r>
          </w:p>
        </w:tc>
        <w:tc>
          <w:tcPr>
            <w:tcW w:w="638" w:type="pct"/>
            <w:tcMar>
              <w:top w:w="0" w:type="dxa"/>
              <w:left w:w="108" w:type="dxa"/>
              <w:bottom w:w="0" w:type="dxa"/>
              <w:right w:w="108" w:type="dxa"/>
            </w:tcMar>
            <w:vAlign w:val="center"/>
          </w:tcPr>
          <w:p w14:paraId="3045958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0.33%</w:t>
            </w:r>
          </w:p>
        </w:tc>
      </w:tr>
      <w:tr w:rsidR="00EB3B4C" w:rsidRPr="00DA3766" w14:paraId="1A704172" w14:textId="77777777" w:rsidTr="00DA3766">
        <w:trPr>
          <w:trHeight w:val="397"/>
          <w:jc w:val="center"/>
        </w:trPr>
        <w:tc>
          <w:tcPr>
            <w:tcW w:w="1168" w:type="pct"/>
            <w:tcMar>
              <w:top w:w="0" w:type="dxa"/>
              <w:left w:w="108" w:type="dxa"/>
              <w:bottom w:w="0" w:type="dxa"/>
              <w:right w:w="108" w:type="dxa"/>
            </w:tcMar>
            <w:vAlign w:val="center"/>
          </w:tcPr>
          <w:p w14:paraId="2BF0CDD7" w14:textId="77777777" w:rsidR="00EB3B4C" w:rsidRPr="00DA3766" w:rsidRDefault="00EB3B4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38" w:type="pct"/>
            <w:tcMar>
              <w:top w:w="0" w:type="dxa"/>
              <w:left w:w="108" w:type="dxa"/>
              <w:bottom w:w="0" w:type="dxa"/>
              <w:right w:w="108" w:type="dxa"/>
            </w:tcMar>
            <w:vAlign w:val="center"/>
          </w:tcPr>
          <w:p w14:paraId="50158E8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3,749.82</w:t>
            </w:r>
          </w:p>
        </w:tc>
        <w:tc>
          <w:tcPr>
            <w:tcW w:w="639" w:type="pct"/>
            <w:tcMar>
              <w:top w:w="0" w:type="dxa"/>
              <w:left w:w="108" w:type="dxa"/>
              <w:bottom w:w="0" w:type="dxa"/>
              <w:right w:w="108" w:type="dxa"/>
            </w:tcMar>
            <w:vAlign w:val="center"/>
          </w:tcPr>
          <w:p w14:paraId="660A316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9" w:type="pct"/>
            <w:tcMar>
              <w:top w:w="0" w:type="dxa"/>
              <w:left w:w="108" w:type="dxa"/>
              <w:bottom w:w="0" w:type="dxa"/>
              <w:right w:w="108" w:type="dxa"/>
            </w:tcMar>
            <w:vAlign w:val="center"/>
          </w:tcPr>
          <w:p w14:paraId="301529A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7,083.27</w:t>
            </w:r>
          </w:p>
        </w:tc>
        <w:tc>
          <w:tcPr>
            <w:tcW w:w="639" w:type="pct"/>
            <w:tcMar>
              <w:top w:w="0" w:type="dxa"/>
              <w:left w:w="108" w:type="dxa"/>
              <w:bottom w:w="0" w:type="dxa"/>
              <w:right w:w="108" w:type="dxa"/>
            </w:tcMar>
            <w:vAlign w:val="center"/>
          </w:tcPr>
          <w:p w14:paraId="36EB0C0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9" w:type="pct"/>
            <w:tcMar>
              <w:top w:w="0" w:type="dxa"/>
              <w:left w:w="108" w:type="dxa"/>
              <w:bottom w:w="0" w:type="dxa"/>
              <w:right w:w="108" w:type="dxa"/>
            </w:tcMar>
            <w:vAlign w:val="center"/>
          </w:tcPr>
          <w:p w14:paraId="723A7DF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7,949.08</w:t>
            </w:r>
          </w:p>
        </w:tc>
        <w:tc>
          <w:tcPr>
            <w:tcW w:w="638" w:type="pct"/>
            <w:tcMar>
              <w:top w:w="0" w:type="dxa"/>
              <w:left w:w="108" w:type="dxa"/>
              <w:bottom w:w="0" w:type="dxa"/>
              <w:right w:w="108" w:type="dxa"/>
            </w:tcMar>
            <w:vAlign w:val="center"/>
          </w:tcPr>
          <w:p w14:paraId="48FFDA8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5F8B6D4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、销售费用主要明细项目的具体预测情况、过程及依据</w:t>
      </w:r>
    </w:p>
    <w:p w14:paraId="02ED40B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62D7D41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职工薪酬及福利主要包括销售人员的工资、社保、公积金和福利费等，报告期各期，标的公司职工薪酬及福利费分别为</w:t>
      </w:r>
      <w:r w:rsidRPr="00DA3766">
        <w:rPr>
          <w:rFonts w:ascii="Times New Roman" w:hAnsi="Times New Roman" w:cs="Times New Roman"/>
          <w:kern w:val="2"/>
          <w:szCs w:val="22"/>
        </w:rPr>
        <w:t>4,061.69</w:t>
      </w:r>
      <w:r w:rsidRPr="00DA3766">
        <w:rPr>
          <w:rFonts w:ascii="Times New Roman" w:hAnsi="Times New Roman" w:cs="Times New Roman"/>
          <w:kern w:val="2"/>
          <w:szCs w:val="22"/>
        </w:rPr>
        <w:t>万元、</w:t>
      </w:r>
      <w:r w:rsidRPr="00DA3766">
        <w:rPr>
          <w:rFonts w:ascii="Times New Roman" w:hAnsi="Times New Roman" w:cs="Times New Roman"/>
          <w:kern w:val="2"/>
          <w:szCs w:val="22"/>
        </w:rPr>
        <w:t>4,092.87</w:t>
      </w:r>
      <w:r w:rsidRPr="00DA3766">
        <w:rPr>
          <w:rFonts w:ascii="Times New Roman" w:hAnsi="Times New Roman" w:cs="Times New Roman"/>
          <w:kern w:val="2"/>
          <w:szCs w:val="22"/>
        </w:rPr>
        <w:t>万元和</w:t>
      </w:r>
      <w:r w:rsidRPr="00DA3766">
        <w:rPr>
          <w:rFonts w:ascii="Times New Roman" w:hAnsi="Times New Roman" w:cs="Times New Roman"/>
          <w:kern w:val="2"/>
          <w:szCs w:val="22"/>
        </w:rPr>
        <w:t>2,371.18</w:t>
      </w:r>
      <w:r w:rsidRPr="00DA3766">
        <w:rPr>
          <w:rFonts w:ascii="Times New Roman" w:hAnsi="Times New Roman" w:cs="Times New Roman"/>
          <w:kern w:val="2"/>
          <w:szCs w:val="22"/>
        </w:rPr>
        <w:t>万元，总体相对稳定；未来按人均薪酬和人数预测。预测期内对销售人员的规模结合业务发展的计划考虑一定的人员增加，同时人均薪酬水平亦考虑一定的增长，具体情况如下：</w:t>
      </w:r>
    </w:p>
    <w:p w14:paraId="0CEF5D2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A24873D" w14:textId="77777777" w:rsidTr="00DA3766">
        <w:trPr>
          <w:trHeight w:val="397"/>
          <w:tblHeader/>
          <w:jc w:val="center"/>
        </w:trPr>
        <w:tc>
          <w:tcPr>
            <w:tcW w:w="1601" w:type="pct"/>
            <w:vMerge w:val="restart"/>
            <w:vAlign w:val="center"/>
          </w:tcPr>
          <w:p w14:paraId="55D49A5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5833111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4EDFB5F" w14:textId="77777777" w:rsidTr="00DA3766">
        <w:trPr>
          <w:trHeight w:val="397"/>
          <w:tblHeader/>
          <w:jc w:val="center"/>
        </w:trPr>
        <w:tc>
          <w:tcPr>
            <w:tcW w:w="1601" w:type="pct"/>
            <w:vMerge/>
            <w:vAlign w:val="center"/>
          </w:tcPr>
          <w:p w14:paraId="2664F2B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09C15D1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5A1CC45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1CA55C6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0ED5CB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8" w:type="pct"/>
            <w:vAlign w:val="center"/>
          </w:tcPr>
          <w:p w14:paraId="3ADDAA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1BD2FC3F" w14:textId="77777777" w:rsidTr="00DA3766">
        <w:trPr>
          <w:trHeight w:val="397"/>
          <w:jc w:val="center"/>
        </w:trPr>
        <w:tc>
          <w:tcPr>
            <w:tcW w:w="1601" w:type="pct"/>
            <w:vAlign w:val="center"/>
          </w:tcPr>
          <w:p w14:paraId="18D14C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3066D3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4,992.75</w:t>
            </w:r>
          </w:p>
        </w:tc>
        <w:tc>
          <w:tcPr>
            <w:tcW w:w="658" w:type="pct"/>
            <w:vAlign w:val="center"/>
          </w:tcPr>
          <w:p w14:paraId="73CB80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5,257.80</w:t>
            </w:r>
          </w:p>
        </w:tc>
        <w:tc>
          <w:tcPr>
            <w:tcW w:w="658" w:type="pct"/>
            <w:vAlign w:val="center"/>
          </w:tcPr>
          <w:p w14:paraId="610CB90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5,534.25</w:t>
            </w:r>
          </w:p>
        </w:tc>
        <w:tc>
          <w:tcPr>
            <w:tcW w:w="658" w:type="pct"/>
            <w:vAlign w:val="center"/>
          </w:tcPr>
          <w:p w14:paraId="402289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5,822.40</w:t>
            </w:r>
          </w:p>
        </w:tc>
        <w:tc>
          <w:tcPr>
            <w:tcW w:w="658" w:type="pct"/>
            <w:vAlign w:val="center"/>
          </w:tcPr>
          <w:p w14:paraId="07F34CB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5,997.60</w:t>
            </w:r>
          </w:p>
        </w:tc>
      </w:tr>
      <w:tr w:rsidR="00EB3B4C" w:rsidRPr="00DA3766" w14:paraId="628A2D6A" w14:textId="77777777" w:rsidTr="00DA3766">
        <w:trPr>
          <w:trHeight w:val="397"/>
          <w:jc w:val="center"/>
        </w:trPr>
        <w:tc>
          <w:tcPr>
            <w:tcW w:w="1601" w:type="pct"/>
            <w:vAlign w:val="center"/>
          </w:tcPr>
          <w:p w14:paraId="0823C8B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销售人员人数</w:t>
            </w:r>
          </w:p>
        </w:tc>
        <w:tc>
          <w:tcPr>
            <w:tcW w:w="768" w:type="pct"/>
            <w:vAlign w:val="center"/>
          </w:tcPr>
          <w:p w14:paraId="5FD7E7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225.00</w:t>
            </w:r>
          </w:p>
        </w:tc>
        <w:tc>
          <w:tcPr>
            <w:tcW w:w="658" w:type="pct"/>
            <w:vAlign w:val="center"/>
          </w:tcPr>
          <w:p w14:paraId="78D61D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230.00</w:t>
            </w:r>
          </w:p>
        </w:tc>
        <w:tc>
          <w:tcPr>
            <w:tcW w:w="658" w:type="pct"/>
            <w:vAlign w:val="center"/>
          </w:tcPr>
          <w:p w14:paraId="493127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235.00</w:t>
            </w:r>
          </w:p>
        </w:tc>
        <w:tc>
          <w:tcPr>
            <w:tcW w:w="658" w:type="pct"/>
            <w:vAlign w:val="center"/>
          </w:tcPr>
          <w:p w14:paraId="7DBE20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240.00</w:t>
            </w:r>
          </w:p>
        </w:tc>
        <w:tc>
          <w:tcPr>
            <w:tcW w:w="658" w:type="pct"/>
            <w:vAlign w:val="center"/>
          </w:tcPr>
          <w:p w14:paraId="01F657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240.00</w:t>
            </w:r>
          </w:p>
        </w:tc>
      </w:tr>
      <w:tr w:rsidR="00EB3B4C" w:rsidRPr="00DA3766" w14:paraId="16DB21AB" w14:textId="77777777" w:rsidTr="00DA3766">
        <w:trPr>
          <w:trHeight w:val="397"/>
          <w:jc w:val="center"/>
        </w:trPr>
        <w:tc>
          <w:tcPr>
            <w:tcW w:w="1601" w:type="pct"/>
            <w:vAlign w:val="center"/>
          </w:tcPr>
          <w:p w14:paraId="69FD30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3130D19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22.19</w:t>
            </w:r>
          </w:p>
        </w:tc>
        <w:tc>
          <w:tcPr>
            <w:tcW w:w="658" w:type="pct"/>
            <w:vAlign w:val="center"/>
          </w:tcPr>
          <w:p w14:paraId="38E4FB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22.86</w:t>
            </w:r>
          </w:p>
        </w:tc>
        <w:tc>
          <w:tcPr>
            <w:tcW w:w="658" w:type="pct"/>
            <w:vAlign w:val="center"/>
          </w:tcPr>
          <w:p w14:paraId="439CA39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23.55</w:t>
            </w:r>
          </w:p>
        </w:tc>
        <w:tc>
          <w:tcPr>
            <w:tcW w:w="658" w:type="pct"/>
            <w:vAlign w:val="center"/>
          </w:tcPr>
          <w:p w14:paraId="6B3BBF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24.26</w:t>
            </w:r>
          </w:p>
        </w:tc>
        <w:tc>
          <w:tcPr>
            <w:tcW w:w="658" w:type="pct"/>
            <w:vAlign w:val="center"/>
          </w:tcPr>
          <w:p w14:paraId="6E1E2E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24.99</w:t>
            </w:r>
          </w:p>
        </w:tc>
      </w:tr>
      <w:tr w:rsidR="00EB3B4C" w:rsidRPr="00DA3766" w14:paraId="00B83561" w14:textId="77777777" w:rsidTr="00DA3766">
        <w:trPr>
          <w:trHeight w:val="397"/>
          <w:jc w:val="center"/>
        </w:trPr>
        <w:tc>
          <w:tcPr>
            <w:tcW w:w="1601" w:type="pct"/>
            <w:vAlign w:val="center"/>
          </w:tcPr>
          <w:p w14:paraId="6FA753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013ECA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60DB55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769E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36A930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13BACF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5E47AB8" w14:textId="6F6E74AB"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公司业务规模增长，销售人员数量有所增加，职工薪酬相应提升，人均薪酬年增长率稳定。</w:t>
      </w:r>
    </w:p>
    <w:p w14:paraId="1944AC5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）市场推广费、服务费和业务招待费</w:t>
      </w:r>
    </w:p>
    <w:p w14:paraId="7A93DC6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报告期各期，标的公司市场推广费、服务费和业务招待费合计金额分别为</w:t>
      </w:r>
      <w:r w:rsidRPr="00DA3766">
        <w:rPr>
          <w:rFonts w:ascii="Times New Roman" w:hAnsi="Times New Roman" w:cs="Times New Roman"/>
          <w:kern w:val="2"/>
          <w:szCs w:val="22"/>
        </w:rPr>
        <w:t>3,510.52</w:t>
      </w:r>
      <w:r w:rsidRPr="00DA3766">
        <w:rPr>
          <w:rFonts w:ascii="Times New Roman" w:hAnsi="Times New Roman" w:cs="Times New Roman"/>
          <w:kern w:val="2"/>
          <w:szCs w:val="22"/>
        </w:rPr>
        <w:t>万元、</w:t>
      </w:r>
      <w:r w:rsidRPr="00DA3766">
        <w:rPr>
          <w:rFonts w:ascii="Times New Roman" w:hAnsi="Times New Roman" w:cs="Times New Roman"/>
          <w:kern w:val="2"/>
          <w:szCs w:val="22"/>
        </w:rPr>
        <w:t>2,503.13</w:t>
      </w:r>
      <w:r w:rsidRPr="00DA3766">
        <w:rPr>
          <w:rFonts w:ascii="Times New Roman" w:hAnsi="Times New Roman" w:cs="Times New Roman"/>
          <w:kern w:val="2"/>
          <w:szCs w:val="22"/>
        </w:rPr>
        <w:t>万元和</w:t>
      </w:r>
      <w:r w:rsidRPr="00DA3766">
        <w:rPr>
          <w:rFonts w:ascii="Times New Roman" w:hAnsi="Times New Roman" w:cs="Times New Roman"/>
          <w:kern w:val="2"/>
          <w:szCs w:val="22"/>
        </w:rPr>
        <w:t>1,100.60</w:t>
      </w:r>
      <w:r w:rsidRPr="00DA3766">
        <w:rPr>
          <w:rFonts w:ascii="Times New Roman" w:hAnsi="Times New Roman" w:cs="Times New Roman"/>
          <w:kern w:val="2"/>
          <w:szCs w:val="22"/>
        </w:rPr>
        <w:t>万元。</w:t>
      </w:r>
      <w:r w:rsidRPr="00DA3766">
        <w:rPr>
          <w:rFonts w:ascii="Times New Roman" w:hAnsi="Times New Roman" w:cs="Times New Roman"/>
          <w:kern w:val="2"/>
          <w:szCs w:val="22"/>
        </w:rPr>
        <w:t>2023</w:t>
      </w:r>
      <w:r w:rsidRPr="00DA3766">
        <w:rPr>
          <w:rFonts w:ascii="Times New Roman" w:hAnsi="Times New Roman" w:cs="Times New Roman"/>
          <w:kern w:val="2"/>
          <w:szCs w:val="22"/>
        </w:rPr>
        <w:t>年度市场推广费金额相对较</w:t>
      </w:r>
      <w:r w:rsidRPr="00DA3766">
        <w:rPr>
          <w:rFonts w:ascii="Times New Roman" w:hAnsi="Times New Roman" w:cs="Times New Roman"/>
          <w:kern w:val="2"/>
          <w:szCs w:val="22"/>
        </w:rPr>
        <w:lastRenderedPageBreak/>
        <w:t>高主要系标的公司加大对智慧生活等应用领域的市场推广力度所致；该类费用与企业的营业收入有较强的相关性，未来按一定的占收入比例预测，具体情况如下：</w:t>
      </w:r>
    </w:p>
    <w:p w14:paraId="157AEC48"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80"/>
        <w:gridCol w:w="1412"/>
        <w:gridCol w:w="1209"/>
        <w:gridCol w:w="1209"/>
        <w:gridCol w:w="1209"/>
        <w:gridCol w:w="1209"/>
      </w:tblGrid>
      <w:tr w:rsidR="00EB3B4C" w:rsidRPr="00DA3766" w14:paraId="62841A49" w14:textId="77777777" w:rsidTr="00DA3766">
        <w:trPr>
          <w:trHeight w:val="397"/>
          <w:tblHeader/>
          <w:jc w:val="center"/>
        </w:trPr>
        <w:tc>
          <w:tcPr>
            <w:tcW w:w="1336" w:type="pct"/>
            <w:vMerge w:val="restart"/>
            <w:vAlign w:val="center"/>
          </w:tcPr>
          <w:p w14:paraId="27C734B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664" w:type="pct"/>
            <w:gridSpan w:val="5"/>
            <w:vAlign w:val="center"/>
          </w:tcPr>
          <w:p w14:paraId="203D161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404E06D" w14:textId="77777777" w:rsidTr="00DA3766">
        <w:trPr>
          <w:trHeight w:val="397"/>
          <w:tblHeader/>
          <w:jc w:val="center"/>
        </w:trPr>
        <w:tc>
          <w:tcPr>
            <w:tcW w:w="1336" w:type="pct"/>
            <w:vMerge/>
            <w:vAlign w:val="center"/>
          </w:tcPr>
          <w:p w14:paraId="00F13E6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28" w:type="pct"/>
            <w:vAlign w:val="center"/>
          </w:tcPr>
          <w:p w14:paraId="41F3039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年度</w:t>
            </w:r>
          </w:p>
        </w:tc>
        <w:tc>
          <w:tcPr>
            <w:tcW w:w="709" w:type="pct"/>
            <w:vAlign w:val="center"/>
          </w:tcPr>
          <w:p w14:paraId="22DE082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年度</w:t>
            </w:r>
          </w:p>
        </w:tc>
        <w:tc>
          <w:tcPr>
            <w:tcW w:w="709" w:type="pct"/>
            <w:vAlign w:val="center"/>
          </w:tcPr>
          <w:p w14:paraId="3AEBCA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年度</w:t>
            </w:r>
          </w:p>
        </w:tc>
        <w:tc>
          <w:tcPr>
            <w:tcW w:w="709" w:type="pct"/>
            <w:vAlign w:val="center"/>
          </w:tcPr>
          <w:p w14:paraId="02BE1CF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年度</w:t>
            </w:r>
          </w:p>
        </w:tc>
        <w:tc>
          <w:tcPr>
            <w:tcW w:w="710" w:type="pct"/>
            <w:vAlign w:val="center"/>
          </w:tcPr>
          <w:p w14:paraId="526ABDE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年度</w:t>
            </w:r>
          </w:p>
        </w:tc>
      </w:tr>
      <w:tr w:rsidR="00EB3B4C" w:rsidRPr="00DA3766" w14:paraId="67E70C09" w14:textId="77777777" w:rsidTr="00DA3766">
        <w:trPr>
          <w:trHeight w:val="397"/>
          <w:jc w:val="center"/>
        </w:trPr>
        <w:tc>
          <w:tcPr>
            <w:tcW w:w="1336" w:type="pct"/>
            <w:vAlign w:val="center"/>
          </w:tcPr>
          <w:p w14:paraId="2A2290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、市场推广费</w:t>
            </w:r>
          </w:p>
        </w:tc>
        <w:tc>
          <w:tcPr>
            <w:tcW w:w="828" w:type="pct"/>
            <w:vAlign w:val="center"/>
          </w:tcPr>
          <w:p w14:paraId="0B080B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2,099.50</w:t>
            </w:r>
          </w:p>
        </w:tc>
        <w:tc>
          <w:tcPr>
            <w:tcW w:w="709" w:type="pct"/>
            <w:vAlign w:val="center"/>
          </w:tcPr>
          <w:p w14:paraId="4EB9D28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2,242.98</w:t>
            </w:r>
          </w:p>
        </w:tc>
        <w:tc>
          <w:tcPr>
            <w:tcW w:w="709" w:type="pct"/>
            <w:vAlign w:val="center"/>
          </w:tcPr>
          <w:p w14:paraId="49CD4B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2,371.26</w:t>
            </w:r>
          </w:p>
        </w:tc>
        <w:tc>
          <w:tcPr>
            <w:tcW w:w="709" w:type="pct"/>
            <w:vAlign w:val="center"/>
          </w:tcPr>
          <w:p w14:paraId="63CB91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2,479.04</w:t>
            </w:r>
          </w:p>
        </w:tc>
        <w:tc>
          <w:tcPr>
            <w:tcW w:w="710" w:type="pct"/>
            <w:vAlign w:val="center"/>
          </w:tcPr>
          <w:p w14:paraId="139C22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2,569.99</w:t>
            </w:r>
          </w:p>
        </w:tc>
      </w:tr>
      <w:tr w:rsidR="00EB3B4C" w:rsidRPr="00DA3766" w14:paraId="0F9C9DF1" w14:textId="77777777" w:rsidTr="00DA3766">
        <w:trPr>
          <w:trHeight w:val="397"/>
          <w:jc w:val="center"/>
        </w:trPr>
        <w:tc>
          <w:tcPr>
            <w:tcW w:w="1336" w:type="pct"/>
            <w:vAlign w:val="center"/>
          </w:tcPr>
          <w:p w14:paraId="25C59C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29183F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224674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03DF9B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346AAE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10" w:type="pct"/>
            <w:vAlign w:val="center"/>
          </w:tcPr>
          <w:p w14:paraId="7BAF4F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r>
      <w:tr w:rsidR="00EB3B4C" w:rsidRPr="00DA3766" w14:paraId="599AF23F" w14:textId="77777777" w:rsidTr="00DA3766">
        <w:trPr>
          <w:trHeight w:val="397"/>
          <w:jc w:val="center"/>
        </w:trPr>
        <w:tc>
          <w:tcPr>
            <w:tcW w:w="1336" w:type="pct"/>
            <w:vAlign w:val="center"/>
          </w:tcPr>
          <w:p w14:paraId="0663D1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、办公及差旅费</w:t>
            </w:r>
          </w:p>
        </w:tc>
        <w:tc>
          <w:tcPr>
            <w:tcW w:w="828" w:type="pct"/>
            <w:vAlign w:val="center"/>
          </w:tcPr>
          <w:p w14:paraId="3E799E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472.39</w:t>
            </w:r>
          </w:p>
        </w:tc>
        <w:tc>
          <w:tcPr>
            <w:tcW w:w="709" w:type="pct"/>
            <w:vAlign w:val="center"/>
          </w:tcPr>
          <w:p w14:paraId="5AB63B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504.67</w:t>
            </w:r>
          </w:p>
        </w:tc>
        <w:tc>
          <w:tcPr>
            <w:tcW w:w="709" w:type="pct"/>
            <w:vAlign w:val="center"/>
          </w:tcPr>
          <w:p w14:paraId="1C091F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533.53</w:t>
            </w:r>
          </w:p>
        </w:tc>
        <w:tc>
          <w:tcPr>
            <w:tcW w:w="709" w:type="pct"/>
            <w:vAlign w:val="center"/>
          </w:tcPr>
          <w:p w14:paraId="251743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557.78</w:t>
            </w:r>
          </w:p>
        </w:tc>
        <w:tc>
          <w:tcPr>
            <w:tcW w:w="710" w:type="pct"/>
            <w:vAlign w:val="center"/>
          </w:tcPr>
          <w:p w14:paraId="0887B7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578.25</w:t>
            </w:r>
          </w:p>
        </w:tc>
      </w:tr>
      <w:tr w:rsidR="00EB3B4C" w:rsidRPr="00DA3766" w14:paraId="63A7308B" w14:textId="77777777" w:rsidTr="00DA3766">
        <w:trPr>
          <w:trHeight w:val="397"/>
          <w:jc w:val="center"/>
        </w:trPr>
        <w:tc>
          <w:tcPr>
            <w:tcW w:w="1336" w:type="pct"/>
            <w:vAlign w:val="center"/>
          </w:tcPr>
          <w:p w14:paraId="284C454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110AD8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6826AE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2F0AD0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4CDC1D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10" w:type="pct"/>
            <w:vAlign w:val="center"/>
          </w:tcPr>
          <w:p w14:paraId="33551F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r>
      <w:tr w:rsidR="00EB3B4C" w:rsidRPr="00DA3766" w14:paraId="61EFD084" w14:textId="77777777" w:rsidTr="00DA3766">
        <w:trPr>
          <w:trHeight w:val="397"/>
          <w:jc w:val="center"/>
        </w:trPr>
        <w:tc>
          <w:tcPr>
            <w:tcW w:w="1336" w:type="pct"/>
            <w:vAlign w:val="center"/>
          </w:tcPr>
          <w:p w14:paraId="1FFE2E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、服务费</w:t>
            </w:r>
          </w:p>
        </w:tc>
        <w:tc>
          <w:tcPr>
            <w:tcW w:w="828" w:type="pct"/>
            <w:vAlign w:val="center"/>
          </w:tcPr>
          <w:p w14:paraId="75513E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157.46</w:t>
            </w:r>
          </w:p>
        </w:tc>
        <w:tc>
          <w:tcPr>
            <w:tcW w:w="709" w:type="pct"/>
            <w:vAlign w:val="center"/>
          </w:tcPr>
          <w:p w14:paraId="48E008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168.22</w:t>
            </w:r>
          </w:p>
        </w:tc>
        <w:tc>
          <w:tcPr>
            <w:tcW w:w="709" w:type="pct"/>
            <w:vAlign w:val="center"/>
          </w:tcPr>
          <w:p w14:paraId="55B54F8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177.84</w:t>
            </w:r>
          </w:p>
        </w:tc>
        <w:tc>
          <w:tcPr>
            <w:tcW w:w="709" w:type="pct"/>
            <w:vAlign w:val="center"/>
          </w:tcPr>
          <w:p w14:paraId="27B9F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185.93</w:t>
            </w:r>
          </w:p>
        </w:tc>
        <w:tc>
          <w:tcPr>
            <w:tcW w:w="710" w:type="pct"/>
            <w:vAlign w:val="center"/>
          </w:tcPr>
          <w:p w14:paraId="23B496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192.75</w:t>
            </w:r>
          </w:p>
        </w:tc>
      </w:tr>
      <w:tr w:rsidR="00EB3B4C" w:rsidRPr="00DA3766" w14:paraId="36985D7F" w14:textId="77777777" w:rsidTr="00DA3766">
        <w:trPr>
          <w:trHeight w:val="397"/>
          <w:jc w:val="center"/>
        </w:trPr>
        <w:tc>
          <w:tcPr>
            <w:tcW w:w="1336" w:type="pct"/>
            <w:vAlign w:val="center"/>
          </w:tcPr>
          <w:p w14:paraId="481F4D1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73DC5B5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67A914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5C82D6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2269BC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10" w:type="pct"/>
            <w:vAlign w:val="center"/>
          </w:tcPr>
          <w:p w14:paraId="4D75AD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r>
      <w:tr w:rsidR="00EB3B4C" w:rsidRPr="00DA3766" w14:paraId="50709326" w14:textId="77777777" w:rsidTr="00DA3766">
        <w:trPr>
          <w:trHeight w:val="397"/>
          <w:jc w:val="center"/>
        </w:trPr>
        <w:tc>
          <w:tcPr>
            <w:tcW w:w="1336" w:type="pct"/>
            <w:vAlign w:val="center"/>
          </w:tcPr>
          <w:p w14:paraId="0E479F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4</w:t>
            </w:r>
            <w:r w:rsidRPr="00DA3766">
              <w:rPr>
                <w:rFonts w:ascii="Times New Roman" w:hAnsi="Times New Roman" w:cs="Times New Roman"/>
                <w:b/>
                <w:color w:val="000000"/>
                <w:sz w:val="21"/>
              </w:rPr>
              <w:t>、业务招待费</w:t>
            </w:r>
          </w:p>
        </w:tc>
        <w:tc>
          <w:tcPr>
            <w:tcW w:w="828" w:type="pct"/>
            <w:vAlign w:val="center"/>
          </w:tcPr>
          <w:p w14:paraId="6CBC5E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183.71</w:t>
            </w:r>
          </w:p>
        </w:tc>
        <w:tc>
          <w:tcPr>
            <w:tcW w:w="709" w:type="pct"/>
            <w:vAlign w:val="center"/>
          </w:tcPr>
          <w:p w14:paraId="117EAA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196.26</w:t>
            </w:r>
          </w:p>
        </w:tc>
        <w:tc>
          <w:tcPr>
            <w:tcW w:w="709" w:type="pct"/>
            <w:vAlign w:val="center"/>
          </w:tcPr>
          <w:p w14:paraId="434CA3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207.49</w:t>
            </w:r>
          </w:p>
        </w:tc>
        <w:tc>
          <w:tcPr>
            <w:tcW w:w="709" w:type="pct"/>
            <w:vAlign w:val="center"/>
          </w:tcPr>
          <w:p w14:paraId="6E22CB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216.92</w:t>
            </w:r>
          </w:p>
        </w:tc>
        <w:tc>
          <w:tcPr>
            <w:tcW w:w="710" w:type="pct"/>
            <w:vAlign w:val="center"/>
          </w:tcPr>
          <w:p w14:paraId="47F300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224.87</w:t>
            </w:r>
          </w:p>
        </w:tc>
      </w:tr>
      <w:tr w:rsidR="00EB3B4C" w:rsidRPr="00DA3766" w14:paraId="02C2BC90" w14:textId="77777777" w:rsidTr="00DA3766">
        <w:trPr>
          <w:trHeight w:val="397"/>
          <w:jc w:val="center"/>
        </w:trPr>
        <w:tc>
          <w:tcPr>
            <w:tcW w:w="1336" w:type="pct"/>
            <w:vAlign w:val="center"/>
          </w:tcPr>
          <w:p w14:paraId="09CA0B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2714AB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5F074F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3690B2B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682535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10" w:type="pct"/>
            <w:vAlign w:val="center"/>
          </w:tcPr>
          <w:p w14:paraId="767BB4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r>
      <w:tr w:rsidR="00EB3B4C" w:rsidRPr="00DA3766" w14:paraId="629C0C29" w14:textId="77777777" w:rsidTr="00DA3766">
        <w:trPr>
          <w:trHeight w:val="397"/>
          <w:jc w:val="center"/>
        </w:trPr>
        <w:tc>
          <w:tcPr>
            <w:tcW w:w="1336" w:type="pct"/>
            <w:vAlign w:val="center"/>
          </w:tcPr>
          <w:p w14:paraId="03C8881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828" w:type="pct"/>
            <w:vAlign w:val="center"/>
          </w:tcPr>
          <w:p w14:paraId="3F1A12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2,913.06 </w:t>
            </w:r>
          </w:p>
        </w:tc>
        <w:tc>
          <w:tcPr>
            <w:tcW w:w="709" w:type="pct"/>
            <w:vAlign w:val="center"/>
          </w:tcPr>
          <w:p w14:paraId="663A48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3,112.13 </w:t>
            </w:r>
          </w:p>
        </w:tc>
        <w:tc>
          <w:tcPr>
            <w:tcW w:w="709" w:type="pct"/>
            <w:vAlign w:val="center"/>
          </w:tcPr>
          <w:p w14:paraId="64FD2B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3,290.12 </w:t>
            </w:r>
          </w:p>
        </w:tc>
        <w:tc>
          <w:tcPr>
            <w:tcW w:w="709" w:type="pct"/>
            <w:vAlign w:val="center"/>
          </w:tcPr>
          <w:p w14:paraId="5F6F1A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3,439.67 </w:t>
            </w:r>
          </w:p>
        </w:tc>
        <w:tc>
          <w:tcPr>
            <w:tcW w:w="710" w:type="pct"/>
            <w:vAlign w:val="center"/>
          </w:tcPr>
          <w:p w14:paraId="445096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3,565.86 </w:t>
            </w:r>
          </w:p>
        </w:tc>
      </w:tr>
      <w:tr w:rsidR="00EB3B4C" w:rsidRPr="00DA3766" w14:paraId="3A25BC15" w14:textId="77777777" w:rsidTr="00DA3766">
        <w:trPr>
          <w:trHeight w:val="397"/>
          <w:jc w:val="center"/>
        </w:trPr>
        <w:tc>
          <w:tcPr>
            <w:tcW w:w="1336" w:type="pct"/>
            <w:vAlign w:val="center"/>
          </w:tcPr>
          <w:p w14:paraId="178B662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59D99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0C4E75D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390C80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2F9AE6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10" w:type="pct"/>
            <w:vAlign w:val="center"/>
          </w:tcPr>
          <w:p w14:paraId="6480BED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r>
    </w:tbl>
    <w:p w14:paraId="54AD4F2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）折旧摊销</w:t>
      </w:r>
    </w:p>
    <w:p w14:paraId="17C1E5EE" w14:textId="3122885D"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标的公司销售费用中摊销及折旧主要包括销售人员使用的固定资产的折旧、使用权资产折旧以及无形资产摊销。报告期各期，标的公司摊销及折旧分别为</w:t>
      </w:r>
      <w:r w:rsidRPr="00872105">
        <w:rPr>
          <w:rFonts w:ascii="Times New Roman" w:hAnsi="Times New Roman" w:cs="Times New Roman" w:hint="eastAsia"/>
          <w:kern w:val="2"/>
          <w:szCs w:val="22"/>
        </w:rPr>
        <w:t>815.05</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547.40</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259.73</w:t>
      </w:r>
      <w:r w:rsidRPr="00872105">
        <w:rPr>
          <w:rFonts w:ascii="Times New Roman" w:hAnsi="Times New Roman" w:cs="Times New Roman" w:hint="eastAsia"/>
          <w:kern w:val="2"/>
          <w:szCs w:val="22"/>
        </w:rPr>
        <w:t>万元。本次评估对未来计入销售费用折旧摊销的长期资产按照未来各年的预计规模以及折旧和摊销年限进行预测。对于使用权资产折旧于本次预测期内全部调整为租金，合并进房租物业费进行测算，故预测期内（</w:t>
      </w:r>
      <w:r w:rsidRPr="00872105">
        <w:rPr>
          <w:rFonts w:ascii="Times New Roman" w:hAnsi="Times New Roman" w:cs="Times New Roman" w:hint="eastAsia"/>
          <w:kern w:val="2"/>
          <w:szCs w:val="22"/>
        </w:rPr>
        <w:t>2025</w:t>
      </w:r>
      <w:r w:rsidRPr="00872105">
        <w:rPr>
          <w:rFonts w:ascii="Times New Roman" w:hAnsi="Times New Roman" w:cs="Times New Roman" w:hint="eastAsia"/>
          <w:kern w:val="2"/>
          <w:szCs w:val="22"/>
        </w:rPr>
        <w:t>年</w:t>
      </w:r>
      <w:r w:rsidRPr="00872105">
        <w:rPr>
          <w:rFonts w:ascii="Times New Roman" w:hAnsi="Times New Roman" w:cs="Times New Roman" w:hint="eastAsia"/>
          <w:kern w:val="2"/>
          <w:szCs w:val="22"/>
        </w:rPr>
        <w:t>7-12</w:t>
      </w:r>
      <w:r w:rsidRPr="00872105">
        <w:rPr>
          <w:rFonts w:ascii="Times New Roman" w:hAnsi="Times New Roman" w:cs="Times New Roman" w:hint="eastAsia"/>
          <w:kern w:val="2"/>
          <w:szCs w:val="22"/>
        </w:rPr>
        <w:t>月及以后完整年度）均不再考虑使用权资产折旧的测算。具体情况如下</w:t>
      </w:r>
      <w:r w:rsidR="00EB3B4C" w:rsidRPr="00DA3766">
        <w:rPr>
          <w:rFonts w:ascii="Times New Roman" w:hAnsi="Times New Roman" w:cs="Times New Roman"/>
          <w:kern w:val="2"/>
          <w:szCs w:val="22"/>
        </w:rPr>
        <w:t>：</w:t>
      </w:r>
    </w:p>
    <w:p w14:paraId="049EAABD"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585"/>
        <w:gridCol w:w="1284"/>
        <w:gridCol w:w="1284"/>
        <w:gridCol w:w="1284"/>
        <w:gridCol w:w="1284"/>
      </w:tblGrid>
      <w:tr w:rsidR="00EB3B4C" w:rsidRPr="00DA3766" w14:paraId="2459C184" w14:textId="77777777" w:rsidTr="00DA3766">
        <w:trPr>
          <w:trHeight w:val="397"/>
          <w:tblHeader/>
          <w:jc w:val="center"/>
        </w:trPr>
        <w:tc>
          <w:tcPr>
            <w:tcW w:w="1059" w:type="pct"/>
            <w:vMerge w:val="restart"/>
            <w:vAlign w:val="center"/>
          </w:tcPr>
          <w:p w14:paraId="5608CE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941" w:type="pct"/>
            <w:gridSpan w:val="5"/>
            <w:vAlign w:val="center"/>
          </w:tcPr>
          <w:p w14:paraId="2AF56CC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0143B88F" w14:textId="77777777" w:rsidTr="00DA3766">
        <w:trPr>
          <w:trHeight w:val="397"/>
          <w:tblHeader/>
          <w:jc w:val="center"/>
        </w:trPr>
        <w:tc>
          <w:tcPr>
            <w:tcW w:w="1059" w:type="pct"/>
            <w:vMerge/>
            <w:vAlign w:val="center"/>
          </w:tcPr>
          <w:p w14:paraId="2261AE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929" w:type="pct"/>
            <w:vAlign w:val="center"/>
          </w:tcPr>
          <w:p w14:paraId="18717F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p>
        </w:tc>
        <w:tc>
          <w:tcPr>
            <w:tcW w:w="753" w:type="pct"/>
            <w:vAlign w:val="center"/>
          </w:tcPr>
          <w:p w14:paraId="553476F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53" w:type="pct"/>
            <w:vAlign w:val="center"/>
          </w:tcPr>
          <w:p w14:paraId="58C591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53" w:type="pct"/>
            <w:vAlign w:val="center"/>
          </w:tcPr>
          <w:p w14:paraId="2E6E305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53" w:type="pct"/>
            <w:vAlign w:val="center"/>
          </w:tcPr>
          <w:p w14:paraId="5441F4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5002F45F" w14:textId="77777777" w:rsidTr="00DA3766">
        <w:trPr>
          <w:trHeight w:val="397"/>
          <w:jc w:val="center"/>
        </w:trPr>
        <w:tc>
          <w:tcPr>
            <w:tcW w:w="1059" w:type="pct"/>
            <w:vAlign w:val="center"/>
          </w:tcPr>
          <w:p w14:paraId="1E0BE4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折旧和摊销</w:t>
            </w:r>
          </w:p>
        </w:tc>
        <w:tc>
          <w:tcPr>
            <w:tcW w:w="929" w:type="pct"/>
            <w:vAlign w:val="center"/>
          </w:tcPr>
          <w:p w14:paraId="49533F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401.76</w:t>
            </w:r>
          </w:p>
        </w:tc>
        <w:tc>
          <w:tcPr>
            <w:tcW w:w="753" w:type="pct"/>
            <w:vAlign w:val="center"/>
          </w:tcPr>
          <w:p w14:paraId="19C9BE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293.55</w:t>
            </w:r>
          </w:p>
        </w:tc>
        <w:tc>
          <w:tcPr>
            <w:tcW w:w="753" w:type="pct"/>
            <w:vAlign w:val="center"/>
          </w:tcPr>
          <w:p w14:paraId="6B9006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c>
          <w:tcPr>
            <w:tcW w:w="753" w:type="pct"/>
            <w:vAlign w:val="center"/>
          </w:tcPr>
          <w:p w14:paraId="0F6788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c>
          <w:tcPr>
            <w:tcW w:w="753" w:type="pct"/>
            <w:vAlign w:val="center"/>
          </w:tcPr>
          <w:p w14:paraId="11D914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r>
    </w:tbl>
    <w:p w14:paraId="1C65CB49"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）租金及物业费</w:t>
      </w:r>
    </w:p>
    <w:p w14:paraId="08348325" w14:textId="31EA7664"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租金及物业费系租赁办公经营场所的租金和物业费，根据现有租赁合同及未来新增租赁计划进行预测。租期内租金按合同约定租金测算，租期到期后续约租</w:t>
      </w:r>
      <w:r w:rsidRPr="00DA3766">
        <w:rPr>
          <w:rFonts w:ascii="Times New Roman" w:hAnsi="Times New Roman" w:cs="Times New Roman"/>
          <w:kern w:val="2"/>
          <w:szCs w:val="22"/>
        </w:rPr>
        <w:lastRenderedPageBreak/>
        <w:t>金按照一定增长率进行预测。经了解，目前</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公司租赁的办公经营场所已基本能满足未来发展需要，故未来不考虑新增租赁，维持现有租赁规模。</w:t>
      </w:r>
    </w:p>
    <w:p w14:paraId="6197CAD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4"/>
        <w:gridCol w:w="1532"/>
        <w:gridCol w:w="1240"/>
        <w:gridCol w:w="1240"/>
        <w:gridCol w:w="1240"/>
        <w:gridCol w:w="1242"/>
      </w:tblGrid>
      <w:tr w:rsidR="00EB3B4C" w:rsidRPr="00DA3766" w14:paraId="49D6A32E" w14:textId="77777777" w:rsidTr="00DA3766">
        <w:trPr>
          <w:trHeight w:val="397"/>
          <w:tblHeader/>
          <w:jc w:val="center"/>
        </w:trPr>
        <w:tc>
          <w:tcPr>
            <w:tcW w:w="1193" w:type="pct"/>
            <w:vMerge w:val="restart"/>
            <w:vAlign w:val="center"/>
          </w:tcPr>
          <w:p w14:paraId="174CFD3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807" w:type="pct"/>
            <w:gridSpan w:val="5"/>
            <w:vAlign w:val="center"/>
          </w:tcPr>
          <w:p w14:paraId="7F99C9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5E1CF484" w14:textId="77777777" w:rsidTr="00DA3766">
        <w:trPr>
          <w:trHeight w:val="397"/>
          <w:tblHeader/>
          <w:jc w:val="center"/>
        </w:trPr>
        <w:tc>
          <w:tcPr>
            <w:tcW w:w="1193" w:type="pct"/>
            <w:vMerge/>
            <w:vAlign w:val="center"/>
          </w:tcPr>
          <w:p w14:paraId="4A3EFD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8" w:type="pct"/>
            <w:vAlign w:val="center"/>
          </w:tcPr>
          <w:p w14:paraId="6DA0E5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p>
        </w:tc>
        <w:tc>
          <w:tcPr>
            <w:tcW w:w="727" w:type="pct"/>
            <w:vAlign w:val="center"/>
          </w:tcPr>
          <w:p w14:paraId="508DC5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27" w:type="pct"/>
            <w:vAlign w:val="center"/>
          </w:tcPr>
          <w:p w14:paraId="69D846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27" w:type="pct"/>
            <w:vAlign w:val="center"/>
          </w:tcPr>
          <w:p w14:paraId="29079B0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27" w:type="pct"/>
            <w:vAlign w:val="center"/>
          </w:tcPr>
          <w:p w14:paraId="23D283F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3CAE65CD" w14:textId="77777777" w:rsidTr="00DA3766">
        <w:trPr>
          <w:trHeight w:val="397"/>
          <w:jc w:val="center"/>
        </w:trPr>
        <w:tc>
          <w:tcPr>
            <w:tcW w:w="1193" w:type="pct"/>
            <w:vAlign w:val="center"/>
          </w:tcPr>
          <w:p w14:paraId="17DD53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租金及物业费</w:t>
            </w:r>
          </w:p>
        </w:tc>
        <w:tc>
          <w:tcPr>
            <w:tcW w:w="898" w:type="pct"/>
            <w:vAlign w:val="center"/>
          </w:tcPr>
          <w:p w14:paraId="20E1F65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172.32</w:t>
            </w:r>
          </w:p>
        </w:tc>
        <w:tc>
          <w:tcPr>
            <w:tcW w:w="727" w:type="pct"/>
            <w:vAlign w:val="center"/>
          </w:tcPr>
          <w:p w14:paraId="17B527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243.98</w:t>
            </w:r>
          </w:p>
        </w:tc>
        <w:tc>
          <w:tcPr>
            <w:tcW w:w="727" w:type="pct"/>
            <w:vAlign w:val="center"/>
          </w:tcPr>
          <w:p w14:paraId="1BC976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254.99</w:t>
            </w:r>
          </w:p>
        </w:tc>
        <w:tc>
          <w:tcPr>
            <w:tcW w:w="727" w:type="pct"/>
            <w:vAlign w:val="center"/>
          </w:tcPr>
          <w:p w14:paraId="1ACB711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261.59</w:t>
            </w:r>
          </w:p>
        </w:tc>
        <w:tc>
          <w:tcPr>
            <w:tcW w:w="727" w:type="pct"/>
            <w:vAlign w:val="center"/>
          </w:tcPr>
          <w:p w14:paraId="09BD42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268.39</w:t>
            </w:r>
          </w:p>
        </w:tc>
      </w:tr>
      <w:tr w:rsidR="00EB3B4C" w:rsidRPr="00DA3766" w14:paraId="4CD6B2D2" w14:textId="77777777" w:rsidTr="00DA3766">
        <w:trPr>
          <w:trHeight w:val="397"/>
          <w:jc w:val="center"/>
        </w:trPr>
        <w:tc>
          <w:tcPr>
            <w:tcW w:w="1193" w:type="pct"/>
            <w:vAlign w:val="center"/>
          </w:tcPr>
          <w:p w14:paraId="09842FC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98" w:type="pct"/>
            <w:vAlign w:val="center"/>
          </w:tcPr>
          <w:p w14:paraId="2F28E7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4F4581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387B47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6C68DF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0E5ACF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6396F5E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（二）管理费用主要明细项目的具体预测情况、过程及依据</w:t>
      </w:r>
    </w:p>
    <w:p w14:paraId="3164BA65"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、管理费用主要明细项目</w:t>
      </w:r>
    </w:p>
    <w:p w14:paraId="004F8AD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管理费用主要由职工薪酬及福利费、折旧摊销费用等构成。报告期各期，标的公司管理费用分别为</w:t>
      </w:r>
      <w:r w:rsidRPr="00DA3766">
        <w:rPr>
          <w:rFonts w:ascii="Times New Roman" w:hAnsi="Times New Roman" w:cs="Times New Roman"/>
          <w:kern w:val="2"/>
          <w:szCs w:val="22"/>
        </w:rPr>
        <w:t>5,480.91</w:t>
      </w:r>
      <w:r w:rsidRPr="00DA3766">
        <w:rPr>
          <w:rFonts w:ascii="Times New Roman" w:hAnsi="Times New Roman" w:cs="Times New Roman"/>
          <w:kern w:val="2"/>
          <w:szCs w:val="22"/>
        </w:rPr>
        <w:t>万元、</w:t>
      </w:r>
      <w:r w:rsidRPr="00DA3766">
        <w:rPr>
          <w:rFonts w:ascii="Times New Roman" w:hAnsi="Times New Roman" w:cs="Times New Roman"/>
          <w:kern w:val="2"/>
          <w:szCs w:val="22"/>
        </w:rPr>
        <w:t>5,380.82</w:t>
      </w:r>
      <w:r w:rsidRPr="00DA3766">
        <w:rPr>
          <w:rFonts w:ascii="Times New Roman" w:hAnsi="Times New Roman" w:cs="Times New Roman"/>
          <w:kern w:val="2"/>
          <w:szCs w:val="22"/>
        </w:rPr>
        <w:t>万元和</w:t>
      </w:r>
      <w:r w:rsidRPr="00DA3766">
        <w:rPr>
          <w:rFonts w:ascii="Times New Roman" w:hAnsi="Times New Roman" w:cs="Times New Roman"/>
          <w:kern w:val="2"/>
          <w:szCs w:val="22"/>
        </w:rPr>
        <w:t>2,698.73</w:t>
      </w:r>
      <w:r w:rsidRPr="00DA3766">
        <w:rPr>
          <w:rFonts w:ascii="Times New Roman" w:hAnsi="Times New Roman" w:cs="Times New Roman"/>
          <w:kern w:val="2"/>
          <w:szCs w:val="22"/>
        </w:rPr>
        <w:t>万元。具体情况如下：</w:t>
      </w:r>
    </w:p>
    <w:p w14:paraId="068EEF6B"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4"/>
        <w:gridCol w:w="1051"/>
        <w:gridCol w:w="1047"/>
        <w:gridCol w:w="1049"/>
        <w:gridCol w:w="1049"/>
        <w:gridCol w:w="1049"/>
        <w:gridCol w:w="1049"/>
      </w:tblGrid>
      <w:tr w:rsidR="00EB3B4C" w:rsidRPr="00DA3766" w14:paraId="6ED08D51" w14:textId="77777777" w:rsidTr="00DA3766">
        <w:trPr>
          <w:trHeight w:val="397"/>
          <w:tblHeader/>
          <w:jc w:val="center"/>
        </w:trPr>
        <w:tc>
          <w:tcPr>
            <w:tcW w:w="1310" w:type="pct"/>
            <w:vMerge w:val="restart"/>
            <w:tcMar>
              <w:top w:w="0" w:type="dxa"/>
              <w:left w:w="108" w:type="dxa"/>
              <w:bottom w:w="0" w:type="dxa"/>
              <w:right w:w="108" w:type="dxa"/>
            </w:tcMar>
            <w:vAlign w:val="center"/>
          </w:tcPr>
          <w:p w14:paraId="34839904"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230" w:type="pct"/>
            <w:gridSpan w:val="2"/>
            <w:tcMar>
              <w:top w:w="0" w:type="dxa"/>
              <w:left w:w="108" w:type="dxa"/>
              <w:bottom w:w="0" w:type="dxa"/>
              <w:right w:w="108" w:type="dxa"/>
            </w:tcMar>
            <w:vAlign w:val="center"/>
          </w:tcPr>
          <w:p w14:paraId="3791F8B2"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30" w:type="pct"/>
            <w:gridSpan w:val="2"/>
            <w:tcMar>
              <w:top w:w="0" w:type="dxa"/>
              <w:left w:w="108" w:type="dxa"/>
              <w:bottom w:w="0" w:type="dxa"/>
              <w:right w:w="108" w:type="dxa"/>
            </w:tcMar>
            <w:vAlign w:val="center"/>
          </w:tcPr>
          <w:p w14:paraId="75FE87D6"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30" w:type="pct"/>
            <w:gridSpan w:val="2"/>
            <w:tcMar>
              <w:top w:w="0" w:type="dxa"/>
              <w:left w:w="108" w:type="dxa"/>
              <w:bottom w:w="0" w:type="dxa"/>
              <w:right w:w="108" w:type="dxa"/>
            </w:tcMar>
            <w:vAlign w:val="center"/>
          </w:tcPr>
          <w:p w14:paraId="40AE03B2"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6CC34687" w14:textId="77777777" w:rsidTr="00DA3766">
        <w:trPr>
          <w:trHeight w:val="397"/>
          <w:tblHeader/>
          <w:jc w:val="center"/>
        </w:trPr>
        <w:tc>
          <w:tcPr>
            <w:tcW w:w="0" w:type="auto"/>
            <w:vMerge/>
            <w:tcMar>
              <w:top w:w="0" w:type="dxa"/>
              <w:left w:w="108" w:type="dxa"/>
              <w:bottom w:w="0" w:type="dxa"/>
              <w:right w:w="108" w:type="dxa"/>
            </w:tcMar>
            <w:vAlign w:val="center"/>
          </w:tcPr>
          <w:p w14:paraId="51CA4B7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16" w:type="pct"/>
            <w:tcMar>
              <w:top w:w="0" w:type="dxa"/>
              <w:left w:w="108" w:type="dxa"/>
              <w:bottom w:w="0" w:type="dxa"/>
              <w:right w:w="108" w:type="dxa"/>
            </w:tcMar>
            <w:vAlign w:val="center"/>
          </w:tcPr>
          <w:p w14:paraId="58BE1BE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4" w:type="pct"/>
            <w:tcMar>
              <w:top w:w="0" w:type="dxa"/>
              <w:left w:w="108" w:type="dxa"/>
              <w:bottom w:w="0" w:type="dxa"/>
              <w:right w:w="108" w:type="dxa"/>
            </w:tcMar>
            <w:vAlign w:val="center"/>
          </w:tcPr>
          <w:p w14:paraId="10422B1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15" w:type="pct"/>
            <w:tcMar>
              <w:top w:w="0" w:type="dxa"/>
              <w:left w:w="108" w:type="dxa"/>
              <w:bottom w:w="0" w:type="dxa"/>
              <w:right w:w="108" w:type="dxa"/>
            </w:tcMar>
            <w:vAlign w:val="center"/>
          </w:tcPr>
          <w:p w14:paraId="557AE81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5" w:type="pct"/>
            <w:tcMar>
              <w:top w:w="0" w:type="dxa"/>
              <w:left w:w="108" w:type="dxa"/>
              <w:bottom w:w="0" w:type="dxa"/>
              <w:right w:w="108" w:type="dxa"/>
            </w:tcMar>
            <w:vAlign w:val="center"/>
          </w:tcPr>
          <w:p w14:paraId="6726AE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15" w:type="pct"/>
            <w:tcMar>
              <w:top w:w="0" w:type="dxa"/>
              <w:left w:w="108" w:type="dxa"/>
              <w:bottom w:w="0" w:type="dxa"/>
              <w:right w:w="108" w:type="dxa"/>
            </w:tcMar>
            <w:vAlign w:val="center"/>
          </w:tcPr>
          <w:p w14:paraId="51EFC7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5" w:type="pct"/>
            <w:tcMar>
              <w:top w:w="0" w:type="dxa"/>
              <w:left w:w="108" w:type="dxa"/>
              <w:bottom w:w="0" w:type="dxa"/>
              <w:right w:w="108" w:type="dxa"/>
            </w:tcMar>
            <w:vAlign w:val="center"/>
          </w:tcPr>
          <w:p w14:paraId="76BA866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1BD8EBE5" w14:textId="77777777" w:rsidTr="00DA3766">
        <w:trPr>
          <w:trHeight w:val="397"/>
          <w:jc w:val="center"/>
        </w:trPr>
        <w:tc>
          <w:tcPr>
            <w:tcW w:w="1310" w:type="pct"/>
            <w:tcMar>
              <w:top w:w="0" w:type="dxa"/>
              <w:left w:w="108" w:type="dxa"/>
              <w:bottom w:w="0" w:type="dxa"/>
              <w:right w:w="108" w:type="dxa"/>
            </w:tcMar>
            <w:vAlign w:val="center"/>
          </w:tcPr>
          <w:p w14:paraId="1A75A7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职工薪酬及福利费</w:t>
            </w:r>
          </w:p>
        </w:tc>
        <w:tc>
          <w:tcPr>
            <w:tcW w:w="616" w:type="pct"/>
            <w:tcMar>
              <w:top w:w="0" w:type="dxa"/>
              <w:left w:w="108" w:type="dxa"/>
              <w:bottom w:w="0" w:type="dxa"/>
              <w:right w:w="108" w:type="dxa"/>
            </w:tcMar>
            <w:vAlign w:val="center"/>
          </w:tcPr>
          <w:p w14:paraId="2EB6E9F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1,917.35</w:t>
            </w:r>
          </w:p>
        </w:tc>
        <w:tc>
          <w:tcPr>
            <w:tcW w:w="614" w:type="pct"/>
            <w:tcMar>
              <w:top w:w="0" w:type="dxa"/>
              <w:left w:w="108" w:type="dxa"/>
              <w:bottom w:w="0" w:type="dxa"/>
              <w:right w:w="108" w:type="dxa"/>
            </w:tcMar>
            <w:vAlign w:val="center"/>
          </w:tcPr>
          <w:p w14:paraId="3A3A602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71.05%</w:t>
            </w:r>
          </w:p>
        </w:tc>
        <w:tc>
          <w:tcPr>
            <w:tcW w:w="615" w:type="pct"/>
            <w:tcMar>
              <w:top w:w="0" w:type="dxa"/>
              <w:left w:w="108" w:type="dxa"/>
              <w:bottom w:w="0" w:type="dxa"/>
              <w:right w:w="108" w:type="dxa"/>
            </w:tcMar>
            <w:vAlign w:val="center"/>
          </w:tcPr>
          <w:p w14:paraId="6C88881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3,686.04</w:t>
            </w:r>
          </w:p>
        </w:tc>
        <w:tc>
          <w:tcPr>
            <w:tcW w:w="615" w:type="pct"/>
            <w:tcMar>
              <w:top w:w="0" w:type="dxa"/>
              <w:left w:w="108" w:type="dxa"/>
              <w:bottom w:w="0" w:type="dxa"/>
              <w:right w:w="108" w:type="dxa"/>
            </w:tcMar>
            <w:vAlign w:val="center"/>
          </w:tcPr>
          <w:p w14:paraId="4CD8FFB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68.50%</w:t>
            </w:r>
          </w:p>
        </w:tc>
        <w:tc>
          <w:tcPr>
            <w:tcW w:w="615" w:type="pct"/>
            <w:tcMar>
              <w:top w:w="0" w:type="dxa"/>
              <w:left w:w="108" w:type="dxa"/>
              <w:bottom w:w="0" w:type="dxa"/>
              <w:right w:w="108" w:type="dxa"/>
            </w:tcMar>
            <w:vAlign w:val="center"/>
          </w:tcPr>
          <w:p w14:paraId="3BD60B8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3,600.91</w:t>
            </w:r>
          </w:p>
        </w:tc>
        <w:tc>
          <w:tcPr>
            <w:tcW w:w="615" w:type="pct"/>
            <w:tcMar>
              <w:top w:w="0" w:type="dxa"/>
              <w:left w:w="108" w:type="dxa"/>
              <w:bottom w:w="0" w:type="dxa"/>
              <w:right w:w="108" w:type="dxa"/>
            </w:tcMar>
            <w:vAlign w:val="center"/>
          </w:tcPr>
          <w:p w14:paraId="1D853F45"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65.70%</w:t>
            </w:r>
          </w:p>
        </w:tc>
      </w:tr>
      <w:tr w:rsidR="00EB3B4C" w:rsidRPr="00DA3766" w14:paraId="14A2F433" w14:textId="77777777" w:rsidTr="00DA3766">
        <w:trPr>
          <w:trHeight w:val="397"/>
          <w:jc w:val="center"/>
        </w:trPr>
        <w:tc>
          <w:tcPr>
            <w:tcW w:w="1310" w:type="pct"/>
            <w:tcMar>
              <w:top w:w="0" w:type="dxa"/>
              <w:left w:w="108" w:type="dxa"/>
              <w:bottom w:w="0" w:type="dxa"/>
              <w:right w:w="108" w:type="dxa"/>
            </w:tcMar>
            <w:vAlign w:val="center"/>
          </w:tcPr>
          <w:p w14:paraId="6BDE82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折旧摊销费用</w:t>
            </w:r>
          </w:p>
        </w:tc>
        <w:tc>
          <w:tcPr>
            <w:tcW w:w="616" w:type="pct"/>
            <w:tcMar>
              <w:top w:w="0" w:type="dxa"/>
              <w:left w:w="108" w:type="dxa"/>
              <w:bottom w:w="0" w:type="dxa"/>
              <w:right w:w="108" w:type="dxa"/>
            </w:tcMar>
            <w:vAlign w:val="center"/>
          </w:tcPr>
          <w:p w14:paraId="522E946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223.96</w:t>
            </w:r>
          </w:p>
        </w:tc>
        <w:tc>
          <w:tcPr>
            <w:tcW w:w="614" w:type="pct"/>
            <w:tcMar>
              <w:top w:w="0" w:type="dxa"/>
              <w:left w:w="108" w:type="dxa"/>
              <w:bottom w:w="0" w:type="dxa"/>
              <w:right w:w="108" w:type="dxa"/>
            </w:tcMar>
            <w:vAlign w:val="center"/>
          </w:tcPr>
          <w:p w14:paraId="600092E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8.30%</w:t>
            </w:r>
          </w:p>
        </w:tc>
        <w:tc>
          <w:tcPr>
            <w:tcW w:w="615" w:type="pct"/>
            <w:tcMar>
              <w:top w:w="0" w:type="dxa"/>
              <w:left w:w="108" w:type="dxa"/>
              <w:bottom w:w="0" w:type="dxa"/>
              <w:right w:w="108" w:type="dxa"/>
            </w:tcMar>
            <w:vAlign w:val="center"/>
          </w:tcPr>
          <w:p w14:paraId="111187E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544.64</w:t>
            </w:r>
          </w:p>
        </w:tc>
        <w:tc>
          <w:tcPr>
            <w:tcW w:w="615" w:type="pct"/>
            <w:tcMar>
              <w:top w:w="0" w:type="dxa"/>
              <w:left w:w="108" w:type="dxa"/>
              <w:bottom w:w="0" w:type="dxa"/>
              <w:right w:w="108" w:type="dxa"/>
            </w:tcMar>
            <w:vAlign w:val="center"/>
          </w:tcPr>
          <w:p w14:paraId="68989CA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10.12%</w:t>
            </w:r>
          </w:p>
        </w:tc>
        <w:tc>
          <w:tcPr>
            <w:tcW w:w="615" w:type="pct"/>
            <w:tcMar>
              <w:top w:w="0" w:type="dxa"/>
              <w:left w:w="108" w:type="dxa"/>
              <w:bottom w:w="0" w:type="dxa"/>
              <w:right w:w="108" w:type="dxa"/>
            </w:tcMar>
            <w:vAlign w:val="center"/>
          </w:tcPr>
          <w:p w14:paraId="41BDF7A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802.64</w:t>
            </w:r>
          </w:p>
        </w:tc>
        <w:tc>
          <w:tcPr>
            <w:tcW w:w="615" w:type="pct"/>
            <w:tcMar>
              <w:top w:w="0" w:type="dxa"/>
              <w:left w:w="108" w:type="dxa"/>
              <w:bottom w:w="0" w:type="dxa"/>
              <w:right w:w="108" w:type="dxa"/>
            </w:tcMar>
            <w:vAlign w:val="center"/>
          </w:tcPr>
          <w:p w14:paraId="2FD189D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14.64%</w:t>
            </w:r>
          </w:p>
        </w:tc>
      </w:tr>
      <w:tr w:rsidR="00EB3B4C" w:rsidRPr="00DA3766" w14:paraId="4ACE7AF4" w14:textId="77777777" w:rsidTr="00DA3766">
        <w:trPr>
          <w:trHeight w:val="397"/>
          <w:jc w:val="center"/>
        </w:trPr>
        <w:tc>
          <w:tcPr>
            <w:tcW w:w="1310" w:type="pct"/>
            <w:tcMar>
              <w:top w:w="0" w:type="dxa"/>
              <w:left w:w="108" w:type="dxa"/>
              <w:bottom w:w="0" w:type="dxa"/>
              <w:right w:w="108" w:type="dxa"/>
            </w:tcMar>
            <w:vAlign w:val="center"/>
          </w:tcPr>
          <w:p w14:paraId="4A7F07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办公场所及设施费用</w:t>
            </w:r>
          </w:p>
        </w:tc>
        <w:tc>
          <w:tcPr>
            <w:tcW w:w="616" w:type="pct"/>
            <w:tcMar>
              <w:top w:w="0" w:type="dxa"/>
              <w:left w:w="108" w:type="dxa"/>
              <w:bottom w:w="0" w:type="dxa"/>
              <w:right w:w="108" w:type="dxa"/>
            </w:tcMar>
            <w:vAlign w:val="center"/>
          </w:tcPr>
          <w:p w14:paraId="0645B0A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164.91</w:t>
            </w:r>
          </w:p>
        </w:tc>
        <w:tc>
          <w:tcPr>
            <w:tcW w:w="614" w:type="pct"/>
            <w:tcMar>
              <w:top w:w="0" w:type="dxa"/>
              <w:left w:w="108" w:type="dxa"/>
              <w:bottom w:w="0" w:type="dxa"/>
              <w:right w:w="108" w:type="dxa"/>
            </w:tcMar>
            <w:vAlign w:val="center"/>
          </w:tcPr>
          <w:p w14:paraId="3A96324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6.11%</w:t>
            </w:r>
          </w:p>
        </w:tc>
        <w:tc>
          <w:tcPr>
            <w:tcW w:w="615" w:type="pct"/>
            <w:tcMar>
              <w:top w:w="0" w:type="dxa"/>
              <w:left w:w="108" w:type="dxa"/>
              <w:bottom w:w="0" w:type="dxa"/>
              <w:right w:w="108" w:type="dxa"/>
            </w:tcMar>
            <w:vAlign w:val="center"/>
          </w:tcPr>
          <w:p w14:paraId="2F12EE0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312.29</w:t>
            </w:r>
          </w:p>
        </w:tc>
        <w:tc>
          <w:tcPr>
            <w:tcW w:w="615" w:type="pct"/>
            <w:tcMar>
              <w:top w:w="0" w:type="dxa"/>
              <w:left w:w="108" w:type="dxa"/>
              <w:bottom w:w="0" w:type="dxa"/>
              <w:right w:w="108" w:type="dxa"/>
            </w:tcMar>
            <w:vAlign w:val="center"/>
          </w:tcPr>
          <w:p w14:paraId="0442A3D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5.80%</w:t>
            </w:r>
          </w:p>
        </w:tc>
        <w:tc>
          <w:tcPr>
            <w:tcW w:w="615" w:type="pct"/>
            <w:tcMar>
              <w:top w:w="0" w:type="dxa"/>
              <w:left w:w="108" w:type="dxa"/>
              <w:bottom w:w="0" w:type="dxa"/>
              <w:right w:w="108" w:type="dxa"/>
            </w:tcMar>
            <w:vAlign w:val="center"/>
          </w:tcPr>
          <w:p w14:paraId="0B9531E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304.60</w:t>
            </w:r>
          </w:p>
        </w:tc>
        <w:tc>
          <w:tcPr>
            <w:tcW w:w="615" w:type="pct"/>
            <w:tcMar>
              <w:top w:w="0" w:type="dxa"/>
              <w:left w:w="108" w:type="dxa"/>
              <w:bottom w:w="0" w:type="dxa"/>
              <w:right w:w="108" w:type="dxa"/>
            </w:tcMar>
            <w:vAlign w:val="center"/>
          </w:tcPr>
          <w:p w14:paraId="75A80B8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5.56%</w:t>
            </w:r>
          </w:p>
        </w:tc>
      </w:tr>
      <w:tr w:rsidR="00EB3B4C" w:rsidRPr="00DA3766" w14:paraId="64E6BBEC" w14:textId="77777777" w:rsidTr="00DA3766">
        <w:trPr>
          <w:trHeight w:val="397"/>
          <w:jc w:val="center"/>
        </w:trPr>
        <w:tc>
          <w:tcPr>
            <w:tcW w:w="1310" w:type="pct"/>
            <w:tcMar>
              <w:top w:w="0" w:type="dxa"/>
              <w:left w:w="108" w:type="dxa"/>
              <w:bottom w:w="0" w:type="dxa"/>
              <w:right w:w="108" w:type="dxa"/>
            </w:tcMar>
            <w:vAlign w:val="center"/>
          </w:tcPr>
          <w:p w14:paraId="6E4FBE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专业服务与咨询费用</w:t>
            </w:r>
          </w:p>
        </w:tc>
        <w:tc>
          <w:tcPr>
            <w:tcW w:w="616" w:type="pct"/>
            <w:tcMar>
              <w:top w:w="0" w:type="dxa"/>
              <w:left w:w="108" w:type="dxa"/>
              <w:bottom w:w="0" w:type="dxa"/>
              <w:right w:w="108" w:type="dxa"/>
            </w:tcMar>
            <w:vAlign w:val="center"/>
          </w:tcPr>
          <w:p w14:paraId="045A883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152.98</w:t>
            </w:r>
          </w:p>
        </w:tc>
        <w:tc>
          <w:tcPr>
            <w:tcW w:w="614" w:type="pct"/>
            <w:tcMar>
              <w:top w:w="0" w:type="dxa"/>
              <w:left w:w="108" w:type="dxa"/>
              <w:bottom w:w="0" w:type="dxa"/>
              <w:right w:w="108" w:type="dxa"/>
            </w:tcMar>
            <w:vAlign w:val="center"/>
          </w:tcPr>
          <w:p w14:paraId="2028951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5.67%</w:t>
            </w:r>
          </w:p>
        </w:tc>
        <w:tc>
          <w:tcPr>
            <w:tcW w:w="615" w:type="pct"/>
            <w:tcMar>
              <w:top w:w="0" w:type="dxa"/>
              <w:left w:w="108" w:type="dxa"/>
              <w:bottom w:w="0" w:type="dxa"/>
              <w:right w:w="108" w:type="dxa"/>
            </w:tcMar>
            <w:vAlign w:val="center"/>
          </w:tcPr>
          <w:p w14:paraId="4FECC8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301.29</w:t>
            </w:r>
          </w:p>
        </w:tc>
        <w:tc>
          <w:tcPr>
            <w:tcW w:w="615" w:type="pct"/>
            <w:tcMar>
              <w:top w:w="0" w:type="dxa"/>
              <w:left w:w="108" w:type="dxa"/>
              <w:bottom w:w="0" w:type="dxa"/>
              <w:right w:w="108" w:type="dxa"/>
            </w:tcMar>
            <w:vAlign w:val="center"/>
          </w:tcPr>
          <w:p w14:paraId="49CA6BB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5.60%</w:t>
            </w:r>
          </w:p>
        </w:tc>
        <w:tc>
          <w:tcPr>
            <w:tcW w:w="615" w:type="pct"/>
            <w:tcMar>
              <w:top w:w="0" w:type="dxa"/>
              <w:left w:w="108" w:type="dxa"/>
              <w:bottom w:w="0" w:type="dxa"/>
              <w:right w:w="108" w:type="dxa"/>
            </w:tcMar>
            <w:vAlign w:val="center"/>
          </w:tcPr>
          <w:p w14:paraId="7592C4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220.14</w:t>
            </w:r>
          </w:p>
        </w:tc>
        <w:tc>
          <w:tcPr>
            <w:tcW w:w="615" w:type="pct"/>
            <w:tcMar>
              <w:top w:w="0" w:type="dxa"/>
              <w:left w:w="108" w:type="dxa"/>
              <w:bottom w:w="0" w:type="dxa"/>
              <w:right w:w="108" w:type="dxa"/>
            </w:tcMar>
            <w:vAlign w:val="center"/>
          </w:tcPr>
          <w:p w14:paraId="1A8113F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4.02%</w:t>
            </w:r>
          </w:p>
        </w:tc>
      </w:tr>
      <w:tr w:rsidR="00EB3B4C" w:rsidRPr="00DA3766" w14:paraId="479A5C98" w14:textId="77777777" w:rsidTr="00DA3766">
        <w:trPr>
          <w:trHeight w:val="397"/>
          <w:jc w:val="center"/>
        </w:trPr>
        <w:tc>
          <w:tcPr>
            <w:tcW w:w="1310" w:type="pct"/>
            <w:tcMar>
              <w:top w:w="0" w:type="dxa"/>
              <w:left w:w="108" w:type="dxa"/>
              <w:bottom w:w="0" w:type="dxa"/>
              <w:right w:w="108" w:type="dxa"/>
            </w:tcMar>
            <w:vAlign w:val="center"/>
          </w:tcPr>
          <w:p w14:paraId="02C42F7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办公及差旅费</w:t>
            </w:r>
          </w:p>
        </w:tc>
        <w:tc>
          <w:tcPr>
            <w:tcW w:w="616" w:type="pct"/>
            <w:tcMar>
              <w:top w:w="0" w:type="dxa"/>
              <w:left w:w="108" w:type="dxa"/>
              <w:bottom w:w="0" w:type="dxa"/>
              <w:right w:w="108" w:type="dxa"/>
            </w:tcMar>
            <w:vAlign w:val="center"/>
          </w:tcPr>
          <w:p w14:paraId="3B5EB7A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139.53</w:t>
            </w:r>
          </w:p>
        </w:tc>
        <w:tc>
          <w:tcPr>
            <w:tcW w:w="614" w:type="pct"/>
            <w:tcMar>
              <w:top w:w="0" w:type="dxa"/>
              <w:left w:w="108" w:type="dxa"/>
              <w:bottom w:w="0" w:type="dxa"/>
              <w:right w:w="108" w:type="dxa"/>
            </w:tcMar>
            <w:vAlign w:val="center"/>
          </w:tcPr>
          <w:p w14:paraId="3BB996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5.17%</w:t>
            </w:r>
          </w:p>
        </w:tc>
        <w:tc>
          <w:tcPr>
            <w:tcW w:w="615" w:type="pct"/>
            <w:tcMar>
              <w:top w:w="0" w:type="dxa"/>
              <w:left w:w="108" w:type="dxa"/>
              <w:bottom w:w="0" w:type="dxa"/>
              <w:right w:w="108" w:type="dxa"/>
            </w:tcMar>
            <w:vAlign w:val="center"/>
          </w:tcPr>
          <w:p w14:paraId="59C7339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346.51</w:t>
            </w:r>
          </w:p>
        </w:tc>
        <w:tc>
          <w:tcPr>
            <w:tcW w:w="615" w:type="pct"/>
            <w:tcMar>
              <w:top w:w="0" w:type="dxa"/>
              <w:left w:w="108" w:type="dxa"/>
              <w:bottom w:w="0" w:type="dxa"/>
              <w:right w:w="108" w:type="dxa"/>
            </w:tcMar>
            <w:vAlign w:val="center"/>
          </w:tcPr>
          <w:p w14:paraId="4A1386E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6.44%</w:t>
            </w:r>
          </w:p>
        </w:tc>
        <w:tc>
          <w:tcPr>
            <w:tcW w:w="615" w:type="pct"/>
            <w:tcMar>
              <w:top w:w="0" w:type="dxa"/>
              <w:left w:w="108" w:type="dxa"/>
              <w:bottom w:w="0" w:type="dxa"/>
              <w:right w:w="108" w:type="dxa"/>
            </w:tcMar>
            <w:vAlign w:val="center"/>
          </w:tcPr>
          <w:p w14:paraId="6A2BB56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388.79</w:t>
            </w:r>
          </w:p>
        </w:tc>
        <w:tc>
          <w:tcPr>
            <w:tcW w:w="615" w:type="pct"/>
            <w:tcMar>
              <w:top w:w="0" w:type="dxa"/>
              <w:left w:w="108" w:type="dxa"/>
              <w:bottom w:w="0" w:type="dxa"/>
              <w:right w:w="108" w:type="dxa"/>
            </w:tcMar>
            <w:vAlign w:val="center"/>
          </w:tcPr>
          <w:p w14:paraId="29DABD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7.09%</w:t>
            </w:r>
          </w:p>
        </w:tc>
      </w:tr>
      <w:tr w:rsidR="00EB3B4C" w:rsidRPr="00DA3766" w14:paraId="7024D812" w14:textId="77777777" w:rsidTr="00DA3766">
        <w:trPr>
          <w:trHeight w:val="397"/>
          <w:jc w:val="center"/>
        </w:trPr>
        <w:tc>
          <w:tcPr>
            <w:tcW w:w="1310" w:type="pct"/>
            <w:tcMar>
              <w:top w:w="0" w:type="dxa"/>
              <w:left w:w="108" w:type="dxa"/>
              <w:bottom w:w="0" w:type="dxa"/>
              <w:right w:w="108" w:type="dxa"/>
            </w:tcMar>
            <w:vAlign w:val="center"/>
          </w:tcPr>
          <w:p w14:paraId="07DF1D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业务招待费</w:t>
            </w:r>
          </w:p>
        </w:tc>
        <w:tc>
          <w:tcPr>
            <w:tcW w:w="616" w:type="pct"/>
            <w:tcMar>
              <w:top w:w="0" w:type="dxa"/>
              <w:left w:w="108" w:type="dxa"/>
              <w:bottom w:w="0" w:type="dxa"/>
              <w:right w:w="108" w:type="dxa"/>
            </w:tcMar>
            <w:vAlign w:val="center"/>
          </w:tcPr>
          <w:p w14:paraId="156BEE7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74.95</w:t>
            </w:r>
          </w:p>
        </w:tc>
        <w:tc>
          <w:tcPr>
            <w:tcW w:w="614" w:type="pct"/>
            <w:tcMar>
              <w:top w:w="0" w:type="dxa"/>
              <w:left w:w="108" w:type="dxa"/>
              <w:bottom w:w="0" w:type="dxa"/>
              <w:right w:w="108" w:type="dxa"/>
            </w:tcMar>
            <w:vAlign w:val="center"/>
          </w:tcPr>
          <w:p w14:paraId="68A765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2.78%</w:t>
            </w:r>
          </w:p>
        </w:tc>
        <w:tc>
          <w:tcPr>
            <w:tcW w:w="615" w:type="pct"/>
            <w:tcMar>
              <w:top w:w="0" w:type="dxa"/>
              <w:left w:w="108" w:type="dxa"/>
              <w:bottom w:w="0" w:type="dxa"/>
              <w:right w:w="108" w:type="dxa"/>
            </w:tcMar>
            <w:vAlign w:val="center"/>
          </w:tcPr>
          <w:p w14:paraId="78E4404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144.50</w:t>
            </w:r>
          </w:p>
        </w:tc>
        <w:tc>
          <w:tcPr>
            <w:tcW w:w="615" w:type="pct"/>
            <w:tcMar>
              <w:top w:w="0" w:type="dxa"/>
              <w:left w:w="108" w:type="dxa"/>
              <w:bottom w:w="0" w:type="dxa"/>
              <w:right w:w="108" w:type="dxa"/>
            </w:tcMar>
            <w:vAlign w:val="center"/>
          </w:tcPr>
          <w:p w14:paraId="678309E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2.69%</w:t>
            </w:r>
          </w:p>
        </w:tc>
        <w:tc>
          <w:tcPr>
            <w:tcW w:w="615" w:type="pct"/>
            <w:tcMar>
              <w:top w:w="0" w:type="dxa"/>
              <w:left w:w="108" w:type="dxa"/>
              <w:bottom w:w="0" w:type="dxa"/>
              <w:right w:w="108" w:type="dxa"/>
            </w:tcMar>
            <w:vAlign w:val="center"/>
          </w:tcPr>
          <w:p w14:paraId="291FFDF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115.87</w:t>
            </w:r>
          </w:p>
        </w:tc>
        <w:tc>
          <w:tcPr>
            <w:tcW w:w="615" w:type="pct"/>
            <w:tcMar>
              <w:top w:w="0" w:type="dxa"/>
              <w:left w:w="108" w:type="dxa"/>
              <w:bottom w:w="0" w:type="dxa"/>
              <w:right w:w="108" w:type="dxa"/>
            </w:tcMar>
            <w:vAlign w:val="center"/>
          </w:tcPr>
          <w:p w14:paraId="4B5DFFA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2.11%</w:t>
            </w:r>
          </w:p>
        </w:tc>
      </w:tr>
      <w:tr w:rsidR="00EB3B4C" w:rsidRPr="00DA3766" w14:paraId="4AADD80F" w14:textId="77777777" w:rsidTr="00DA3766">
        <w:trPr>
          <w:trHeight w:val="397"/>
          <w:jc w:val="center"/>
        </w:trPr>
        <w:tc>
          <w:tcPr>
            <w:tcW w:w="1310" w:type="pct"/>
            <w:tcMar>
              <w:top w:w="0" w:type="dxa"/>
              <w:left w:w="108" w:type="dxa"/>
              <w:bottom w:w="0" w:type="dxa"/>
              <w:right w:w="108" w:type="dxa"/>
            </w:tcMar>
            <w:vAlign w:val="center"/>
          </w:tcPr>
          <w:p w14:paraId="50820B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其他费用</w:t>
            </w:r>
          </w:p>
        </w:tc>
        <w:tc>
          <w:tcPr>
            <w:tcW w:w="616" w:type="pct"/>
            <w:tcMar>
              <w:top w:w="0" w:type="dxa"/>
              <w:left w:w="108" w:type="dxa"/>
              <w:bottom w:w="0" w:type="dxa"/>
              <w:right w:w="108" w:type="dxa"/>
            </w:tcMar>
            <w:vAlign w:val="center"/>
          </w:tcPr>
          <w:p w14:paraId="280B624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25.05</w:t>
            </w:r>
          </w:p>
        </w:tc>
        <w:tc>
          <w:tcPr>
            <w:tcW w:w="614" w:type="pct"/>
            <w:tcMar>
              <w:top w:w="0" w:type="dxa"/>
              <w:left w:w="108" w:type="dxa"/>
              <w:bottom w:w="0" w:type="dxa"/>
              <w:right w:w="108" w:type="dxa"/>
            </w:tcMar>
            <w:vAlign w:val="center"/>
          </w:tcPr>
          <w:p w14:paraId="57C54CF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0.93%</w:t>
            </w:r>
          </w:p>
        </w:tc>
        <w:tc>
          <w:tcPr>
            <w:tcW w:w="615" w:type="pct"/>
            <w:tcMar>
              <w:top w:w="0" w:type="dxa"/>
              <w:left w:w="108" w:type="dxa"/>
              <w:bottom w:w="0" w:type="dxa"/>
              <w:right w:w="108" w:type="dxa"/>
            </w:tcMar>
            <w:vAlign w:val="center"/>
          </w:tcPr>
          <w:p w14:paraId="4725F15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45.55</w:t>
            </w:r>
          </w:p>
        </w:tc>
        <w:tc>
          <w:tcPr>
            <w:tcW w:w="615" w:type="pct"/>
            <w:tcMar>
              <w:top w:w="0" w:type="dxa"/>
              <w:left w:w="108" w:type="dxa"/>
              <w:bottom w:w="0" w:type="dxa"/>
              <w:right w:w="108" w:type="dxa"/>
            </w:tcMar>
            <w:vAlign w:val="center"/>
          </w:tcPr>
          <w:p w14:paraId="15A8D2D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0.85%</w:t>
            </w:r>
          </w:p>
        </w:tc>
        <w:tc>
          <w:tcPr>
            <w:tcW w:w="615" w:type="pct"/>
            <w:tcMar>
              <w:top w:w="0" w:type="dxa"/>
              <w:left w:w="108" w:type="dxa"/>
              <w:bottom w:w="0" w:type="dxa"/>
              <w:right w:w="108" w:type="dxa"/>
            </w:tcMar>
            <w:vAlign w:val="center"/>
          </w:tcPr>
          <w:p w14:paraId="08ACCD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47.96</w:t>
            </w:r>
          </w:p>
        </w:tc>
        <w:tc>
          <w:tcPr>
            <w:tcW w:w="615" w:type="pct"/>
            <w:tcMar>
              <w:top w:w="0" w:type="dxa"/>
              <w:left w:w="108" w:type="dxa"/>
              <w:bottom w:w="0" w:type="dxa"/>
              <w:right w:w="108" w:type="dxa"/>
            </w:tcMar>
            <w:vAlign w:val="center"/>
          </w:tcPr>
          <w:p w14:paraId="684C1AD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0.88%</w:t>
            </w:r>
          </w:p>
        </w:tc>
      </w:tr>
      <w:tr w:rsidR="00EB3B4C" w:rsidRPr="00DA3766" w14:paraId="01CEBB68" w14:textId="77777777" w:rsidTr="00DA3766">
        <w:trPr>
          <w:trHeight w:val="397"/>
          <w:jc w:val="center"/>
        </w:trPr>
        <w:tc>
          <w:tcPr>
            <w:tcW w:w="1310" w:type="pct"/>
            <w:tcMar>
              <w:top w:w="0" w:type="dxa"/>
              <w:left w:w="108" w:type="dxa"/>
              <w:bottom w:w="0" w:type="dxa"/>
              <w:right w:w="108" w:type="dxa"/>
            </w:tcMar>
            <w:vAlign w:val="center"/>
          </w:tcPr>
          <w:p w14:paraId="0A46954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color w:val="000000"/>
                <w:sz w:val="21"/>
                <w:szCs w:val="21"/>
              </w:rPr>
              <w:t>合计</w:t>
            </w:r>
          </w:p>
        </w:tc>
        <w:tc>
          <w:tcPr>
            <w:tcW w:w="616" w:type="pct"/>
            <w:tcMar>
              <w:top w:w="0" w:type="dxa"/>
              <w:left w:w="108" w:type="dxa"/>
              <w:bottom w:w="0" w:type="dxa"/>
              <w:right w:w="108" w:type="dxa"/>
            </w:tcMar>
            <w:vAlign w:val="center"/>
          </w:tcPr>
          <w:p w14:paraId="50D8EEB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2,698.73</w:t>
            </w:r>
          </w:p>
        </w:tc>
        <w:tc>
          <w:tcPr>
            <w:tcW w:w="614" w:type="pct"/>
            <w:tcMar>
              <w:top w:w="0" w:type="dxa"/>
              <w:left w:w="108" w:type="dxa"/>
              <w:bottom w:w="0" w:type="dxa"/>
              <w:right w:w="108" w:type="dxa"/>
            </w:tcMar>
            <w:vAlign w:val="center"/>
          </w:tcPr>
          <w:p w14:paraId="2D4A2E2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c>
          <w:tcPr>
            <w:tcW w:w="615" w:type="pct"/>
            <w:tcMar>
              <w:top w:w="0" w:type="dxa"/>
              <w:left w:w="108" w:type="dxa"/>
              <w:bottom w:w="0" w:type="dxa"/>
              <w:right w:w="108" w:type="dxa"/>
            </w:tcMar>
            <w:vAlign w:val="center"/>
          </w:tcPr>
          <w:p w14:paraId="11DA7CCC"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5,380.82</w:t>
            </w:r>
          </w:p>
        </w:tc>
        <w:tc>
          <w:tcPr>
            <w:tcW w:w="615" w:type="pct"/>
            <w:tcMar>
              <w:top w:w="0" w:type="dxa"/>
              <w:left w:w="108" w:type="dxa"/>
              <w:bottom w:w="0" w:type="dxa"/>
              <w:right w:w="108" w:type="dxa"/>
            </w:tcMar>
            <w:vAlign w:val="center"/>
          </w:tcPr>
          <w:p w14:paraId="05F248AC"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c>
          <w:tcPr>
            <w:tcW w:w="615" w:type="pct"/>
            <w:tcMar>
              <w:top w:w="0" w:type="dxa"/>
              <w:left w:w="108" w:type="dxa"/>
              <w:bottom w:w="0" w:type="dxa"/>
              <w:right w:w="108" w:type="dxa"/>
            </w:tcMar>
            <w:vAlign w:val="center"/>
          </w:tcPr>
          <w:p w14:paraId="3ADAA88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5,480.91</w:t>
            </w:r>
          </w:p>
        </w:tc>
        <w:tc>
          <w:tcPr>
            <w:tcW w:w="615" w:type="pct"/>
            <w:tcMar>
              <w:top w:w="0" w:type="dxa"/>
              <w:left w:w="108" w:type="dxa"/>
              <w:bottom w:w="0" w:type="dxa"/>
              <w:right w:w="108" w:type="dxa"/>
            </w:tcMar>
            <w:vAlign w:val="center"/>
          </w:tcPr>
          <w:p w14:paraId="718120A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r>
    </w:tbl>
    <w:p w14:paraId="72F8275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、管理费用主要明细项目的具体预测情况、过程及依据</w:t>
      </w:r>
    </w:p>
    <w:p w14:paraId="35096AE1"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45560E7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职工薪酬及福利主要包括管理人员的工资、社保、公积金和福利费等。报告期各期，标的公司职工薪酬及福利费分别为</w:t>
      </w:r>
      <w:r w:rsidRPr="00DA3766">
        <w:rPr>
          <w:rFonts w:ascii="Times New Roman" w:hAnsi="Times New Roman" w:cs="Times New Roman"/>
          <w:kern w:val="2"/>
          <w:szCs w:val="22"/>
        </w:rPr>
        <w:t>3,600.91</w:t>
      </w:r>
      <w:r w:rsidRPr="00DA3766">
        <w:rPr>
          <w:rFonts w:ascii="Times New Roman" w:hAnsi="Times New Roman" w:cs="Times New Roman"/>
          <w:kern w:val="2"/>
          <w:szCs w:val="22"/>
        </w:rPr>
        <w:t>万元、</w:t>
      </w:r>
      <w:r w:rsidRPr="00DA3766">
        <w:rPr>
          <w:rFonts w:ascii="Times New Roman" w:hAnsi="Times New Roman" w:cs="Times New Roman"/>
          <w:kern w:val="2"/>
          <w:szCs w:val="22"/>
        </w:rPr>
        <w:t>3,686.04</w:t>
      </w:r>
      <w:r w:rsidRPr="00DA3766">
        <w:rPr>
          <w:rFonts w:ascii="Times New Roman" w:hAnsi="Times New Roman" w:cs="Times New Roman"/>
          <w:kern w:val="2"/>
          <w:szCs w:val="22"/>
        </w:rPr>
        <w:t>万元和</w:t>
      </w:r>
      <w:r w:rsidRPr="00DA3766">
        <w:rPr>
          <w:rFonts w:ascii="Times New Roman" w:hAnsi="Times New Roman" w:cs="Times New Roman"/>
          <w:kern w:val="2"/>
          <w:szCs w:val="22"/>
        </w:rPr>
        <w:t>1,917.35</w:t>
      </w:r>
      <w:r w:rsidRPr="00DA3766">
        <w:rPr>
          <w:rFonts w:ascii="Times New Roman" w:hAnsi="Times New Roman" w:cs="Times New Roman"/>
          <w:kern w:val="2"/>
          <w:szCs w:val="22"/>
        </w:rPr>
        <w:t>万元，总体相对稳定；未来按人均薪酬和人数预测。预测期内对管理人员的规模结合业务发展的计划考虑一定的人员增加，同时人均薪酬水平亦考虑一定的增长，具体情况如下：</w:t>
      </w:r>
    </w:p>
    <w:p w14:paraId="11766F3C"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741A16F" w14:textId="77777777" w:rsidTr="00DA3766">
        <w:trPr>
          <w:trHeight w:val="397"/>
          <w:tblHeader/>
          <w:jc w:val="center"/>
        </w:trPr>
        <w:tc>
          <w:tcPr>
            <w:tcW w:w="1601" w:type="pct"/>
            <w:vMerge w:val="restart"/>
            <w:vAlign w:val="center"/>
          </w:tcPr>
          <w:p w14:paraId="07960F8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22DDEF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77D78167" w14:textId="77777777" w:rsidTr="00DA3766">
        <w:trPr>
          <w:trHeight w:val="397"/>
          <w:tblHeader/>
          <w:jc w:val="center"/>
        </w:trPr>
        <w:tc>
          <w:tcPr>
            <w:tcW w:w="1601" w:type="pct"/>
            <w:vMerge/>
            <w:vAlign w:val="center"/>
          </w:tcPr>
          <w:p w14:paraId="6BDAFF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4B84273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27E085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6B7BCA1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0705DD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8" w:type="pct"/>
            <w:vAlign w:val="center"/>
          </w:tcPr>
          <w:p w14:paraId="070F7A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0AD54000" w14:textId="77777777" w:rsidTr="00DA3766">
        <w:trPr>
          <w:trHeight w:val="397"/>
          <w:jc w:val="center"/>
        </w:trPr>
        <w:tc>
          <w:tcPr>
            <w:tcW w:w="1601" w:type="pct"/>
            <w:vAlign w:val="center"/>
          </w:tcPr>
          <w:p w14:paraId="218C51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1F16797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3,874.50</w:t>
            </w:r>
          </w:p>
        </w:tc>
        <w:tc>
          <w:tcPr>
            <w:tcW w:w="658" w:type="pct"/>
            <w:vAlign w:val="center"/>
          </w:tcPr>
          <w:p w14:paraId="3C3F9D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4,123.00</w:t>
            </w:r>
          </w:p>
        </w:tc>
        <w:tc>
          <w:tcPr>
            <w:tcW w:w="658" w:type="pct"/>
            <w:vAlign w:val="center"/>
          </w:tcPr>
          <w:p w14:paraId="6F95C9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4,384.00</w:t>
            </w:r>
          </w:p>
        </w:tc>
        <w:tc>
          <w:tcPr>
            <w:tcW w:w="658" w:type="pct"/>
            <w:vAlign w:val="center"/>
          </w:tcPr>
          <w:p w14:paraId="60534E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4,515.20</w:t>
            </w:r>
          </w:p>
        </w:tc>
        <w:tc>
          <w:tcPr>
            <w:tcW w:w="658" w:type="pct"/>
            <w:vAlign w:val="center"/>
          </w:tcPr>
          <w:p w14:paraId="76FAB3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4,651.20</w:t>
            </w:r>
          </w:p>
        </w:tc>
      </w:tr>
      <w:tr w:rsidR="00EB3B4C" w:rsidRPr="00DA3766" w14:paraId="6891024F" w14:textId="77777777" w:rsidTr="00DA3766">
        <w:trPr>
          <w:trHeight w:val="397"/>
          <w:jc w:val="center"/>
        </w:trPr>
        <w:tc>
          <w:tcPr>
            <w:tcW w:w="1601" w:type="pct"/>
            <w:vAlign w:val="center"/>
          </w:tcPr>
          <w:p w14:paraId="3204FCC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管理人员人数</w:t>
            </w:r>
          </w:p>
        </w:tc>
        <w:tc>
          <w:tcPr>
            <w:tcW w:w="768" w:type="pct"/>
            <w:vAlign w:val="center"/>
          </w:tcPr>
          <w:p w14:paraId="0461D0F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150.00</w:t>
            </w:r>
          </w:p>
        </w:tc>
        <w:tc>
          <w:tcPr>
            <w:tcW w:w="658" w:type="pct"/>
            <w:vAlign w:val="center"/>
          </w:tcPr>
          <w:p w14:paraId="379A14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155.00</w:t>
            </w:r>
          </w:p>
        </w:tc>
        <w:tc>
          <w:tcPr>
            <w:tcW w:w="658" w:type="pct"/>
            <w:vAlign w:val="center"/>
          </w:tcPr>
          <w:p w14:paraId="2D0226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c>
          <w:tcPr>
            <w:tcW w:w="658" w:type="pct"/>
            <w:vAlign w:val="center"/>
          </w:tcPr>
          <w:p w14:paraId="467D7D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c>
          <w:tcPr>
            <w:tcW w:w="658" w:type="pct"/>
            <w:vAlign w:val="center"/>
          </w:tcPr>
          <w:p w14:paraId="57335D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r>
      <w:tr w:rsidR="00EB3B4C" w:rsidRPr="00DA3766" w14:paraId="12319AA3" w14:textId="77777777" w:rsidTr="00DA3766">
        <w:trPr>
          <w:trHeight w:val="397"/>
          <w:jc w:val="center"/>
        </w:trPr>
        <w:tc>
          <w:tcPr>
            <w:tcW w:w="1601" w:type="pct"/>
            <w:vAlign w:val="center"/>
          </w:tcPr>
          <w:p w14:paraId="1E128EE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490023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25.83</w:t>
            </w:r>
          </w:p>
        </w:tc>
        <w:tc>
          <w:tcPr>
            <w:tcW w:w="658" w:type="pct"/>
            <w:vAlign w:val="center"/>
          </w:tcPr>
          <w:p w14:paraId="254EB2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w:t>
            </w:r>
          </w:p>
        </w:tc>
        <w:tc>
          <w:tcPr>
            <w:tcW w:w="658" w:type="pct"/>
            <w:vAlign w:val="center"/>
          </w:tcPr>
          <w:p w14:paraId="571712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27.40</w:t>
            </w:r>
          </w:p>
        </w:tc>
        <w:tc>
          <w:tcPr>
            <w:tcW w:w="658" w:type="pct"/>
            <w:vAlign w:val="center"/>
          </w:tcPr>
          <w:p w14:paraId="2B32D5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28.22</w:t>
            </w:r>
          </w:p>
        </w:tc>
        <w:tc>
          <w:tcPr>
            <w:tcW w:w="658" w:type="pct"/>
            <w:vAlign w:val="center"/>
          </w:tcPr>
          <w:p w14:paraId="582EB0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29.07</w:t>
            </w:r>
          </w:p>
        </w:tc>
      </w:tr>
      <w:tr w:rsidR="00EB3B4C" w:rsidRPr="00DA3766" w14:paraId="2EA61365" w14:textId="77777777" w:rsidTr="00DA3766">
        <w:trPr>
          <w:trHeight w:val="397"/>
          <w:jc w:val="center"/>
        </w:trPr>
        <w:tc>
          <w:tcPr>
            <w:tcW w:w="1601" w:type="pct"/>
            <w:vAlign w:val="center"/>
          </w:tcPr>
          <w:p w14:paraId="14061C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497D91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7136AC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899B6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0F1C26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45F6F8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442C55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从上表可见，报告期间内随着公司业务规模增长，管理人员数量有所增加，职工薪酬相应提升，人均薪酬年增长率稳定。</w:t>
      </w:r>
    </w:p>
    <w:p w14:paraId="00993E3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）折旧摊销</w:t>
      </w:r>
    </w:p>
    <w:p w14:paraId="11F3E8B9" w14:textId="385DAA77"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标的公司管理费用中摊销及折旧主要包括管理人员使用的固定资产的折旧、使用权资产折旧以及无形资产摊销。报告期各期，标的公司摊销及折旧费用分别为</w:t>
      </w:r>
      <w:r w:rsidRPr="00872105">
        <w:rPr>
          <w:rFonts w:ascii="Times New Roman" w:hAnsi="Times New Roman" w:cs="Times New Roman" w:hint="eastAsia"/>
          <w:kern w:val="2"/>
          <w:szCs w:val="22"/>
        </w:rPr>
        <w:t>802.64</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544.64</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223.96</w:t>
      </w:r>
      <w:r w:rsidRPr="00872105">
        <w:rPr>
          <w:rFonts w:ascii="Times New Roman" w:hAnsi="Times New Roman" w:cs="Times New Roman" w:hint="eastAsia"/>
          <w:kern w:val="2"/>
          <w:szCs w:val="22"/>
        </w:rPr>
        <w:t>万元。本次评估对未来计入管理费用折旧摊销的长期资产按照未来各年的预计规模以及折旧和摊销年限进行预测。对于使用权资产折旧于本次预测期内全部调整为租金，合并进房租物业费进行测算，故预测期内（</w:t>
      </w:r>
      <w:r w:rsidRPr="00872105">
        <w:rPr>
          <w:rFonts w:ascii="Times New Roman" w:hAnsi="Times New Roman" w:cs="Times New Roman" w:hint="eastAsia"/>
          <w:kern w:val="2"/>
          <w:szCs w:val="22"/>
        </w:rPr>
        <w:t>2025</w:t>
      </w:r>
      <w:r w:rsidRPr="00872105">
        <w:rPr>
          <w:rFonts w:ascii="Times New Roman" w:hAnsi="Times New Roman" w:cs="Times New Roman" w:hint="eastAsia"/>
          <w:kern w:val="2"/>
          <w:szCs w:val="22"/>
        </w:rPr>
        <w:t>年</w:t>
      </w:r>
      <w:r w:rsidRPr="00872105">
        <w:rPr>
          <w:rFonts w:ascii="Times New Roman" w:hAnsi="Times New Roman" w:cs="Times New Roman" w:hint="eastAsia"/>
          <w:kern w:val="2"/>
          <w:szCs w:val="22"/>
        </w:rPr>
        <w:t>7-12</w:t>
      </w:r>
      <w:r w:rsidRPr="00872105">
        <w:rPr>
          <w:rFonts w:ascii="Times New Roman" w:hAnsi="Times New Roman" w:cs="Times New Roman" w:hint="eastAsia"/>
          <w:kern w:val="2"/>
          <w:szCs w:val="22"/>
        </w:rPr>
        <w:t>月及以后完整年度）均不再考虑使用权资产折旧的测算。具体情况如下</w:t>
      </w:r>
      <w:r w:rsidR="00EB3B4C" w:rsidRPr="00DA3766">
        <w:rPr>
          <w:rFonts w:ascii="Times New Roman" w:hAnsi="Times New Roman" w:cs="Times New Roman"/>
          <w:kern w:val="2"/>
          <w:szCs w:val="22"/>
        </w:rPr>
        <w:t>：</w:t>
      </w:r>
    </w:p>
    <w:p w14:paraId="5533AB8B"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9"/>
        <w:gridCol w:w="1134"/>
        <w:gridCol w:w="1134"/>
        <w:gridCol w:w="1134"/>
        <w:gridCol w:w="1134"/>
        <w:gridCol w:w="993"/>
        <w:gridCol w:w="993"/>
        <w:gridCol w:w="991"/>
        <w:gridCol w:w="1052"/>
      </w:tblGrid>
      <w:tr w:rsidR="00EB3B4C" w:rsidRPr="00DA3766" w14:paraId="2D1579BB" w14:textId="77777777" w:rsidTr="00DA3766">
        <w:trPr>
          <w:trHeight w:val="397"/>
          <w:tblHeader/>
          <w:jc w:val="center"/>
        </w:trPr>
        <w:tc>
          <w:tcPr>
            <w:tcW w:w="815" w:type="pct"/>
            <w:vMerge w:val="restart"/>
            <w:vAlign w:val="center"/>
          </w:tcPr>
          <w:p w14:paraId="3A48CA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662" w:type="pct"/>
            <w:gridSpan w:val="3"/>
            <w:vAlign w:val="center"/>
          </w:tcPr>
          <w:p w14:paraId="158E62B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522" w:type="pct"/>
            <w:gridSpan w:val="5"/>
            <w:vAlign w:val="center"/>
          </w:tcPr>
          <w:p w14:paraId="126E50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00858A79" w14:textId="77777777" w:rsidTr="00DA3766">
        <w:trPr>
          <w:trHeight w:val="397"/>
          <w:tblHeader/>
          <w:jc w:val="center"/>
        </w:trPr>
        <w:tc>
          <w:tcPr>
            <w:tcW w:w="815" w:type="pct"/>
            <w:vMerge/>
            <w:vAlign w:val="center"/>
          </w:tcPr>
          <w:p w14:paraId="2BEBD7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4" w:type="pct"/>
            <w:vAlign w:val="center"/>
          </w:tcPr>
          <w:p w14:paraId="11B5FC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54" w:type="pct"/>
            <w:vAlign w:val="center"/>
          </w:tcPr>
          <w:p w14:paraId="0DB5AE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554" w:type="pct"/>
            <w:vAlign w:val="center"/>
          </w:tcPr>
          <w:p w14:paraId="0DF05AC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54" w:type="pct"/>
            <w:vAlign w:val="center"/>
          </w:tcPr>
          <w:p w14:paraId="58D6F7A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485" w:type="pct"/>
            <w:vAlign w:val="center"/>
          </w:tcPr>
          <w:p w14:paraId="49E6C0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485" w:type="pct"/>
            <w:vAlign w:val="center"/>
          </w:tcPr>
          <w:p w14:paraId="3484B5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484" w:type="pct"/>
            <w:vAlign w:val="center"/>
          </w:tcPr>
          <w:p w14:paraId="62260C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14" w:type="pct"/>
            <w:vAlign w:val="center"/>
          </w:tcPr>
          <w:p w14:paraId="68C8F5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EB3B4C" w:rsidRPr="00DA3766" w14:paraId="00E681D8" w14:textId="77777777" w:rsidTr="00DA3766">
        <w:trPr>
          <w:trHeight w:val="397"/>
          <w:jc w:val="center"/>
        </w:trPr>
        <w:tc>
          <w:tcPr>
            <w:tcW w:w="815" w:type="pct"/>
            <w:vAlign w:val="center"/>
          </w:tcPr>
          <w:p w14:paraId="1E1E06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折旧和摊销</w:t>
            </w:r>
          </w:p>
        </w:tc>
        <w:tc>
          <w:tcPr>
            <w:tcW w:w="554" w:type="pct"/>
            <w:vAlign w:val="center"/>
          </w:tcPr>
          <w:p w14:paraId="00E35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802.64</w:t>
            </w:r>
          </w:p>
        </w:tc>
        <w:tc>
          <w:tcPr>
            <w:tcW w:w="554" w:type="pct"/>
            <w:vAlign w:val="center"/>
          </w:tcPr>
          <w:p w14:paraId="2C4FB7E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544.64</w:t>
            </w:r>
          </w:p>
        </w:tc>
        <w:tc>
          <w:tcPr>
            <w:tcW w:w="554" w:type="pct"/>
            <w:vAlign w:val="center"/>
          </w:tcPr>
          <w:p w14:paraId="094E0D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223.96</w:t>
            </w:r>
          </w:p>
        </w:tc>
        <w:tc>
          <w:tcPr>
            <w:tcW w:w="554" w:type="pct"/>
            <w:vAlign w:val="center"/>
          </w:tcPr>
          <w:p w14:paraId="125816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416.57 </w:t>
            </w:r>
          </w:p>
        </w:tc>
        <w:tc>
          <w:tcPr>
            <w:tcW w:w="485" w:type="pct"/>
            <w:vAlign w:val="center"/>
          </w:tcPr>
          <w:p w14:paraId="58549D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389.97 </w:t>
            </w:r>
          </w:p>
        </w:tc>
        <w:tc>
          <w:tcPr>
            <w:tcW w:w="485" w:type="pct"/>
            <w:vAlign w:val="center"/>
          </w:tcPr>
          <w:p w14:paraId="412BA20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c>
          <w:tcPr>
            <w:tcW w:w="484" w:type="pct"/>
            <w:vAlign w:val="center"/>
          </w:tcPr>
          <w:p w14:paraId="41F3AE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c>
          <w:tcPr>
            <w:tcW w:w="514" w:type="pct"/>
            <w:vAlign w:val="center"/>
          </w:tcPr>
          <w:p w14:paraId="3C7C20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r>
    </w:tbl>
    <w:p w14:paraId="260FFD4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）办公及差旅费用、业务招待费、专业服务与咨询费用和其他费用</w:t>
      </w:r>
    </w:p>
    <w:p w14:paraId="4E7392E3" w14:textId="6538BD9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办公及差旅费用、业务招待费、专业服务与咨询费用与企业的营业收入有较强的相关性，预测期内公司的业务增长稳定，未来按一定的占收入比例预测；其他费用主要系管理人员日常办公发生的其他零星费用，报告期内发生金额占营业收入的比例在</w:t>
      </w:r>
      <w:r w:rsidRPr="00DA3766">
        <w:rPr>
          <w:rFonts w:ascii="Times New Roman" w:hAnsi="Times New Roman" w:cs="Times New Roman"/>
          <w:kern w:val="2"/>
          <w:szCs w:val="22"/>
        </w:rPr>
        <w:t>0.10%-0.12%</w:t>
      </w:r>
      <w:r w:rsidRPr="00DA3766">
        <w:rPr>
          <w:rFonts w:ascii="Times New Roman" w:hAnsi="Times New Roman" w:cs="Times New Roman"/>
          <w:kern w:val="2"/>
          <w:szCs w:val="22"/>
        </w:rPr>
        <w:t>之间，本次预测期内对该项费用按占营业收入的</w:t>
      </w:r>
      <w:r w:rsidRPr="00DA3766">
        <w:rPr>
          <w:rFonts w:ascii="Times New Roman" w:hAnsi="Times New Roman" w:cs="Times New Roman"/>
          <w:kern w:val="2"/>
          <w:szCs w:val="22"/>
        </w:rPr>
        <w:t>0.10%</w:t>
      </w:r>
      <w:r w:rsidRPr="00DA3766">
        <w:rPr>
          <w:rFonts w:ascii="Times New Roman" w:hAnsi="Times New Roman" w:cs="Times New Roman"/>
          <w:kern w:val="2"/>
          <w:szCs w:val="22"/>
        </w:rPr>
        <w:t>测算。具体情况如下：</w:t>
      </w:r>
    </w:p>
    <w:p w14:paraId="42D6DF80"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1329"/>
        <w:gridCol w:w="1076"/>
        <w:gridCol w:w="1076"/>
        <w:gridCol w:w="1076"/>
        <w:gridCol w:w="1076"/>
      </w:tblGrid>
      <w:tr w:rsidR="00EB3B4C" w:rsidRPr="00DA3766" w14:paraId="2F7CB05B" w14:textId="77777777" w:rsidTr="00DA3766">
        <w:trPr>
          <w:trHeight w:val="397"/>
          <w:tblHeader/>
          <w:jc w:val="center"/>
        </w:trPr>
        <w:tc>
          <w:tcPr>
            <w:tcW w:w="1697" w:type="pct"/>
            <w:vMerge w:val="restart"/>
            <w:vAlign w:val="center"/>
          </w:tcPr>
          <w:p w14:paraId="484909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03" w:type="pct"/>
            <w:gridSpan w:val="5"/>
            <w:vAlign w:val="center"/>
          </w:tcPr>
          <w:p w14:paraId="34F17E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259B5C85" w14:textId="77777777" w:rsidTr="00DA3766">
        <w:trPr>
          <w:trHeight w:val="397"/>
          <w:tblHeader/>
          <w:jc w:val="center"/>
        </w:trPr>
        <w:tc>
          <w:tcPr>
            <w:tcW w:w="1697" w:type="pct"/>
            <w:vMerge/>
            <w:vAlign w:val="center"/>
          </w:tcPr>
          <w:p w14:paraId="5D8656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79" w:type="pct"/>
            <w:vAlign w:val="center"/>
          </w:tcPr>
          <w:p w14:paraId="05AE2C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31" w:type="pct"/>
            <w:vAlign w:val="center"/>
          </w:tcPr>
          <w:p w14:paraId="05DBC4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31" w:type="pct"/>
            <w:vAlign w:val="center"/>
          </w:tcPr>
          <w:p w14:paraId="5B050F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31" w:type="pct"/>
            <w:vAlign w:val="center"/>
          </w:tcPr>
          <w:p w14:paraId="6C275DC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31" w:type="pct"/>
            <w:vAlign w:val="center"/>
          </w:tcPr>
          <w:p w14:paraId="3D4546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223EF0D3" w14:textId="77777777" w:rsidTr="00DA3766">
        <w:trPr>
          <w:trHeight w:val="397"/>
          <w:jc w:val="center"/>
        </w:trPr>
        <w:tc>
          <w:tcPr>
            <w:tcW w:w="1697" w:type="pct"/>
            <w:vAlign w:val="center"/>
          </w:tcPr>
          <w:p w14:paraId="5439311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、办公及差旅费用</w:t>
            </w:r>
          </w:p>
        </w:tc>
        <w:tc>
          <w:tcPr>
            <w:tcW w:w="779" w:type="pct"/>
            <w:vAlign w:val="center"/>
          </w:tcPr>
          <w:p w14:paraId="311CD98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356.90</w:t>
            </w:r>
          </w:p>
        </w:tc>
        <w:tc>
          <w:tcPr>
            <w:tcW w:w="631" w:type="pct"/>
            <w:vAlign w:val="center"/>
          </w:tcPr>
          <w:p w14:paraId="3AD112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367.61</w:t>
            </w:r>
          </w:p>
        </w:tc>
        <w:tc>
          <w:tcPr>
            <w:tcW w:w="631" w:type="pct"/>
            <w:vAlign w:val="center"/>
          </w:tcPr>
          <w:p w14:paraId="01C9A8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378.64</w:t>
            </w:r>
          </w:p>
        </w:tc>
        <w:tc>
          <w:tcPr>
            <w:tcW w:w="631" w:type="pct"/>
            <w:vAlign w:val="center"/>
          </w:tcPr>
          <w:p w14:paraId="30417D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390.00</w:t>
            </w:r>
          </w:p>
        </w:tc>
        <w:tc>
          <w:tcPr>
            <w:tcW w:w="631" w:type="pct"/>
            <w:vAlign w:val="center"/>
          </w:tcPr>
          <w:p w14:paraId="5B6DE6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401.70</w:t>
            </w:r>
          </w:p>
        </w:tc>
      </w:tr>
      <w:tr w:rsidR="00EB3B4C" w:rsidRPr="00DA3766" w14:paraId="2BACB059" w14:textId="77777777" w:rsidTr="00DA3766">
        <w:trPr>
          <w:trHeight w:val="397"/>
          <w:jc w:val="center"/>
        </w:trPr>
        <w:tc>
          <w:tcPr>
            <w:tcW w:w="1697" w:type="pct"/>
            <w:vAlign w:val="center"/>
          </w:tcPr>
          <w:p w14:paraId="63A9932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B7E8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3F0CFA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004AC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E51CB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22F4FD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1CDD0FF8" w14:textId="77777777" w:rsidTr="00DA3766">
        <w:trPr>
          <w:trHeight w:val="397"/>
          <w:jc w:val="center"/>
        </w:trPr>
        <w:tc>
          <w:tcPr>
            <w:tcW w:w="1697" w:type="pct"/>
            <w:vAlign w:val="center"/>
          </w:tcPr>
          <w:p w14:paraId="1AF612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、业务招待费</w:t>
            </w:r>
          </w:p>
        </w:tc>
        <w:tc>
          <w:tcPr>
            <w:tcW w:w="779" w:type="pct"/>
            <w:vAlign w:val="center"/>
          </w:tcPr>
          <w:p w14:paraId="6D2941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148.84</w:t>
            </w:r>
          </w:p>
        </w:tc>
        <w:tc>
          <w:tcPr>
            <w:tcW w:w="631" w:type="pct"/>
            <w:vAlign w:val="center"/>
          </w:tcPr>
          <w:p w14:paraId="62C5C5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153.31</w:t>
            </w:r>
          </w:p>
        </w:tc>
        <w:tc>
          <w:tcPr>
            <w:tcW w:w="631" w:type="pct"/>
            <w:vAlign w:val="center"/>
          </w:tcPr>
          <w:p w14:paraId="583C46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157.91</w:t>
            </w:r>
          </w:p>
        </w:tc>
        <w:tc>
          <w:tcPr>
            <w:tcW w:w="631" w:type="pct"/>
            <w:vAlign w:val="center"/>
          </w:tcPr>
          <w:p w14:paraId="1B7AA3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162.65</w:t>
            </w:r>
          </w:p>
        </w:tc>
        <w:tc>
          <w:tcPr>
            <w:tcW w:w="631" w:type="pct"/>
            <w:vAlign w:val="center"/>
          </w:tcPr>
          <w:p w14:paraId="4AD9B4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167.53</w:t>
            </w:r>
          </w:p>
        </w:tc>
      </w:tr>
      <w:tr w:rsidR="00EB3B4C" w:rsidRPr="00DA3766" w14:paraId="49BB13DF" w14:textId="77777777" w:rsidTr="00DA3766">
        <w:trPr>
          <w:trHeight w:val="397"/>
          <w:jc w:val="center"/>
        </w:trPr>
        <w:tc>
          <w:tcPr>
            <w:tcW w:w="1697" w:type="pct"/>
            <w:vAlign w:val="center"/>
          </w:tcPr>
          <w:p w14:paraId="67BA6E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6240F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607366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4624EE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11EAD9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9B5AD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086951A5" w14:textId="77777777" w:rsidTr="00DA3766">
        <w:trPr>
          <w:trHeight w:val="397"/>
          <w:jc w:val="center"/>
        </w:trPr>
        <w:tc>
          <w:tcPr>
            <w:tcW w:w="1697" w:type="pct"/>
            <w:vAlign w:val="center"/>
          </w:tcPr>
          <w:p w14:paraId="28F62C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、专业服务与咨询费用</w:t>
            </w:r>
          </w:p>
        </w:tc>
        <w:tc>
          <w:tcPr>
            <w:tcW w:w="779" w:type="pct"/>
            <w:vAlign w:val="center"/>
          </w:tcPr>
          <w:p w14:paraId="07141A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367.41</w:t>
            </w:r>
          </w:p>
        </w:tc>
        <w:tc>
          <w:tcPr>
            <w:tcW w:w="631" w:type="pct"/>
            <w:vAlign w:val="center"/>
          </w:tcPr>
          <w:p w14:paraId="29563C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392.52</w:t>
            </w:r>
          </w:p>
        </w:tc>
        <w:tc>
          <w:tcPr>
            <w:tcW w:w="631" w:type="pct"/>
            <w:vAlign w:val="center"/>
          </w:tcPr>
          <w:p w14:paraId="6C4EE8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414.97</w:t>
            </w:r>
          </w:p>
        </w:tc>
        <w:tc>
          <w:tcPr>
            <w:tcW w:w="631" w:type="pct"/>
            <w:vAlign w:val="center"/>
          </w:tcPr>
          <w:p w14:paraId="2A398C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433.83</w:t>
            </w:r>
          </w:p>
        </w:tc>
        <w:tc>
          <w:tcPr>
            <w:tcW w:w="631" w:type="pct"/>
            <w:vAlign w:val="center"/>
          </w:tcPr>
          <w:p w14:paraId="7CD4BD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449.75</w:t>
            </w:r>
          </w:p>
        </w:tc>
      </w:tr>
      <w:tr w:rsidR="00EB3B4C" w:rsidRPr="00DA3766" w14:paraId="302C537E" w14:textId="77777777" w:rsidTr="00DA3766">
        <w:trPr>
          <w:trHeight w:val="397"/>
          <w:jc w:val="center"/>
        </w:trPr>
        <w:tc>
          <w:tcPr>
            <w:tcW w:w="1697" w:type="pct"/>
            <w:vAlign w:val="center"/>
          </w:tcPr>
          <w:p w14:paraId="4B6DDDB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50DF86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2A453D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3D44E0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1669B1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6FC33D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r>
      <w:tr w:rsidR="00EB3B4C" w:rsidRPr="00DA3766" w14:paraId="1467FF32" w14:textId="77777777" w:rsidTr="00DA3766">
        <w:trPr>
          <w:trHeight w:val="397"/>
          <w:jc w:val="center"/>
        </w:trPr>
        <w:tc>
          <w:tcPr>
            <w:tcW w:w="1697" w:type="pct"/>
            <w:vAlign w:val="center"/>
          </w:tcPr>
          <w:p w14:paraId="2F8BD5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4</w:t>
            </w:r>
            <w:r w:rsidRPr="00DA3766">
              <w:rPr>
                <w:rFonts w:ascii="Times New Roman" w:hAnsi="Times New Roman" w:cs="Times New Roman"/>
                <w:b/>
                <w:color w:val="000000"/>
                <w:sz w:val="21"/>
              </w:rPr>
              <w:t>、其他费用</w:t>
            </w:r>
          </w:p>
        </w:tc>
        <w:tc>
          <w:tcPr>
            <w:tcW w:w="779" w:type="pct"/>
            <w:vAlign w:val="center"/>
          </w:tcPr>
          <w:p w14:paraId="2298C8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52.49</w:t>
            </w:r>
          </w:p>
        </w:tc>
        <w:tc>
          <w:tcPr>
            <w:tcW w:w="631" w:type="pct"/>
            <w:vAlign w:val="center"/>
          </w:tcPr>
          <w:p w14:paraId="5A5811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56.07</w:t>
            </w:r>
          </w:p>
        </w:tc>
        <w:tc>
          <w:tcPr>
            <w:tcW w:w="631" w:type="pct"/>
            <w:vAlign w:val="center"/>
          </w:tcPr>
          <w:p w14:paraId="7FAD0E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59.28</w:t>
            </w:r>
          </w:p>
        </w:tc>
        <w:tc>
          <w:tcPr>
            <w:tcW w:w="631" w:type="pct"/>
            <w:vAlign w:val="center"/>
          </w:tcPr>
          <w:p w14:paraId="2D0677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61.98</w:t>
            </w:r>
          </w:p>
        </w:tc>
        <w:tc>
          <w:tcPr>
            <w:tcW w:w="631" w:type="pct"/>
            <w:vAlign w:val="center"/>
          </w:tcPr>
          <w:p w14:paraId="6C159E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64.25</w:t>
            </w:r>
          </w:p>
        </w:tc>
      </w:tr>
      <w:tr w:rsidR="00EB3B4C" w:rsidRPr="00DA3766" w14:paraId="2F07F9E7" w14:textId="77777777" w:rsidTr="00DA3766">
        <w:trPr>
          <w:trHeight w:val="397"/>
          <w:jc w:val="center"/>
        </w:trPr>
        <w:tc>
          <w:tcPr>
            <w:tcW w:w="1697" w:type="pct"/>
            <w:vAlign w:val="center"/>
          </w:tcPr>
          <w:p w14:paraId="74B5CC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D6977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5223420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2DA92B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4E065E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6574059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r>
      <w:tr w:rsidR="00EB3B4C" w:rsidRPr="00DA3766" w14:paraId="0642CF60" w14:textId="77777777" w:rsidTr="00DA3766">
        <w:trPr>
          <w:trHeight w:val="397"/>
          <w:jc w:val="center"/>
        </w:trPr>
        <w:tc>
          <w:tcPr>
            <w:tcW w:w="1697" w:type="pct"/>
            <w:vAlign w:val="center"/>
          </w:tcPr>
          <w:p w14:paraId="600AF0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779" w:type="pct"/>
            <w:vAlign w:val="center"/>
          </w:tcPr>
          <w:p w14:paraId="1EBF1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925.64 </w:t>
            </w:r>
          </w:p>
        </w:tc>
        <w:tc>
          <w:tcPr>
            <w:tcW w:w="631" w:type="pct"/>
            <w:vAlign w:val="center"/>
          </w:tcPr>
          <w:p w14:paraId="243F2D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969.51 </w:t>
            </w:r>
          </w:p>
        </w:tc>
        <w:tc>
          <w:tcPr>
            <w:tcW w:w="631" w:type="pct"/>
            <w:vAlign w:val="center"/>
          </w:tcPr>
          <w:p w14:paraId="26C1B5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1,010.80 </w:t>
            </w:r>
          </w:p>
        </w:tc>
        <w:tc>
          <w:tcPr>
            <w:tcW w:w="631" w:type="pct"/>
            <w:vAlign w:val="center"/>
          </w:tcPr>
          <w:p w14:paraId="706D66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1,048.46 </w:t>
            </w:r>
          </w:p>
        </w:tc>
        <w:tc>
          <w:tcPr>
            <w:tcW w:w="631" w:type="pct"/>
            <w:vAlign w:val="center"/>
          </w:tcPr>
          <w:p w14:paraId="2FF933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1,083.23 </w:t>
            </w:r>
          </w:p>
        </w:tc>
      </w:tr>
      <w:tr w:rsidR="00EB3B4C" w:rsidRPr="00DA3766" w14:paraId="4594AE4D" w14:textId="77777777" w:rsidTr="00DA3766">
        <w:trPr>
          <w:trHeight w:val="397"/>
          <w:jc w:val="center"/>
        </w:trPr>
        <w:tc>
          <w:tcPr>
            <w:tcW w:w="1697" w:type="pct"/>
            <w:vAlign w:val="center"/>
          </w:tcPr>
          <w:p w14:paraId="4C1A571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298ADB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4F1B48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64BA4F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5A875B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15D5C9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r>
    </w:tbl>
    <w:p w14:paraId="73EF94B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）物业费及租金</w:t>
      </w:r>
    </w:p>
    <w:p w14:paraId="49291B07" w14:textId="52104692" w:rsidR="00EB3B4C" w:rsidRPr="00DA3766" w:rsidRDefault="00EB3B4C" w:rsidP="00EB3B4C">
      <w:pPr>
        <w:widowControl w:val="0"/>
        <w:spacing w:before="120" w:after="120"/>
        <w:ind w:firstLine="480"/>
        <w:jc w:val="both"/>
        <w:rPr>
          <w:rFonts w:ascii="Times New Roman" w:hAnsi="Times New Roman" w:cs="Times New Roman"/>
          <w:kern w:val="2"/>
          <w:szCs w:val="28"/>
        </w:rPr>
      </w:pPr>
      <w:r w:rsidRPr="00DA3766">
        <w:rPr>
          <w:rFonts w:ascii="Times New Roman" w:hAnsi="Times New Roman" w:cs="Times New Roman"/>
          <w:kern w:val="2"/>
          <w:szCs w:val="28"/>
        </w:rPr>
        <w:t>租金及物业费系租赁办公经营场所的租金和物业费，根据现有租赁合同及未来新增租赁计划进行预测。租期内租金按合同约定租金测算，租期到期后续约租金考虑一定的年增长率。经了解，目前</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8"/>
        </w:rPr>
        <w:t>公司租赁的办公经营场所已基本能满足未来发展需要，故未来不考虑新增租赁，维持现有租赁规模。</w:t>
      </w:r>
    </w:p>
    <w:p w14:paraId="48FEC0C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4"/>
        <w:gridCol w:w="1532"/>
        <w:gridCol w:w="1240"/>
        <w:gridCol w:w="1240"/>
        <w:gridCol w:w="1240"/>
        <w:gridCol w:w="1242"/>
      </w:tblGrid>
      <w:tr w:rsidR="00EB3B4C" w:rsidRPr="00DA3766" w14:paraId="4DF0F569" w14:textId="77777777" w:rsidTr="00DA3766">
        <w:trPr>
          <w:trHeight w:val="397"/>
          <w:tblHeader/>
          <w:jc w:val="center"/>
        </w:trPr>
        <w:tc>
          <w:tcPr>
            <w:tcW w:w="1193" w:type="pct"/>
            <w:vMerge w:val="restart"/>
            <w:vAlign w:val="center"/>
          </w:tcPr>
          <w:p w14:paraId="70362E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807" w:type="pct"/>
            <w:gridSpan w:val="5"/>
            <w:vAlign w:val="center"/>
          </w:tcPr>
          <w:p w14:paraId="69A730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5043BF6" w14:textId="77777777" w:rsidTr="00DA3766">
        <w:trPr>
          <w:trHeight w:val="397"/>
          <w:tblHeader/>
          <w:jc w:val="center"/>
        </w:trPr>
        <w:tc>
          <w:tcPr>
            <w:tcW w:w="1193" w:type="pct"/>
            <w:vMerge/>
            <w:vAlign w:val="center"/>
          </w:tcPr>
          <w:p w14:paraId="300391A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8" w:type="pct"/>
            <w:vAlign w:val="center"/>
          </w:tcPr>
          <w:p w14:paraId="13F7FC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727" w:type="pct"/>
            <w:vAlign w:val="center"/>
          </w:tcPr>
          <w:p w14:paraId="2B9AC67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27" w:type="pct"/>
            <w:vAlign w:val="center"/>
          </w:tcPr>
          <w:p w14:paraId="6BBDD0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27" w:type="pct"/>
            <w:vAlign w:val="center"/>
          </w:tcPr>
          <w:p w14:paraId="6BE63B3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27" w:type="pct"/>
            <w:vAlign w:val="center"/>
          </w:tcPr>
          <w:p w14:paraId="7A7B3D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0E24B435" w14:textId="77777777" w:rsidTr="00DA3766">
        <w:trPr>
          <w:trHeight w:val="397"/>
          <w:jc w:val="center"/>
        </w:trPr>
        <w:tc>
          <w:tcPr>
            <w:tcW w:w="1193" w:type="pct"/>
            <w:vAlign w:val="center"/>
          </w:tcPr>
          <w:p w14:paraId="6E7D3E7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租金及物业费</w:t>
            </w:r>
          </w:p>
        </w:tc>
        <w:tc>
          <w:tcPr>
            <w:tcW w:w="898" w:type="pct"/>
            <w:vAlign w:val="center"/>
          </w:tcPr>
          <w:p w14:paraId="55D2E70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376.67</w:t>
            </w:r>
          </w:p>
        </w:tc>
        <w:tc>
          <w:tcPr>
            <w:tcW w:w="727" w:type="pct"/>
            <w:vAlign w:val="center"/>
          </w:tcPr>
          <w:p w14:paraId="16F5B2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435.61</w:t>
            </w:r>
          </w:p>
        </w:tc>
        <w:tc>
          <w:tcPr>
            <w:tcW w:w="727" w:type="pct"/>
            <w:vAlign w:val="center"/>
          </w:tcPr>
          <w:p w14:paraId="6AC2A4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449.38</w:t>
            </w:r>
          </w:p>
        </w:tc>
        <w:tc>
          <w:tcPr>
            <w:tcW w:w="727" w:type="pct"/>
            <w:vAlign w:val="center"/>
          </w:tcPr>
          <w:p w14:paraId="481D3A4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463.76</w:t>
            </w:r>
          </w:p>
        </w:tc>
        <w:tc>
          <w:tcPr>
            <w:tcW w:w="727" w:type="pct"/>
            <w:vAlign w:val="center"/>
          </w:tcPr>
          <w:p w14:paraId="24528E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478.62</w:t>
            </w:r>
          </w:p>
        </w:tc>
      </w:tr>
      <w:tr w:rsidR="00EB3B4C" w:rsidRPr="00DA3766" w14:paraId="2262583C" w14:textId="77777777" w:rsidTr="00DA3766">
        <w:trPr>
          <w:trHeight w:val="397"/>
          <w:jc w:val="center"/>
        </w:trPr>
        <w:tc>
          <w:tcPr>
            <w:tcW w:w="1193" w:type="pct"/>
            <w:vAlign w:val="center"/>
          </w:tcPr>
          <w:p w14:paraId="31220B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98" w:type="pct"/>
            <w:vAlign w:val="center"/>
          </w:tcPr>
          <w:p w14:paraId="0225DA9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013E9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596AB7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6E0192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4D67CE4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1DFBDBB"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（三）研发费用主要明细项目的具体预测情况、过程及依据</w:t>
      </w:r>
    </w:p>
    <w:p w14:paraId="6F7E70CB"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、研发费用主要明细项目</w:t>
      </w:r>
    </w:p>
    <w:p w14:paraId="60BA0EF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研发费用主要由直接人工费用、折旧摊销费用等构成。报告期各期，标的公司研发费用分别为</w:t>
      </w:r>
      <w:r w:rsidRPr="00DA3766">
        <w:rPr>
          <w:rFonts w:ascii="Times New Roman" w:hAnsi="Times New Roman" w:cs="Times New Roman"/>
          <w:kern w:val="2"/>
          <w:szCs w:val="22"/>
        </w:rPr>
        <w:t>7,072.82</w:t>
      </w:r>
      <w:r w:rsidRPr="00DA3766">
        <w:rPr>
          <w:rFonts w:ascii="Times New Roman" w:hAnsi="Times New Roman" w:cs="Times New Roman"/>
          <w:kern w:val="2"/>
          <w:szCs w:val="22"/>
        </w:rPr>
        <w:t>万元、</w:t>
      </w:r>
      <w:r w:rsidRPr="00DA3766">
        <w:rPr>
          <w:rFonts w:ascii="Times New Roman" w:hAnsi="Times New Roman" w:cs="Times New Roman"/>
          <w:kern w:val="2"/>
          <w:szCs w:val="22"/>
        </w:rPr>
        <w:t>6,446.17</w:t>
      </w:r>
      <w:r w:rsidRPr="00DA3766">
        <w:rPr>
          <w:rFonts w:ascii="Times New Roman" w:hAnsi="Times New Roman" w:cs="Times New Roman"/>
          <w:kern w:val="2"/>
          <w:szCs w:val="22"/>
        </w:rPr>
        <w:t>万元和</w:t>
      </w:r>
      <w:r w:rsidRPr="00DA3766">
        <w:rPr>
          <w:rFonts w:ascii="Times New Roman" w:hAnsi="Times New Roman" w:cs="Times New Roman"/>
          <w:kern w:val="2"/>
          <w:szCs w:val="22"/>
        </w:rPr>
        <w:t>3,110.71</w:t>
      </w:r>
      <w:r w:rsidRPr="00DA3766">
        <w:rPr>
          <w:rFonts w:ascii="Times New Roman" w:hAnsi="Times New Roman" w:cs="Times New Roman"/>
          <w:kern w:val="2"/>
          <w:szCs w:val="22"/>
        </w:rPr>
        <w:t>万元。具体情况如下：</w:t>
      </w:r>
    </w:p>
    <w:p w14:paraId="5CDDC17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98"/>
        <w:gridCol w:w="1165"/>
        <w:gridCol w:w="1163"/>
        <w:gridCol w:w="1001"/>
        <w:gridCol w:w="1201"/>
        <w:gridCol w:w="1199"/>
        <w:gridCol w:w="1201"/>
      </w:tblGrid>
      <w:tr w:rsidR="00EB3B4C" w:rsidRPr="00DA3766" w14:paraId="61BADE11" w14:textId="77777777" w:rsidTr="00DA3766">
        <w:trPr>
          <w:trHeight w:val="397"/>
          <w:tblHeader/>
          <w:jc w:val="center"/>
        </w:trPr>
        <w:tc>
          <w:tcPr>
            <w:tcW w:w="937" w:type="pct"/>
            <w:vMerge w:val="restart"/>
            <w:tcMar>
              <w:top w:w="0" w:type="dxa"/>
              <w:left w:w="108" w:type="dxa"/>
              <w:bottom w:w="0" w:type="dxa"/>
              <w:right w:w="108" w:type="dxa"/>
            </w:tcMar>
            <w:vAlign w:val="center"/>
          </w:tcPr>
          <w:p w14:paraId="42541653"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365" w:type="pct"/>
            <w:gridSpan w:val="2"/>
            <w:tcMar>
              <w:top w:w="0" w:type="dxa"/>
              <w:left w:w="108" w:type="dxa"/>
              <w:bottom w:w="0" w:type="dxa"/>
              <w:right w:w="108" w:type="dxa"/>
            </w:tcMar>
            <w:vAlign w:val="center"/>
          </w:tcPr>
          <w:p w14:paraId="2EE9400D"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91" w:type="pct"/>
            <w:gridSpan w:val="2"/>
            <w:tcMar>
              <w:top w:w="0" w:type="dxa"/>
              <w:left w:w="108" w:type="dxa"/>
              <w:bottom w:w="0" w:type="dxa"/>
              <w:right w:w="108" w:type="dxa"/>
            </w:tcMar>
            <w:vAlign w:val="center"/>
          </w:tcPr>
          <w:p w14:paraId="454AFAA7"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407" w:type="pct"/>
            <w:gridSpan w:val="2"/>
            <w:tcMar>
              <w:top w:w="0" w:type="dxa"/>
              <w:left w:w="108" w:type="dxa"/>
              <w:bottom w:w="0" w:type="dxa"/>
              <w:right w:w="108" w:type="dxa"/>
            </w:tcMar>
            <w:vAlign w:val="center"/>
          </w:tcPr>
          <w:p w14:paraId="687EC0E4"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51E8096E" w14:textId="77777777" w:rsidTr="00DA3766">
        <w:trPr>
          <w:trHeight w:val="397"/>
          <w:tblHeader/>
          <w:jc w:val="center"/>
        </w:trPr>
        <w:tc>
          <w:tcPr>
            <w:tcW w:w="0" w:type="auto"/>
            <w:vMerge/>
            <w:tcMar>
              <w:top w:w="0" w:type="dxa"/>
              <w:left w:w="108" w:type="dxa"/>
              <w:bottom w:w="0" w:type="dxa"/>
              <w:right w:w="108" w:type="dxa"/>
            </w:tcMar>
            <w:vAlign w:val="center"/>
          </w:tcPr>
          <w:p w14:paraId="58E619F3" w14:textId="77777777" w:rsidR="00EB3B4C" w:rsidRPr="00DA3766" w:rsidRDefault="00EB3B4C" w:rsidP="00582BF8">
            <w:pPr>
              <w:keepNext/>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83" w:type="pct"/>
            <w:tcMar>
              <w:top w:w="0" w:type="dxa"/>
              <w:left w:w="108" w:type="dxa"/>
              <w:bottom w:w="0" w:type="dxa"/>
              <w:right w:w="108" w:type="dxa"/>
            </w:tcMar>
            <w:vAlign w:val="center"/>
          </w:tcPr>
          <w:p w14:paraId="0E7E6F13"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82" w:type="pct"/>
            <w:tcMar>
              <w:top w:w="0" w:type="dxa"/>
              <w:left w:w="108" w:type="dxa"/>
              <w:bottom w:w="0" w:type="dxa"/>
              <w:right w:w="108" w:type="dxa"/>
            </w:tcMar>
            <w:vAlign w:val="center"/>
          </w:tcPr>
          <w:p w14:paraId="2377DFA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587" w:type="pct"/>
            <w:tcMar>
              <w:top w:w="0" w:type="dxa"/>
              <w:left w:w="108" w:type="dxa"/>
              <w:bottom w:w="0" w:type="dxa"/>
              <w:right w:w="108" w:type="dxa"/>
            </w:tcMar>
            <w:vAlign w:val="center"/>
          </w:tcPr>
          <w:p w14:paraId="48CCDD6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704" w:type="pct"/>
            <w:tcMar>
              <w:top w:w="0" w:type="dxa"/>
              <w:left w:w="108" w:type="dxa"/>
              <w:bottom w:w="0" w:type="dxa"/>
              <w:right w:w="108" w:type="dxa"/>
            </w:tcMar>
            <w:vAlign w:val="center"/>
          </w:tcPr>
          <w:p w14:paraId="76563498"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703" w:type="pct"/>
            <w:tcMar>
              <w:top w:w="0" w:type="dxa"/>
              <w:left w:w="108" w:type="dxa"/>
              <w:bottom w:w="0" w:type="dxa"/>
              <w:right w:w="108" w:type="dxa"/>
            </w:tcMar>
            <w:vAlign w:val="center"/>
          </w:tcPr>
          <w:p w14:paraId="642CA14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704" w:type="pct"/>
            <w:tcMar>
              <w:top w:w="0" w:type="dxa"/>
              <w:left w:w="108" w:type="dxa"/>
              <w:bottom w:w="0" w:type="dxa"/>
              <w:right w:w="108" w:type="dxa"/>
            </w:tcMar>
            <w:vAlign w:val="center"/>
          </w:tcPr>
          <w:p w14:paraId="1F35115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17FF9833" w14:textId="77777777" w:rsidTr="00DA3766">
        <w:trPr>
          <w:trHeight w:val="397"/>
          <w:jc w:val="center"/>
        </w:trPr>
        <w:tc>
          <w:tcPr>
            <w:tcW w:w="937" w:type="pct"/>
            <w:tcMar>
              <w:top w:w="0" w:type="dxa"/>
              <w:left w:w="108" w:type="dxa"/>
              <w:bottom w:w="0" w:type="dxa"/>
              <w:right w:w="108" w:type="dxa"/>
            </w:tcMar>
            <w:vAlign w:val="center"/>
          </w:tcPr>
          <w:p w14:paraId="4DBEA9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直接人工费用</w:t>
            </w:r>
          </w:p>
        </w:tc>
        <w:tc>
          <w:tcPr>
            <w:tcW w:w="683" w:type="pct"/>
            <w:tcMar>
              <w:top w:w="0" w:type="dxa"/>
              <w:left w:w="108" w:type="dxa"/>
              <w:bottom w:w="0" w:type="dxa"/>
              <w:right w:w="108" w:type="dxa"/>
            </w:tcMar>
            <w:vAlign w:val="center"/>
          </w:tcPr>
          <w:p w14:paraId="267323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2,976.68</w:t>
            </w:r>
          </w:p>
        </w:tc>
        <w:tc>
          <w:tcPr>
            <w:tcW w:w="682" w:type="pct"/>
            <w:tcMar>
              <w:top w:w="0" w:type="dxa"/>
              <w:left w:w="108" w:type="dxa"/>
              <w:bottom w:w="0" w:type="dxa"/>
              <w:right w:w="108" w:type="dxa"/>
            </w:tcMar>
            <w:vAlign w:val="center"/>
          </w:tcPr>
          <w:p w14:paraId="2A14AF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95.69%</w:t>
            </w:r>
          </w:p>
        </w:tc>
        <w:tc>
          <w:tcPr>
            <w:tcW w:w="587" w:type="pct"/>
            <w:tcMar>
              <w:top w:w="0" w:type="dxa"/>
              <w:left w:w="108" w:type="dxa"/>
              <w:bottom w:w="0" w:type="dxa"/>
              <w:right w:w="108" w:type="dxa"/>
            </w:tcMar>
            <w:vAlign w:val="center"/>
          </w:tcPr>
          <w:p w14:paraId="76A230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6,095.04</w:t>
            </w:r>
          </w:p>
        </w:tc>
        <w:tc>
          <w:tcPr>
            <w:tcW w:w="704" w:type="pct"/>
            <w:tcMar>
              <w:top w:w="0" w:type="dxa"/>
              <w:left w:w="108" w:type="dxa"/>
              <w:bottom w:w="0" w:type="dxa"/>
              <w:right w:w="108" w:type="dxa"/>
            </w:tcMar>
            <w:vAlign w:val="center"/>
          </w:tcPr>
          <w:p w14:paraId="473C60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94.55%</w:t>
            </w:r>
          </w:p>
        </w:tc>
        <w:tc>
          <w:tcPr>
            <w:tcW w:w="703" w:type="pct"/>
            <w:tcMar>
              <w:top w:w="0" w:type="dxa"/>
              <w:left w:w="108" w:type="dxa"/>
              <w:bottom w:w="0" w:type="dxa"/>
              <w:right w:w="108" w:type="dxa"/>
            </w:tcMar>
            <w:vAlign w:val="center"/>
          </w:tcPr>
          <w:p w14:paraId="725484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6,790.11</w:t>
            </w:r>
          </w:p>
        </w:tc>
        <w:tc>
          <w:tcPr>
            <w:tcW w:w="704" w:type="pct"/>
            <w:tcMar>
              <w:top w:w="0" w:type="dxa"/>
              <w:left w:w="108" w:type="dxa"/>
              <w:bottom w:w="0" w:type="dxa"/>
              <w:right w:w="108" w:type="dxa"/>
            </w:tcMar>
            <w:vAlign w:val="center"/>
          </w:tcPr>
          <w:p w14:paraId="2F7434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96.00%</w:t>
            </w:r>
          </w:p>
        </w:tc>
      </w:tr>
      <w:tr w:rsidR="00EB3B4C" w:rsidRPr="00DA3766" w14:paraId="3D451321" w14:textId="77777777" w:rsidTr="00DA3766">
        <w:trPr>
          <w:trHeight w:val="397"/>
          <w:jc w:val="center"/>
        </w:trPr>
        <w:tc>
          <w:tcPr>
            <w:tcW w:w="937" w:type="pct"/>
            <w:tcMar>
              <w:top w:w="0" w:type="dxa"/>
              <w:left w:w="108" w:type="dxa"/>
              <w:bottom w:w="0" w:type="dxa"/>
              <w:right w:w="108" w:type="dxa"/>
            </w:tcMar>
            <w:vAlign w:val="center"/>
          </w:tcPr>
          <w:p w14:paraId="437E8C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折旧摊销费用</w:t>
            </w:r>
          </w:p>
        </w:tc>
        <w:tc>
          <w:tcPr>
            <w:tcW w:w="683" w:type="pct"/>
            <w:tcMar>
              <w:top w:w="0" w:type="dxa"/>
              <w:left w:w="108" w:type="dxa"/>
              <w:bottom w:w="0" w:type="dxa"/>
              <w:right w:w="108" w:type="dxa"/>
            </w:tcMar>
            <w:vAlign w:val="center"/>
          </w:tcPr>
          <w:p w14:paraId="68DA6E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68.76</w:t>
            </w:r>
          </w:p>
        </w:tc>
        <w:tc>
          <w:tcPr>
            <w:tcW w:w="682" w:type="pct"/>
            <w:tcMar>
              <w:top w:w="0" w:type="dxa"/>
              <w:left w:w="108" w:type="dxa"/>
              <w:bottom w:w="0" w:type="dxa"/>
              <w:right w:w="108" w:type="dxa"/>
            </w:tcMar>
            <w:vAlign w:val="center"/>
          </w:tcPr>
          <w:p w14:paraId="1EC916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2.21%</w:t>
            </w:r>
          </w:p>
        </w:tc>
        <w:tc>
          <w:tcPr>
            <w:tcW w:w="587" w:type="pct"/>
            <w:tcMar>
              <w:top w:w="0" w:type="dxa"/>
              <w:left w:w="108" w:type="dxa"/>
              <w:bottom w:w="0" w:type="dxa"/>
              <w:right w:w="108" w:type="dxa"/>
            </w:tcMar>
            <w:vAlign w:val="center"/>
          </w:tcPr>
          <w:p w14:paraId="235E79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155.25</w:t>
            </w:r>
          </w:p>
        </w:tc>
        <w:tc>
          <w:tcPr>
            <w:tcW w:w="704" w:type="pct"/>
            <w:tcMar>
              <w:top w:w="0" w:type="dxa"/>
              <w:left w:w="108" w:type="dxa"/>
              <w:bottom w:w="0" w:type="dxa"/>
              <w:right w:w="108" w:type="dxa"/>
            </w:tcMar>
            <w:vAlign w:val="center"/>
          </w:tcPr>
          <w:p w14:paraId="7A6F0D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2.41%</w:t>
            </w:r>
          </w:p>
        </w:tc>
        <w:tc>
          <w:tcPr>
            <w:tcW w:w="703" w:type="pct"/>
            <w:tcMar>
              <w:top w:w="0" w:type="dxa"/>
              <w:left w:w="108" w:type="dxa"/>
              <w:bottom w:w="0" w:type="dxa"/>
              <w:right w:w="108" w:type="dxa"/>
            </w:tcMar>
            <w:vAlign w:val="center"/>
          </w:tcPr>
          <w:p w14:paraId="116333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155.95</w:t>
            </w:r>
          </w:p>
        </w:tc>
        <w:tc>
          <w:tcPr>
            <w:tcW w:w="704" w:type="pct"/>
            <w:tcMar>
              <w:top w:w="0" w:type="dxa"/>
              <w:left w:w="108" w:type="dxa"/>
              <w:bottom w:w="0" w:type="dxa"/>
              <w:right w:w="108" w:type="dxa"/>
            </w:tcMar>
            <w:vAlign w:val="center"/>
          </w:tcPr>
          <w:p w14:paraId="25BC20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2.20%</w:t>
            </w:r>
          </w:p>
        </w:tc>
      </w:tr>
      <w:tr w:rsidR="00EB3B4C" w:rsidRPr="00DA3766" w14:paraId="062D1D68" w14:textId="77777777" w:rsidTr="00DA3766">
        <w:trPr>
          <w:trHeight w:val="397"/>
          <w:jc w:val="center"/>
        </w:trPr>
        <w:tc>
          <w:tcPr>
            <w:tcW w:w="937" w:type="pct"/>
            <w:tcMar>
              <w:top w:w="0" w:type="dxa"/>
              <w:left w:w="108" w:type="dxa"/>
              <w:bottom w:w="0" w:type="dxa"/>
              <w:right w:w="108" w:type="dxa"/>
            </w:tcMar>
            <w:vAlign w:val="center"/>
          </w:tcPr>
          <w:p w14:paraId="1DFB9AD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直接投入费用</w:t>
            </w:r>
          </w:p>
        </w:tc>
        <w:tc>
          <w:tcPr>
            <w:tcW w:w="683" w:type="pct"/>
            <w:tcMar>
              <w:top w:w="0" w:type="dxa"/>
              <w:left w:w="108" w:type="dxa"/>
              <w:bottom w:w="0" w:type="dxa"/>
              <w:right w:w="108" w:type="dxa"/>
            </w:tcMar>
            <w:vAlign w:val="center"/>
          </w:tcPr>
          <w:p w14:paraId="58706A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30.93</w:t>
            </w:r>
          </w:p>
        </w:tc>
        <w:tc>
          <w:tcPr>
            <w:tcW w:w="682" w:type="pct"/>
            <w:tcMar>
              <w:top w:w="0" w:type="dxa"/>
              <w:left w:w="108" w:type="dxa"/>
              <w:bottom w:w="0" w:type="dxa"/>
              <w:right w:w="108" w:type="dxa"/>
            </w:tcMar>
            <w:vAlign w:val="center"/>
          </w:tcPr>
          <w:p w14:paraId="6BA21C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c>
          <w:tcPr>
            <w:tcW w:w="587" w:type="pct"/>
            <w:tcMar>
              <w:top w:w="0" w:type="dxa"/>
              <w:left w:w="108" w:type="dxa"/>
              <w:bottom w:w="0" w:type="dxa"/>
              <w:right w:w="108" w:type="dxa"/>
            </w:tcMar>
            <w:vAlign w:val="center"/>
          </w:tcPr>
          <w:p w14:paraId="452518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35.68</w:t>
            </w:r>
          </w:p>
        </w:tc>
        <w:tc>
          <w:tcPr>
            <w:tcW w:w="704" w:type="pct"/>
            <w:tcMar>
              <w:top w:w="0" w:type="dxa"/>
              <w:left w:w="108" w:type="dxa"/>
              <w:bottom w:w="0" w:type="dxa"/>
              <w:right w:w="108" w:type="dxa"/>
            </w:tcMar>
            <w:vAlign w:val="center"/>
          </w:tcPr>
          <w:p w14:paraId="3B3763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0.55%</w:t>
            </w:r>
          </w:p>
        </w:tc>
        <w:tc>
          <w:tcPr>
            <w:tcW w:w="703" w:type="pct"/>
            <w:tcMar>
              <w:top w:w="0" w:type="dxa"/>
              <w:left w:w="108" w:type="dxa"/>
              <w:bottom w:w="0" w:type="dxa"/>
              <w:right w:w="108" w:type="dxa"/>
            </w:tcMar>
            <w:vAlign w:val="center"/>
          </w:tcPr>
          <w:p w14:paraId="56F891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33.37</w:t>
            </w:r>
          </w:p>
        </w:tc>
        <w:tc>
          <w:tcPr>
            <w:tcW w:w="704" w:type="pct"/>
            <w:tcMar>
              <w:top w:w="0" w:type="dxa"/>
              <w:left w:w="108" w:type="dxa"/>
              <w:bottom w:w="0" w:type="dxa"/>
              <w:right w:w="108" w:type="dxa"/>
            </w:tcMar>
            <w:vAlign w:val="center"/>
          </w:tcPr>
          <w:p w14:paraId="18E78D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0.47%</w:t>
            </w:r>
          </w:p>
        </w:tc>
      </w:tr>
      <w:tr w:rsidR="00EB3B4C" w:rsidRPr="00DA3766" w14:paraId="731BF807" w14:textId="77777777" w:rsidTr="00DA3766">
        <w:trPr>
          <w:trHeight w:val="397"/>
          <w:jc w:val="center"/>
        </w:trPr>
        <w:tc>
          <w:tcPr>
            <w:tcW w:w="937" w:type="pct"/>
            <w:tcMar>
              <w:top w:w="0" w:type="dxa"/>
              <w:left w:w="108" w:type="dxa"/>
              <w:bottom w:w="0" w:type="dxa"/>
              <w:right w:w="108" w:type="dxa"/>
            </w:tcMar>
            <w:vAlign w:val="center"/>
          </w:tcPr>
          <w:p w14:paraId="0BCDDC7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技术服务费用</w:t>
            </w:r>
          </w:p>
        </w:tc>
        <w:tc>
          <w:tcPr>
            <w:tcW w:w="683" w:type="pct"/>
            <w:tcMar>
              <w:top w:w="0" w:type="dxa"/>
              <w:left w:w="108" w:type="dxa"/>
              <w:bottom w:w="0" w:type="dxa"/>
              <w:right w:w="108" w:type="dxa"/>
            </w:tcMar>
            <w:vAlign w:val="center"/>
          </w:tcPr>
          <w:p w14:paraId="738EEE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4.91</w:t>
            </w:r>
          </w:p>
        </w:tc>
        <w:tc>
          <w:tcPr>
            <w:tcW w:w="682" w:type="pct"/>
            <w:tcMar>
              <w:top w:w="0" w:type="dxa"/>
              <w:left w:w="108" w:type="dxa"/>
              <w:bottom w:w="0" w:type="dxa"/>
              <w:right w:w="108" w:type="dxa"/>
            </w:tcMar>
            <w:vAlign w:val="center"/>
          </w:tcPr>
          <w:p w14:paraId="4D4F9DD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587" w:type="pct"/>
            <w:tcMar>
              <w:top w:w="0" w:type="dxa"/>
              <w:left w:w="108" w:type="dxa"/>
              <w:bottom w:w="0" w:type="dxa"/>
              <w:right w:w="108" w:type="dxa"/>
            </w:tcMar>
            <w:vAlign w:val="center"/>
          </w:tcPr>
          <w:p w14:paraId="026682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42.76</w:t>
            </w:r>
          </w:p>
        </w:tc>
        <w:tc>
          <w:tcPr>
            <w:tcW w:w="704" w:type="pct"/>
            <w:tcMar>
              <w:top w:w="0" w:type="dxa"/>
              <w:left w:w="108" w:type="dxa"/>
              <w:bottom w:w="0" w:type="dxa"/>
              <w:right w:w="108" w:type="dxa"/>
            </w:tcMar>
            <w:vAlign w:val="center"/>
          </w:tcPr>
          <w:p w14:paraId="31AACE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0.66%</w:t>
            </w:r>
          </w:p>
        </w:tc>
        <w:tc>
          <w:tcPr>
            <w:tcW w:w="703" w:type="pct"/>
            <w:tcMar>
              <w:top w:w="0" w:type="dxa"/>
              <w:left w:w="108" w:type="dxa"/>
              <w:bottom w:w="0" w:type="dxa"/>
              <w:right w:w="108" w:type="dxa"/>
            </w:tcMar>
            <w:vAlign w:val="center"/>
          </w:tcPr>
          <w:p w14:paraId="00C609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42.51</w:t>
            </w:r>
          </w:p>
        </w:tc>
        <w:tc>
          <w:tcPr>
            <w:tcW w:w="704" w:type="pct"/>
            <w:tcMar>
              <w:top w:w="0" w:type="dxa"/>
              <w:left w:w="108" w:type="dxa"/>
              <w:bottom w:w="0" w:type="dxa"/>
              <w:right w:w="108" w:type="dxa"/>
            </w:tcMar>
            <w:vAlign w:val="center"/>
          </w:tcPr>
          <w:p w14:paraId="485EACE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0.60%</w:t>
            </w:r>
          </w:p>
        </w:tc>
      </w:tr>
      <w:tr w:rsidR="00EB3B4C" w:rsidRPr="00DA3766" w14:paraId="6DCD2503" w14:textId="77777777" w:rsidTr="00DA3766">
        <w:trPr>
          <w:trHeight w:val="397"/>
          <w:jc w:val="center"/>
        </w:trPr>
        <w:tc>
          <w:tcPr>
            <w:tcW w:w="937" w:type="pct"/>
            <w:tcMar>
              <w:top w:w="0" w:type="dxa"/>
              <w:left w:w="108" w:type="dxa"/>
              <w:bottom w:w="0" w:type="dxa"/>
              <w:right w:w="108" w:type="dxa"/>
            </w:tcMar>
            <w:vAlign w:val="center"/>
          </w:tcPr>
          <w:p w14:paraId="13070F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其他相关费用</w:t>
            </w:r>
          </w:p>
        </w:tc>
        <w:tc>
          <w:tcPr>
            <w:tcW w:w="683" w:type="pct"/>
            <w:tcMar>
              <w:top w:w="0" w:type="dxa"/>
              <w:left w:w="108" w:type="dxa"/>
              <w:bottom w:w="0" w:type="dxa"/>
              <w:right w:w="108" w:type="dxa"/>
            </w:tcMar>
            <w:vAlign w:val="center"/>
          </w:tcPr>
          <w:p w14:paraId="10E08A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29.44</w:t>
            </w:r>
          </w:p>
        </w:tc>
        <w:tc>
          <w:tcPr>
            <w:tcW w:w="682" w:type="pct"/>
            <w:tcMar>
              <w:top w:w="0" w:type="dxa"/>
              <w:left w:w="108" w:type="dxa"/>
              <w:bottom w:w="0" w:type="dxa"/>
              <w:right w:w="108" w:type="dxa"/>
            </w:tcMar>
            <w:vAlign w:val="center"/>
          </w:tcPr>
          <w:p w14:paraId="1121B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0.95%</w:t>
            </w:r>
          </w:p>
        </w:tc>
        <w:tc>
          <w:tcPr>
            <w:tcW w:w="587" w:type="pct"/>
            <w:tcMar>
              <w:top w:w="0" w:type="dxa"/>
              <w:left w:w="108" w:type="dxa"/>
              <w:bottom w:w="0" w:type="dxa"/>
              <w:right w:w="108" w:type="dxa"/>
            </w:tcMar>
            <w:vAlign w:val="center"/>
          </w:tcPr>
          <w:p w14:paraId="54E541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117.45</w:t>
            </w:r>
          </w:p>
        </w:tc>
        <w:tc>
          <w:tcPr>
            <w:tcW w:w="704" w:type="pct"/>
            <w:tcMar>
              <w:top w:w="0" w:type="dxa"/>
              <w:left w:w="108" w:type="dxa"/>
              <w:bottom w:w="0" w:type="dxa"/>
              <w:right w:w="108" w:type="dxa"/>
            </w:tcMar>
            <w:vAlign w:val="center"/>
          </w:tcPr>
          <w:p w14:paraId="7A00B4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w:t>
            </w:r>
          </w:p>
        </w:tc>
        <w:tc>
          <w:tcPr>
            <w:tcW w:w="703" w:type="pct"/>
            <w:tcMar>
              <w:top w:w="0" w:type="dxa"/>
              <w:left w:w="108" w:type="dxa"/>
              <w:bottom w:w="0" w:type="dxa"/>
              <w:right w:w="108" w:type="dxa"/>
            </w:tcMar>
            <w:vAlign w:val="center"/>
          </w:tcPr>
          <w:p w14:paraId="08223B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50.88</w:t>
            </w:r>
          </w:p>
        </w:tc>
        <w:tc>
          <w:tcPr>
            <w:tcW w:w="704" w:type="pct"/>
            <w:tcMar>
              <w:top w:w="0" w:type="dxa"/>
              <w:left w:w="108" w:type="dxa"/>
              <w:bottom w:w="0" w:type="dxa"/>
              <w:right w:w="108" w:type="dxa"/>
            </w:tcMar>
            <w:vAlign w:val="center"/>
          </w:tcPr>
          <w:p w14:paraId="245862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0.72%</w:t>
            </w:r>
          </w:p>
        </w:tc>
      </w:tr>
      <w:tr w:rsidR="00EB3B4C" w:rsidRPr="00DA3766" w14:paraId="5E490BA9" w14:textId="77777777" w:rsidTr="00DA3766">
        <w:trPr>
          <w:trHeight w:val="397"/>
          <w:jc w:val="center"/>
        </w:trPr>
        <w:tc>
          <w:tcPr>
            <w:tcW w:w="937" w:type="pct"/>
            <w:tcMar>
              <w:top w:w="0" w:type="dxa"/>
              <w:left w:w="108" w:type="dxa"/>
              <w:bottom w:w="0" w:type="dxa"/>
              <w:right w:w="108" w:type="dxa"/>
            </w:tcMar>
            <w:vAlign w:val="center"/>
          </w:tcPr>
          <w:p w14:paraId="7211D275" w14:textId="77777777" w:rsidR="00EB3B4C" w:rsidRPr="00DA3766" w:rsidRDefault="00EB3B4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83" w:type="pct"/>
            <w:tcMar>
              <w:top w:w="0" w:type="dxa"/>
              <w:left w:w="108" w:type="dxa"/>
              <w:bottom w:w="0" w:type="dxa"/>
              <w:right w:w="108" w:type="dxa"/>
            </w:tcMar>
            <w:vAlign w:val="center"/>
          </w:tcPr>
          <w:p w14:paraId="30C3C1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3,110.71</w:t>
            </w:r>
          </w:p>
        </w:tc>
        <w:tc>
          <w:tcPr>
            <w:tcW w:w="682" w:type="pct"/>
            <w:tcMar>
              <w:top w:w="0" w:type="dxa"/>
              <w:left w:w="108" w:type="dxa"/>
              <w:bottom w:w="0" w:type="dxa"/>
              <w:right w:w="108" w:type="dxa"/>
            </w:tcMar>
            <w:vAlign w:val="center"/>
          </w:tcPr>
          <w:p w14:paraId="60ED98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587" w:type="pct"/>
            <w:tcMar>
              <w:top w:w="0" w:type="dxa"/>
              <w:left w:w="108" w:type="dxa"/>
              <w:bottom w:w="0" w:type="dxa"/>
              <w:right w:w="108" w:type="dxa"/>
            </w:tcMar>
            <w:vAlign w:val="center"/>
          </w:tcPr>
          <w:p w14:paraId="160902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6,446.17</w:t>
            </w:r>
          </w:p>
        </w:tc>
        <w:tc>
          <w:tcPr>
            <w:tcW w:w="704" w:type="pct"/>
            <w:tcMar>
              <w:top w:w="0" w:type="dxa"/>
              <w:left w:w="108" w:type="dxa"/>
              <w:bottom w:w="0" w:type="dxa"/>
              <w:right w:w="108" w:type="dxa"/>
            </w:tcMar>
            <w:vAlign w:val="center"/>
          </w:tcPr>
          <w:p w14:paraId="72B45D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703" w:type="pct"/>
            <w:tcMar>
              <w:top w:w="0" w:type="dxa"/>
              <w:left w:w="108" w:type="dxa"/>
              <w:bottom w:w="0" w:type="dxa"/>
              <w:right w:w="108" w:type="dxa"/>
            </w:tcMar>
            <w:vAlign w:val="center"/>
          </w:tcPr>
          <w:p w14:paraId="0C6856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7,072.82</w:t>
            </w:r>
          </w:p>
        </w:tc>
        <w:tc>
          <w:tcPr>
            <w:tcW w:w="704" w:type="pct"/>
            <w:tcMar>
              <w:top w:w="0" w:type="dxa"/>
              <w:left w:w="108" w:type="dxa"/>
              <w:bottom w:w="0" w:type="dxa"/>
              <w:right w:w="108" w:type="dxa"/>
            </w:tcMar>
            <w:vAlign w:val="center"/>
          </w:tcPr>
          <w:p w14:paraId="19C2B93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33513C9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、研发费用主要明细项目的具体预测情况、过程及依据</w:t>
      </w:r>
    </w:p>
    <w:p w14:paraId="4E8D6F46"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22F2C02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职工薪酬及福利主要包括研发人员的工资、社保、公积金和福利费等，报告期各期，标的公司研发团队人员规模相对稳定，职工薪酬及福利费分别为</w:t>
      </w:r>
      <w:r w:rsidRPr="00DA3766">
        <w:rPr>
          <w:rFonts w:ascii="Times New Roman" w:hAnsi="Times New Roman" w:cs="Times New Roman"/>
          <w:kern w:val="2"/>
          <w:szCs w:val="22"/>
        </w:rPr>
        <w:t>6,790.11</w:t>
      </w:r>
      <w:r w:rsidRPr="00DA3766">
        <w:rPr>
          <w:rFonts w:ascii="Times New Roman" w:hAnsi="Times New Roman" w:cs="Times New Roman"/>
          <w:kern w:val="2"/>
          <w:szCs w:val="22"/>
        </w:rPr>
        <w:t>万元、</w:t>
      </w:r>
      <w:r w:rsidRPr="00DA3766">
        <w:rPr>
          <w:rFonts w:ascii="Times New Roman" w:hAnsi="Times New Roman" w:cs="Times New Roman"/>
          <w:kern w:val="2"/>
          <w:szCs w:val="22"/>
        </w:rPr>
        <w:t>6,095.04</w:t>
      </w:r>
      <w:r w:rsidRPr="00DA3766">
        <w:rPr>
          <w:rFonts w:ascii="Times New Roman" w:hAnsi="Times New Roman" w:cs="Times New Roman"/>
          <w:kern w:val="2"/>
          <w:szCs w:val="22"/>
        </w:rPr>
        <w:t>万元和</w:t>
      </w:r>
      <w:r w:rsidRPr="00DA3766">
        <w:rPr>
          <w:rFonts w:ascii="Times New Roman" w:hAnsi="Times New Roman" w:cs="Times New Roman"/>
          <w:kern w:val="2"/>
          <w:szCs w:val="22"/>
        </w:rPr>
        <w:t>2,976.68</w:t>
      </w:r>
      <w:r w:rsidRPr="00DA3766">
        <w:rPr>
          <w:rFonts w:ascii="Times New Roman" w:hAnsi="Times New Roman" w:cs="Times New Roman"/>
          <w:kern w:val="2"/>
          <w:szCs w:val="22"/>
        </w:rPr>
        <w:t>万元，总体相对稳定；未来按人均薪酬和人数预测。预测期内对研发人员的规模结合业务发展的计划考虑一定的人员增加，同时人均薪酬水平亦考虑一定的增长，具体情况如下：</w:t>
      </w:r>
    </w:p>
    <w:p w14:paraId="55C244F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D88BBC7" w14:textId="77777777" w:rsidTr="00DA3766">
        <w:trPr>
          <w:trHeight w:val="397"/>
          <w:tblHeader/>
          <w:jc w:val="center"/>
        </w:trPr>
        <w:tc>
          <w:tcPr>
            <w:tcW w:w="1601" w:type="pct"/>
            <w:vMerge w:val="restart"/>
            <w:vAlign w:val="center"/>
          </w:tcPr>
          <w:p w14:paraId="18DCF6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6FDAF22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2E54D620" w14:textId="77777777" w:rsidTr="00DA3766">
        <w:trPr>
          <w:trHeight w:val="397"/>
          <w:tblHeader/>
          <w:jc w:val="center"/>
        </w:trPr>
        <w:tc>
          <w:tcPr>
            <w:tcW w:w="1601" w:type="pct"/>
            <w:vMerge/>
            <w:vAlign w:val="center"/>
          </w:tcPr>
          <w:p w14:paraId="419893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1564C5F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560B178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02917E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22C182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7" w:type="pct"/>
            <w:vAlign w:val="center"/>
          </w:tcPr>
          <w:p w14:paraId="74BA68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1D08492E" w14:textId="77777777" w:rsidTr="00DA3766">
        <w:trPr>
          <w:trHeight w:val="397"/>
          <w:jc w:val="center"/>
        </w:trPr>
        <w:tc>
          <w:tcPr>
            <w:tcW w:w="1601" w:type="pct"/>
            <w:vAlign w:val="center"/>
          </w:tcPr>
          <w:p w14:paraId="07A7512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38E23D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6,694.85</w:t>
            </w:r>
          </w:p>
        </w:tc>
        <w:tc>
          <w:tcPr>
            <w:tcW w:w="658" w:type="pct"/>
            <w:vAlign w:val="center"/>
          </w:tcPr>
          <w:p w14:paraId="5A5C92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6,975.80</w:t>
            </w:r>
          </w:p>
        </w:tc>
        <w:tc>
          <w:tcPr>
            <w:tcW w:w="658" w:type="pct"/>
            <w:vAlign w:val="center"/>
          </w:tcPr>
          <w:p w14:paraId="2C7FB3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7,266.69</w:t>
            </w:r>
          </w:p>
        </w:tc>
        <w:tc>
          <w:tcPr>
            <w:tcW w:w="658" w:type="pct"/>
            <w:vAlign w:val="center"/>
          </w:tcPr>
          <w:p w14:paraId="3A141D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7,570.36</w:t>
            </w:r>
          </w:p>
        </w:tc>
        <w:tc>
          <w:tcPr>
            <w:tcW w:w="657" w:type="pct"/>
            <w:vAlign w:val="center"/>
          </w:tcPr>
          <w:p w14:paraId="30C8A9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7,796.46</w:t>
            </w:r>
          </w:p>
        </w:tc>
      </w:tr>
      <w:tr w:rsidR="00EB3B4C" w:rsidRPr="00DA3766" w14:paraId="063B4F53" w14:textId="77777777" w:rsidTr="00DA3766">
        <w:trPr>
          <w:trHeight w:val="397"/>
          <w:jc w:val="center"/>
        </w:trPr>
        <w:tc>
          <w:tcPr>
            <w:tcW w:w="1601" w:type="pct"/>
            <w:vAlign w:val="center"/>
          </w:tcPr>
          <w:p w14:paraId="61EC3D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研发人员人数</w:t>
            </w:r>
          </w:p>
        </w:tc>
        <w:tc>
          <w:tcPr>
            <w:tcW w:w="768" w:type="pct"/>
            <w:vAlign w:val="center"/>
          </w:tcPr>
          <w:p w14:paraId="3F10B3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257.00</w:t>
            </w:r>
          </w:p>
        </w:tc>
        <w:tc>
          <w:tcPr>
            <w:tcW w:w="658" w:type="pct"/>
            <w:vAlign w:val="center"/>
          </w:tcPr>
          <w:p w14:paraId="7EC6A9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260.00</w:t>
            </w:r>
          </w:p>
        </w:tc>
        <w:tc>
          <w:tcPr>
            <w:tcW w:w="658" w:type="pct"/>
            <w:vAlign w:val="center"/>
          </w:tcPr>
          <w:p w14:paraId="266C36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263.00</w:t>
            </w:r>
          </w:p>
        </w:tc>
        <w:tc>
          <w:tcPr>
            <w:tcW w:w="658" w:type="pct"/>
            <w:vAlign w:val="center"/>
          </w:tcPr>
          <w:p w14:paraId="206617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266.00</w:t>
            </w:r>
          </w:p>
        </w:tc>
        <w:tc>
          <w:tcPr>
            <w:tcW w:w="657" w:type="pct"/>
            <w:vAlign w:val="center"/>
          </w:tcPr>
          <w:p w14:paraId="079550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266.00</w:t>
            </w:r>
          </w:p>
        </w:tc>
      </w:tr>
      <w:tr w:rsidR="00EB3B4C" w:rsidRPr="00DA3766" w14:paraId="765B254A" w14:textId="77777777" w:rsidTr="00DA3766">
        <w:trPr>
          <w:trHeight w:val="397"/>
          <w:jc w:val="center"/>
        </w:trPr>
        <w:tc>
          <w:tcPr>
            <w:tcW w:w="1601" w:type="pct"/>
            <w:vAlign w:val="center"/>
          </w:tcPr>
          <w:p w14:paraId="2C5EE1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4F0EBCA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26.05</w:t>
            </w:r>
          </w:p>
        </w:tc>
        <w:tc>
          <w:tcPr>
            <w:tcW w:w="658" w:type="pct"/>
            <w:vAlign w:val="center"/>
          </w:tcPr>
          <w:p w14:paraId="036763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26.83</w:t>
            </w:r>
          </w:p>
        </w:tc>
        <w:tc>
          <w:tcPr>
            <w:tcW w:w="658" w:type="pct"/>
            <w:vAlign w:val="center"/>
          </w:tcPr>
          <w:p w14:paraId="306B83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27.63</w:t>
            </w:r>
          </w:p>
        </w:tc>
        <w:tc>
          <w:tcPr>
            <w:tcW w:w="658" w:type="pct"/>
            <w:vAlign w:val="center"/>
          </w:tcPr>
          <w:p w14:paraId="279B57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28.46</w:t>
            </w:r>
          </w:p>
        </w:tc>
        <w:tc>
          <w:tcPr>
            <w:tcW w:w="657" w:type="pct"/>
            <w:vAlign w:val="center"/>
          </w:tcPr>
          <w:p w14:paraId="0D865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29.31</w:t>
            </w:r>
          </w:p>
        </w:tc>
      </w:tr>
      <w:tr w:rsidR="00EB3B4C" w:rsidRPr="00DA3766" w14:paraId="6A2D5215" w14:textId="77777777" w:rsidTr="00DA3766">
        <w:trPr>
          <w:trHeight w:val="397"/>
          <w:jc w:val="center"/>
        </w:trPr>
        <w:tc>
          <w:tcPr>
            <w:tcW w:w="1601" w:type="pct"/>
            <w:vAlign w:val="center"/>
          </w:tcPr>
          <w:p w14:paraId="21B2770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568C2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3034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296C0F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31A2C2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7" w:type="pct"/>
            <w:vAlign w:val="center"/>
          </w:tcPr>
          <w:p w14:paraId="4C155A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67B2DEE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从上表可见，报告期间内随着标的公司业务规模增长，研发人员数量有所增加，职工薪酬相应提升，人均薪酬年增长率稳定。</w:t>
      </w:r>
    </w:p>
    <w:p w14:paraId="541DED4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）直接投入费用、技术服务费和其他费用</w:t>
      </w:r>
    </w:p>
    <w:p w14:paraId="1B24A0D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报告期各期，标的公司直接投入费用、技术服务费和其他费用合计金额分别为</w:t>
      </w:r>
      <w:r w:rsidRPr="00DA3766">
        <w:rPr>
          <w:rFonts w:ascii="Times New Roman" w:hAnsi="Times New Roman" w:cs="Times New Roman"/>
          <w:kern w:val="2"/>
          <w:szCs w:val="22"/>
        </w:rPr>
        <w:t>126.76</w:t>
      </w:r>
      <w:r w:rsidRPr="00DA3766">
        <w:rPr>
          <w:rFonts w:ascii="Times New Roman" w:hAnsi="Times New Roman" w:cs="Times New Roman"/>
          <w:kern w:val="2"/>
          <w:szCs w:val="22"/>
        </w:rPr>
        <w:t>万元、</w:t>
      </w:r>
      <w:r w:rsidRPr="00DA3766">
        <w:rPr>
          <w:rFonts w:ascii="Times New Roman" w:hAnsi="Times New Roman" w:cs="Times New Roman"/>
          <w:kern w:val="2"/>
          <w:szCs w:val="22"/>
        </w:rPr>
        <w:t>195.89</w:t>
      </w:r>
      <w:r w:rsidRPr="00DA3766">
        <w:rPr>
          <w:rFonts w:ascii="Times New Roman" w:hAnsi="Times New Roman" w:cs="Times New Roman"/>
          <w:kern w:val="2"/>
          <w:szCs w:val="22"/>
        </w:rPr>
        <w:t>万元和</w:t>
      </w:r>
      <w:r w:rsidRPr="00DA3766">
        <w:rPr>
          <w:rFonts w:ascii="Times New Roman" w:hAnsi="Times New Roman" w:cs="Times New Roman"/>
          <w:kern w:val="2"/>
          <w:szCs w:val="22"/>
        </w:rPr>
        <w:t>65.28</w:t>
      </w:r>
      <w:r w:rsidRPr="00DA3766">
        <w:rPr>
          <w:rFonts w:ascii="Times New Roman" w:hAnsi="Times New Roman" w:cs="Times New Roman"/>
          <w:kern w:val="2"/>
          <w:szCs w:val="22"/>
        </w:rPr>
        <w:t>万元。未来根据标的公司整体经营规划情况，预计</w:t>
      </w:r>
      <w:r w:rsidRPr="00DA3766">
        <w:rPr>
          <w:rFonts w:ascii="Times New Roman" w:hAnsi="Times New Roman" w:cs="Times New Roman"/>
          <w:kern w:val="2"/>
          <w:szCs w:val="22"/>
        </w:rPr>
        <w:t>SaaS</w:t>
      </w:r>
      <w:r w:rsidRPr="00DA3766">
        <w:rPr>
          <w:rFonts w:ascii="Times New Roman" w:hAnsi="Times New Roman" w:cs="Times New Roman"/>
          <w:kern w:val="2"/>
          <w:szCs w:val="22"/>
        </w:rPr>
        <w:t>软件平台将持续迭代开发，直接投入费用、技术服务费和其他相关研发投入在维持基本稳定的同时按一定比例增长进行测算，具体情况如下：</w:t>
      </w:r>
    </w:p>
    <w:p w14:paraId="673A84E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49"/>
        <w:gridCol w:w="1457"/>
        <w:gridCol w:w="1180"/>
        <w:gridCol w:w="1180"/>
        <w:gridCol w:w="1180"/>
        <w:gridCol w:w="1182"/>
      </w:tblGrid>
      <w:tr w:rsidR="00EB3B4C" w:rsidRPr="00DA3766" w14:paraId="5C80E123" w14:textId="77777777" w:rsidTr="00DA3766">
        <w:trPr>
          <w:trHeight w:val="397"/>
          <w:tblHeader/>
          <w:jc w:val="center"/>
        </w:trPr>
        <w:tc>
          <w:tcPr>
            <w:tcW w:w="1377" w:type="pct"/>
            <w:vMerge w:val="restart"/>
            <w:vAlign w:val="center"/>
          </w:tcPr>
          <w:p w14:paraId="4B0AAD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623" w:type="pct"/>
            <w:gridSpan w:val="5"/>
            <w:vAlign w:val="center"/>
          </w:tcPr>
          <w:p w14:paraId="73A358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72F67211" w14:textId="77777777" w:rsidTr="00DA3766">
        <w:trPr>
          <w:trHeight w:val="397"/>
          <w:tblHeader/>
          <w:jc w:val="center"/>
        </w:trPr>
        <w:tc>
          <w:tcPr>
            <w:tcW w:w="1377" w:type="pct"/>
            <w:vMerge/>
            <w:vAlign w:val="center"/>
          </w:tcPr>
          <w:p w14:paraId="5749EC5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54" w:type="pct"/>
            <w:vAlign w:val="center"/>
          </w:tcPr>
          <w:p w14:paraId="49FC52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92" w:type="pct"/>
            <w:vAlign w:val="center"/>
          </w:tcPr>
          <w:p w14:paraId="7006CE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92" w:type="pct"/>
            <w:vAlign w:val="center"/>
          </w:tcPr>
          <w:p w14:paraId="501E950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92" w:type="pct"/>
            <w:vAlign w:val="center"/>
          </w:tcPr>
          <w:p w14:paraId="404789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93" w:type="pct"/>
            <w:vAlign w:val="center"/>
          </w:tcPr>
          <w:p w14:paraId="137E65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49509A50" w14:textId="77777777" w:rsidTr="00DA3766">
        <w:trPr>
          <w:trHeight w:val="397"/>
          <w:jc w:val="center"/>
        </w:trPr>
        <w:tc>
          <w:tcPr>
            <w:tcW w:w="1377" w:type="pct"/>
            <w:vAlign w:val="center"/>
          </w:tcPr>
          <w:p w14:paraId="7382DC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、直接投入费用</w:t>
            </w:r>
          </w:p>
        </w:tc>
        <w:tc>
          <w:tcPr>
            <w:tcW w:w="854" w:type="pct"/>
            <w:vAlign w:val="center"/>
          </w:tcPr>
          <w:p w14:paraId="7E58C5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41.61</w:t>
            </w:r>
          </w:p>
        </w:tc>
        <w:tc>
          <w:tcPr>
            <w:tcW w:w="692" w:type="pct"/>
            <w:vAlign w:val="center"/>
          </w:tcPr>
          <w:p w14:paraId="2E94BB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42.86</w:t>
            </w:r>
          </w:p>
        </w:tc>
        <w:tc>
          <w:tcPr>
            <w:tcW w:w="692" w:type="pct"/>
            <w:vAlign w:val="center"/>
          </w:tcPr>
          <w:p w14:paraId="1AEE3D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44.15</w:t>
            </w:r>
          </w:p>
        </w:tc>
        <w:tc>
          <w:tcPr>
            <w:tcW w:w="692" w:type="pct"/>
            <w:vAlign w:val="center"/>
          </w:tcPr>
          <w:p w14:paraId="40C935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45.47</w:t>
            </w:r>
          </w:p>
        </w:tc>
        <w:tc>
          <w:tcPr>
            <w:tcW w:w="693" w:type="pct"/>
            <w:vAlign w:val="center"/>
          </w:tcPr>
          <w:p w14:paraId="02065D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46.83</w:t>
            </w:r>
          </w:p>
        </w:tc>
      </w:tr>
      <w:tr w:rsidR="00EB3B4C" w:rsidRPr="00DA3766" w14:paraId="3DB27897" w14:textId="77777777" w:rsidTr="00DA3766">
        <w:trPr>
          <w:trHeight w:val="397"/>
          <w:jc w:val="center"/>
        </w:trPr>
        <w:tc>
          <w:tcPr>
            <w:tcW w:w="1377" w:type="pct"/>
            <w:vAlign w:val="center"/>
          </w:tcPr>
          <w:p w14:paraId="343CBC0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1905C4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0D5D28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49E1B9A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39CBF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5F5AE9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0D0CB863" w14:textId="77777777" w:rsidTr="00DA3766">
        <w:trPr>
          <w:trHeight w:val="397"/>
          <w:jc w:val="center"/>
        </w:trPr>
        <w:tc>
          <w:tcPr>
            <w:tcW w:w="1377" w:type="pct"/>
            <w:vAlign w:val="center"/>
          </w:tcPr>
          <w:p w14:paraId="02C911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、技术服务费</w:t>
            </w:r>
          </w:p>
        </w:tc>
        <w:tc>
          <w:tcPr>
            <w:tcW w:w="854" w:type="pct"/>
            <w:vAlign w:val="center"/>
          </w:tcPr>
          <w:p w14:paraId="76BF69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120.97</w:t>
            </w:r>
          </w:p>
        </w:tc>
        <w:tc>
          <w:tcPr>
            <w:tcW w:w="692" w:type="pct"/>
            <w:vAlign w:val="center"/>
          </w:tcPr>
          <w:p w14:paraId="284917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124.60</w:t>
            </w:r>
          </w:p>
        </w:tc>
        <w:tc>
          <w:tcPr>
            <w:tcW w:w="692" w:type="pct"/>
            <w:vAlign w:val="center"/>
          </w:tcPr>
          <w:p w14:paraId="17244D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128.34</w:t>
            </w:r>
          </w:p>
        </w:tc>
        <w:tc>
          <w:tcPr>
            <w:tcW w:w="692" w:type="pct"/>
            <w:vAlign w:val="center"/>
          </w:tcPr>
          <w:p w14:paraId="66CE47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132.19</w:t>
            </w:r>
          </w:p>
        </w:tc>
        <w:tc>
          <w:tcPr>
            <w:tcW w:w="693" w:type="pct"/>
            <w:vAlign w:val="center"/>
          </w:tcPr>
          <w:p w14:paraId="128B82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136.16</w:t>
            </w:r>
          </w:p>
        </w:tc>
      </w:tr>
      <w:tr w:rsidR="00EB3B4C" w:rsidRPr="00DA3766" w14:paraId="283679CC" w14:textId="77777777" w:rsidTr="00DA3766">
        <w:trPr>
          <w:trHeight w:val="397"/>
          <w:jc w:val="center"/>
        </w:trPr>
        <w:tc>
          <w:tcPr>
            <w:tcW w:w="1377" w:type="pct"/>
            <w:vAlign w:val="center"/>
          </w:tcPr>
          <w:p w14:paraId="3C0A53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733255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6D118B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5532252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FC8B84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5251D3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38A50984" w14:textId="77777777" w:rsidTr="00DA3766">
        <w:trPr>
          <w:trHeight w:val="397"/>
          <w:jc w:val="center"/>
        </w:trPr>
        <w:tc>
          <w:tcPr>
            <w:tcW w:w="1377" w:type="pct"/>
            <w:vAlign w:val="center"/>
          </w:tcPr>
          <w:p w14:paraId="4CEB4E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、其他费用</w:t>
            </w:r>
          </w:p>
        </w:tc>
        <w:tc>
          <w:tcPr>
            <w:tcW w:w="854" w:type="pct"/>
            <w:vAlign w:val="center"/>
          </w:tcPr>
          <w:p w14:paraId="7A275C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39.18</w:t>
            </w:r>
          </w:p>
        </w:tc>
        <w:tc>
          <w:tcPr>
            <w:tcW w:w="692" w:type="pct"/>
            <w:vAlign w:val="center"/>
          </w:tcPr>
          <w:p w14:paraId="530713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40.36</w:t>
            </w:r>
          </w:p>
        </w:tc>
        <w:tc>
          <w:tcPr>
            <w:tcW w:w="692" w:type="pct"/>
            <w:vAlign w:val="center"/>
          </w:tcPr>
          <w:p w14:paraId="5192F5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41.57</w:t>
            </w:r>
          </w:p>
        </w:tc>
        <w:tc>
          <w:tcPr>
            <w:tcW w:w="692" w:type="pct"/>
            <w:vAlign w:val="center"/>
          </w:tcPr>
          <w:p w14:paraId="0DEEBF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42.82</w:t>
            </w:r>
          </w:p>
        </w:tc>
        <w:tc>
          <w:tcPr>
            <w:tcW w:w="693" w:type="pct"/>
            <w:vAlign w:val="center"/>
          </w:tcPr>
          <w:p w14:paraId="1B2A16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44.10</w:t>
            </w:r>
          </w:p>
        </w:tc>
      </w:tr>
      <w:tr w:rsidR="00EB3B4C" w:rsidRPr="00DA3766" w14:paraId="456B6DAE" w14:textId="77777777" w:rsidTr="00DA3766">
        <w:trPr>
          <w:trHeight w:val="397"/>
          <w:jc w:val="center"/>
        </w:trPr>
        <w:tc>
          <w:tcPr>
            <w:tcW w:w="1377" w:type="pct"/>
            <w:vAlign w:val="center"/>
          </w:tcPr>
          <w:p w14:paraId="2E6AEC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56FF41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198410F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A8B24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4716577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3F268FE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14180532" w14:textId="77777777" w:rsidTr="00DA3766">
        <w:trPr>
          <w:trHeight w:val="397"/>
          <w:jc w:val="center"/>
        </w:trPr>
        <w:tc>
          <w:tcPr>
            <w:tcW w:w="1377" w:type="pct"/>
            <w:vAlign w:val="center"/>
          </w:tcPr>
          <w:p w14:paraId="455B81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854" w:type="pct"/>
            <w:vAlign w:val="center"/>
          </w:tcPr>
          <w:p w14:paraId="6274B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201.76</w:t>
            </w:r>
          </w:p>
        </w:tc>
        <w:tc>
          <w:tcPr>
            <w:tcW w:w="692" w:type="pct"/>
            <w:vAlign w:val="center"/>
          </w:tcPr>
          <w:p w14:paraId="333419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207.82</w:t>
            </w:r>
          </w:p>
        </w:tc>
        <w:tc>
          <w:tcPr>
            <w:tcW w:w="692" w:type="pct"/>
            <w:vAlign w:val="center"/>
          </w:tcPr>
          <w:p w14:paraId="70BB54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214.06</w:t>
            </w:r>
          </w:p>
        </w:tc>
        <w:tc>
          <w:tcPr>
            <w:tcW w:w="692" w:type="pct"/>
            <w:vAlign w:val="center"/>
          </w:tcPr>
          <w:p w14:paraId="5DA473F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220.48</w:t>
            </w:r>
          </w:p>
        </w:tc>
        <w:tc>
          <w:tcPr>
            <w:tcW w:w="693" w:type="pct"/>
            <w:vAlign w:val="center"/>
          </w:tcPr>
          <w:p w14:paraId="09015B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227.09</w:t>
            </w:r>
          </w:p>
        </w:tc>
      </w:tr>
      <w:tr w:rsidR="00EB3B4C" w:rsidRPr="00DA3766" w14:paraId="5A0C3CB4" w14:textId="77777777" w:rsidTr="00DA3766">
        <w:trPr>
          <w:trHeight w:val="397"/>
          <w:jc w:val="center"/>
        </w:trPr>
        <w:tc>
          <w:tcPr>
            <w:tcW w:w="1377" w:type="pct"/>
            <w:vAlign w:val="center"/>
          </w:tcPr>
          <w:p w14:paraId="788C04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2E931C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5CABA1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3F52AD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61D377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3" w:type="pct"/>
            <w:vAlign w:val="center"/>
          </w:tcPr>
          <w:p w14:paraId="0891BC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r>
    </w:tbl>
    <w:p w14:paraId="2281BCD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）折旧摊销</w:t>
      </w:r>
    </w:p>
    <w:p w14:paraId="6635D905" w14:textId="07FBEE34"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标的公司研发费用中摊销及折旧主要包括研发人员使用的固定资产的折旧，以及长期待摊费用的摊销。报告期各期，标的公司摊销及折旧费用分别为</w:t>
      </w:r>
      <w:r w:rsidRPr="00872105">
        <w:rPr>
          <w:rFonts w:ascii="Times New Roman" w:hAnsi="Times New Roman" w:cs="Times New Roman" w:hint="eastAsia"/>
          <w:kern w:val="2"/>
          <w:szCs w:val="22"/>
        </w:rPr>
        <w:t>802.64</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544.64</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223.96</w:t>
      </w:r>
      <w:r w:rsidRPr="00872105">
        <w:rPr>
          <w:rFonts w:ascii="Times New Roman" w:hAnsi="Times New Roman" w:cs="Times New Roman" w:hint="eastAsia"/>
          <w:kern w:val="2"/>
          <w:szCs w:val="22"/>
        </w:rPr>
        <w:t>万元。本次评估对未来计入研发费用折旧摊销的长期资产按照未来各年的预计规模以及折旧和摊销年限进行预测。具体情况如下：</w:t>
      </w:r>
    </w:p>
    <w:p w14:paraId="3AD3840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585"/>
        <w:gridCol w:w="1284"/>
        <w:gridCol w:w="1284"/>
        <w:gridCol w:w="1284"/>
        <w:gridCol w:w="1284"/>
      </w:tblGrid>
      <w:tr w:rsidR="00EB3B4C" w:rsidRPr="00DA3766" w14:paraId="6B2EEEAB" w14:textId="77777777" w:rsidTr="00DA3766">
        <w:trPr>
          <w:trHeight w:val="397"/>
          <w:tblHeader/>
          <w:jc w:val="center"/>
        </w:trPr>
        <w:tc>
          <w:tcPr>
            <w:tcW w:w="1059" w:type="pct"/>
            <w:vMerge w:val="restart"/>
            <w:vAlign w:val="center"/>
          </w:tcPr>
          <w:p w14:paraId="5F7C2FD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941" w:type="pct"/>
            <w:gridSpan w:val="5"/>
            <w:vAlign w:val="center"/>
          </w:tcPr>
          <w:p w14:paraId="3A44599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13D36ABF" w14:textId="77777777" w:rsidTr="00DA3766">
        <w:trPr>
          <w:trHeight w:val="397"/>
          <w:tblHeader/>
          <w:jc w:val="center"/>
        </w:trPr>
        <w:tc>
          <w:tcPr>
            <w:tcW w:w="1059" w:type="pct"/>
            <w:vMerge/>
            <w:vAlign w:val="center"/>
          </w:tcPr>
          <w:p w14:paraId="0287020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929" w:type="pct"/>
            <w:vAlign w:val="center"/>
          </w:tcPr>
          <w:p w14:paraId="106542E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753" w:type="pct"/>
            <w:vAlign w:val="center"/>
          </w:tcPr>
          <w:p w14:paraId="17C342A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53" w:type="pct"/>
            <w:vAlign w:val="center"/>
          </w:tcPr>
          <w:p w14:paraId="38E1B34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53" w:type="pct"/>
            <w:vAlign w:val="center"/>
          </w:tcPr>
          <w:p w14:paraId="45A768C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53" w:type="pct"/>
            <w:vAlign w:val="center"/>
          </w:tcPr>
          <w:p w14:paraId="426ABC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390190D1" w14:textId="77777777" w:rsidTr="00DA3766">
        <w:trPr>
          <w:trHeight w:val="397"/>
          <w:jc w:val="center"/>
        </w:trPr>
        <w:tc>
          <w:tcPr>
            <w:tcW w:w="1059" w:type="pct"/>
            <w:vAlign w:val="center"/>
          </w:tcPr>
          <w:p w14:paraId="30B2D7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折旧和摊销</w:t>
            </w:r>
          </w:p>
        </w:tc>
        <w:tc>
          <w:tcPr>
            <w:tcW w:w="929" w:type="pct"/>
            <w:vAlign w:val="center"/>
          </w:tcPr>
          <w:p w14:paraId="57FBC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141.75</w:t>
            </w:r>
          </w:p>
        </w:tc>
        <w:tc>
          <w:tcPr>
            <w:tcW w:w="753" w:type="pct"/>
            <w:vAlign w:val="center"/>
          </w:tcPr>
          <w:p w14:paraId="725B7D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150.70</w:t>
            </w:r>
          </w:p>
        </w:tc>
        <w:tc>
          <w:tcPr>
            <w:tcW w:w="753" w:type="pct"/>
            <w:vAlign w:val="center"/>
          </w:tcPr>
          <w:p w14:paraId="3AF562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c>
          <w:tcPr>
            <w:tcW w:w="753" w:type="pct"/>
            <w:vAlign w:val="center"/>
          </w:tcPr>
          <w:p w14:paraId="72D4C5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c>
          <w:tcPr>
            <w:tcW w:w="753" w:type="pct"/>
            <w:vAlign w:val="center"/>
          </w:tcPr>
          <w:p w14:paraId="67A4D1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r>
    </w:tbl>
    <w:p w14:paraId="0C1D7134"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（四）补充披露预测期内期间费用率低于报告期平均水平且呈现逐年下降趋势的合理性，是否足以支撑标的资产的持续发展。</w:t>
      </w:r>
    </w:p>
    <w:p w14:paraId="608C921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、销售费用率变动具备合理性</w:t>
      </w:r>
    </w:p>
    <w:p w14:paraId="0BCE1B2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报告期及预测期，销售费用率情况如下：</w:t>
      </w:r>
    </w:p>
    <w:p w14:paraId="7CF599D6"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1131"/>
        <w:gridCol w:w="1203"/>
        <w:gridCol w:w="1484"/>
        <w:gridCol w:w="1107"/>
        <w:gridCol w:w="1058"/>
        <w:gridCol w:w="1058"/>
        <w:gridCol w:w="1058"/>
        <w:gridCol w:w="1058"/>
      </w:tblGrid>
      <w:tr w:rsidR="00582BF8" w:rsidRPr="00DA3766" w14:paraId="3C7A45FB" w14:textId="77777777" w:rsidTr="00582BF8">
        <w:trPr>
          <w:trHeight w:val="397"/>
          <w:tblHeader/>
          <w:jc w:val="center"/>
        </w:trPr>
        <w:tc>
          <w:tcPr>
            <w:tcW w:w="550" w:type="pct"/>
            <w:vMerge w:val="restart"/>
            <w:vAlign w:val="center"/>
          </w:tcPr>
          <w:p w14:paraId="751B96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856" w:type="pct"/>
            <w:gridSpan w:val="3"/>
            <w:vAlign w:val="center"/>
          </w:tcPr>
          <w:p w14:paraId="3E709F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595" w:type="pct"/>
            <w:gridSpan w:val="5"/>
            <w:vAlign w:val="center"/>
          </w:tcPr>
          <w:p w14:paraId="01AF48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582BF8" w:rsidRPr="00DA3766" w14:paraId="18624C30" w14:textId="77777777" w:rsidTr="00582BF8">
        <w:trPr>
          <w:trHeight w:val="397"/>
          <w:tblHeader/>
          <w:jc w:val="center"/>
        </w:trPr>
        <w:tc>
          <w:tcPr>
            <w:tcW w:w="550" w:type="pct"/>
            <w:vMerge/>
            <w:vAlign w:val="center"/>
          </w:tcPr>
          <w:p w14:paraId="39DB737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0" w:type="pct"/>
            <w:vAlign w:val="center"/>
          </w:tcPr>
          <w:p w14:paraId="32EA9A4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85" w:type="pct"/>
            <w:vAlign w:val="center"/>
          </w:tcPr>
          <w:p w14:paraId="6D2DE9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721" w:type="pct"/>
            <w:vAlign w:val="center"/>
          </w:tcPr>
          <w:p w14:paraId="1570B899" w14:textId="546A55AA"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38" w:type="pct"/>
            <w:vAlign w:val="center"/>
          </w:tcPr>
          <w:p w14:paraId="206670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14" w:type="pct"/>
            <w:vAlign w:val="center"/>
          </w:tcPr>
          <w:p w14:paraId="1502D45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514" w:type="pct"/>
            <w:vAlign w:val="center"/>
          </w:tcPr>
          <w:p w14:paraId="28992CA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514" w:type="pct"/>
            <w:vAlign w:val="center"/>
          </w:tcPr>
          <w:p w14:paraId="1753DA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14" w:type="pct"/>
            <w:vAlign w:val="center"/>
          </w:tcPr>
          <w:p w14:paraId="06F5A25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582BF8" w:rsidRPr="00DA3766" w14:paraId="5256894B" w14:textId="77777777" w:rsidTr="00582BF8">
        <w:trPr>
          <w:trHeight w:val="397"/>
          <w:jc w:val="center"/>
        </w:trPr>
        <w:tc>
          <w:tcPr>
            <w:tcW w:w="550" w:type="pct"/>
            <w:vAlign w:val="center"/>
          </w:tcPr>
          <w:p w14:paraId="0E1179B9"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550" w:type="pct"/>
            <w:vAlign w:val="center"/>
          </w:tcPr>
          <w:p w14:paraId="4F776F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7,949.08</w:t>
            </w:r>
          </w:p>
        </w:tc>
        <w:tc>
          <w:tcPr>
            <w:tcW w:w="585" w:type="pct"/>
            <w:vAlign w:val="center"/>
          </w:tcPr>
          <w:p w14:paraId="33EDD1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7,083.27</w:t>
            </w:r>
          </w:p>
        </w:tc>
        <w:tc>
          <w:tcPr>
            <w:tcW w:w="721" w:type="pct"/>
            <w:vAlign w:val="center"/>
          </w:tcPr>
          <w:p w14:paraId="457B7C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3,749.82</w:t>
            </w:r>
          </w:p>
        </w:tc>
        <w:tc>
          <w:tcPr>
            <w:tcW w:w="538" w:type="pct"/>
            <w:vAlign w:val="center"/>
          </w:tcPr>
          <w:p w14:paraId="2D6BF0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8,479.89</w:t>
            </w:r>
          </w:p>
        </w:tc>
        <w:tc>
          <w:tcPr>
            <w:tcW w:w="514" w:type="pct"/>
            <w:vAlign w:val="center"/>
          </w:tcPr>
          <w:p w14:paraId="20EF0E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8,907.46</w:t>
            </w:r>
          </w:p>
        </w:tc>
        <w:tc>
          <w:tcPr>
            <w:tcW w:w="514" w:type="pct"/>
            <w:vAlign w:val="center"/>
          </w:tcPr>
          <w:p w14:paraId="0E10B0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9,382.41</w:t>
            </w:r>
          </w:p>
        </w:tc>
        <w:tc>
          <w:tcPr>
            <w:tcW w:w="514" w:type="pct"/>
            <w:vAlign w:val="center"/>
          </w:tcPr>
          <w:p w14:paraId="31471D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9,826.71</w:t>
            </w:r>
          </w:p>
        </w:tc>
        <w:tc>
          <w:tcPr>
            <w:tcW w:w="514" w:type="pct"/>
            <w:vAlign w:val="center"/>
          </w:tcPr>
          <w:p w14:paraId="10561B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10,134.90</w:t>
            </w:r>
          </w:p>
        </w:tc>
      </w:tr>
      <w:tr w:rsidR="00582BF8" w:rsidRPr="00DA3766" w14:paraId="75169D9D" w14:textId="77777777" w:rsidTr="00582BF8">
        <w:trPr>
          <w:trHeight w:val="397"/>
          <w:jc w:val="center"/>
        </w:trPr>
        <w:tc>
          <w:tcPr>
            <w:tcW w:w="550" w:type="pct"/>
            <w:vAlign w:val="center"/>
          </w:tcPr>
          <w:p w14:paraId="5CDDE839"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占营业收入比例</w:t>
            </w:r>
          </w:p>
        </w:tc>
        <w:tc>
          <w:tcPr>
            <w:tcW w:w="550" w:type="pct"/>
            <w:vAlign w:val="center"/>
          </w:tcPr>
          <w:p w14:paraId="4822B4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585" w:type="pct"/>
            <w:vAlign w:val="center"/>
          </w:tcPr>
          <w:p w14:paraId="767B9A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721" w:type="pct"/>
            <w:vAlign w:val="center"/>
          </w:tcPr>
          <w:p w14:paraId="7EE078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538" w:type="pct"/>
            <w:vAlign w:val="center"/>
          </w:tcPr>
          <w:p w14:paraId="048A20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4210F4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1F6EB3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74D87D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304228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r>
      <w:tr w:rsidR="00582BF8" w:rsidRPr="00DA3766" w14:paraId="4F85AF3B" w14:textId="77777777" w:rsidTr="00582BF8">
        <w:trPr>
          <w:trHeight w:val="397"/>
          <w:jc w:val="center"/>
        </w:trPr>
        <w:tc>
          <w:tcPr>
            <w:tcW w:w="550" w:type="pct"/>
            <w:vAlign w:val="center"/>
          </w:tcPr>
          <w:p w14:paraId="7FA98811"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550" w:type="pct"/>
            <w:vAlign w:val="center"/>
          </w:tcPr>
          <w:p w14:paraId="25D5F4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38,501.66</w:t>
            </w:r>
          </w:p>
        </w:tc>
        <w:tc>
          <w:tcPr>
            <w:tcW w:w="585" w:type="pct"/>
            <w:vAlign w:val="center"/>
          </w:tcPr>
          <w:p w14:paraId="1C017F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44,716.44</w:t>
            </w:r>
          </w:p>
        </w:tc>
        <w:tc>
          <w:tcPr>
            <w:tcW w:w="721" w:type="pct"/>
            <w:vAlign w:val="center"/>
          </w:tcPr>
          <w:p w14:paraId="008542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24,799.86</w:t>
            </w:r>
          </w:p>
        </w:tc>
        <w:tc>
          <w:tcPr>
            <w:tcW w:w="538" w:type="pct"/>
            <w:vAlign w:val="center"/>
          </w:tcPr>
          <w:p w14:paraId="134EF2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52,487.45</w:t>
            </w:r>
          </w:p>
        </w:tc>
        <w:tc>
          <w:tcPr>
            <w:tcW w:w="514" w:type="pct"/>
            <w:vAlign w:val="center"/>
          </w:tcPr>
          <w:p w14:paraId="56BCCB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56,074.53</w:t>
            </w:r>
          </w:p>
        </w:tc>
        <w:tc>
          <w:tcPr>
            <w:tcW w:w="514" w:type="pct"/>
            <w:vAlign w:val="center"/>
          </w:tcPr>
          <w:p w14:paraId="23DC460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59,281.59</w:t>
            </w:r>
          </w:p>
        </w:tc>
        <w:tc>
          <w:tcPr>
            <w:tcW w:w="514" w:type="pct"/>
            <w:vAlign w:val="center"/>
          </w:tcPr>
          <w:p w14:paraId="547834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61,975.97</w:t>
            </w:r>
          </w:p>
        </w:tc>
        <w:tc>
          <w:tcPr>
            <w:tcW w:w="514" w:type="pct"/>
            <w:vAlign w:val="center"/>
          </w:tcPr>
          <w:p w14:paraId="227722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64,249.70</w:t>
            </w:r>
          </w:p>
        </w:tc>
      </w:tr>
      <w:tr w:rsidR="00582BF8" w:rsidRPr="00DA3766" w14:paraId="5608EA87" w14:textId="77777777" w:rsidTr="00582BF8">
        <w:trPr>
          <w:trHeight w:val="397"/>
          <w:jc w:val="center"/>
        </w:trPr>
        <w:tc>
          <w:tcPr>
            <w:tcW w:w="550" w:type="pct"/>
            <w:vAlign w:val="center"/>
          </w:tcPr>
          <w:p w14:paraId="56A03F2D"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增长率</w:t>
            </w:r>
          </w:p>
        </w:tc>
        <w:tc>
          <w:tcPr>
            <w:tcW w:w="550" w:type="pct"/>
            <w:vAlign w:val="center"/>
          </w:tcPr>
          <w:p w14:paraId="5CA48B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85" w:type="pct"/>
            <w:vAlign w:val="center"/>
          </w:tcPr>
          <w:p w14:paraId="2F97B5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16.14%</w:t>
            </w:r>
          </w:p>
        </w:tc>
        <w:tc>
          <w:tcPr>
            <w:tcW w:w="721" w:type="pct"/>
            <w:vAlign w:val="center"/>
          </w:tcPr>
          <w:p w14:paraId="6A11F3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38" w:type="pct"/>
            <w:vAlign w:val="center"/>
          </w:tcPr>
          <w:p w14:paraId="4DAB00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17.38%</w:t>
            </w:r>
          </w:p>
        </w:tc>
        <w:tc>
          <w:tcPr>
            <w:tcW w:w="514" w:type="pct"/>
            <w:vAlign w:val="center"/>
          </w:tcPr>
          <w:p w14:paraId="3448CC2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w:t>
            </w:r>
          </w:p>
        </w:tc>
        <w:tc>
          <w:tcPr>
            <w:tcW w:w="514" w:type="pct"/>
            <w:vAlign w:val="center"/>
          </w:tcPr>
          <w:p w14:paraId="67CD88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5.72%</w:t>
            </w:r>
          </w:p>
        </w:tc>
        <w:tc>
          <w:tcPr>
            <w:tcW w:w="514" w:type="pct"/>
            <w:vAlign w:val="center"/>
          </w:tcPr>
          <w:p w14:paraId="52FD72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w:t>
            </w:r>
          </w:p>
        </w:tc>
        <w:tc>
          <w:tcPr>
            <w:tcW w:w="514" w:type="pct"/>
            <w:vAlign w:val="center"/>
          </w:tcPr>
          <w:p w14:paraId="6019BA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w:t>
            </w:r>
          </w:p>
        </w:tc>
      </w:tr>
    </w:tbl>
    <w:p w14:paraId="43CEBC83" w14:textId="77777777" w:rsidR="00872105"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从上表可见，报告期内，标的公司销售费用率分别为</w:t>
      </w:r>
      <w:r w:rsidRPr="00872105">
        <w:rPr>
          <w:rFonts w:ascii="Times New Roman" w:hAnsi="Times New Roman" w:cs="Times New Roman" w:hint="eastAsia"/>
          <w:kern w:val="2"/>
          <w:szCs w:val="22"/>
        </w:rPr>
        <w:t>21%</w:t>
      </w:r>
      <w:r w:rsidRPr="00872105">
        <w:rPr>
          <w:rFonts w:ascii="Times New Roman" w:hAnsi="Times New Roman" w:cs="Times New Roman" w:hint="eastAsia"/>
          <w:kern w:val="2"/>
          <w:szCs w:val="22"/>
        </w:rPr>
        <w:t>、</w:t>
      </w:r>
      <w:r w:rsidRPr="00872105">
        <w:rPr>
          <w:rFonts w:ascii="Times New Roman" w:hAnsi="Times New Roman" w:cs="Times New Roman" w:hint="eastAsia"/>
          <w:kern w:val="2"/>
          <w:szCs w:val="22"/>
        </w:rPr>
        <w:t>16%</w:t>
      </w:r>
      <w:r w:rsidRPr="00872105">
        <w:rPr>
          <w:rFonts w:ascii="Times New Roman" w:hAnsi="Times New Roman" w:cs="Times New Roman" w:hint="eastAsia"/>
          <w:kern w:val="2"/>
          <w:szCs w:val="22"/>
        </w:rPr>
        <w:t>和</w:t>
      </w:r>
      <w:r w:rsidRPr="00872105">
        <w:rPr>
          <w:rFonts w:ascii="Times New Roman" w:hAnsi="Times New Roman" w:cs="Times New Roman" w:hint="eastAsia"/>
          <w:kern w:val="2"/>
          <w:szCs w:val="22"/>
        </w:rPr>
        <w:t>15%</w:t>
      </w:r>
      <w:r w:rsidRPr="00872105">
        <w:rPr>
          <w:rFonts w:ascii="Times New Roman" w:hAnsi="Times New Roman" w:cs="Times New Roman" w:hint="eastAsia"/>
          <w:kern w:val="2"/>
          <w:szCs w:val="22"/>
        </w:rPr>
        <w:t>，</w:t>
      </w:r>
      <w:r w:rsidRPr="00872105">
        <w:rPr>
          <w:rFonts w:ascii="Times New Roman" w:hAnsi="Times New Roman" w:cs="Times New Roman" w:hint="eastAsia"/>
          <w:kern w:val="2"/>
          <w:szCs w:val="22"/>
        </w:rPr>
        <w:t>2023</w:t>
      </w:r>
      <w:r w:rsidRPr="00872105">
        <w:rPr>
          <w:rFonts w:ascii="Times New Roman" w:hAnsi="Times New Roman" w:cs="Times New Roman" w:hint="eastAsia"/>
          <w:kern w:val="2"/>
          <w:szCs w:val="22"/>
        </w:rPr>
        <w:t>年销售费用率较高系当年为拓展数字增值服务业务，产生了较高市场推广费用所致，后续</w:t>
      </w:r>
      <w:r w:rsidRPr="00872105">
        <w:rPr>
          <w:rFonts w:ascii="Times New Roman" w:hAnsi="Times New Roman" w:cs="Times New Roman" w:hint="eastAsia"/>
          <w:kern w:val="2"/>
          <w:szCs w:val="22"/>
        </w:rPr>
        <w:t>2024</w:t>
      </w:r>
      <w:r w:rsidRPr="00872105">
        <w:rPr>
          <w:rFonts w:ascii="Times New Roman" w:hAnsi="Times New Roman" w:cs="Times New Roman" w:hint="eastAsia"/>
          <w:kern w:val="2"/>
          <w:szCs w:val="22"/>
        </w:rPr>
        <w:t>年度起针对此类业务对推广策略和推广方式进行优化，有效提升了推广效率，销售费用规模及占比有显著下降。</w:t>
      </w:r>
    </w:p>
    <w:p w14:paraId="1742E9E5" w14:textId="0108A5D6"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预测期内标的公司销售费用率均为</w:t>
      </w:r>
      <w:r w:rsidRPr="00DA3766">
        <w:rPr>
          <w:rFonts w:ascii="Times New Roman" w:hAnsi="Times New Roman" w:cs="Times New Roman"/>
          <w:kern w:val="2"/>
          <w:szCs w:val="22"/>
        </w:rPr>
        <w:t>16%</w:t>
      </w:r>
      <w:r w:rsidRPr="00DA3766">
        <w:rPr>
          <w:rFonts w:ascii="Times New Roman" w:hAnsi="Times New Roman" w:cs="Times New Roman"/>
          <w:kern w:val="2"/>
          <w:szCs w:val="22"/>
        </w:rPr>
        <w:t>，低于报告期平均值，但与</w:t>
      </w:r>
      <w:r w:rsidRPr="00DA3766">
        <w:rPr>
          <w:rFonts w:ascii="Times New Roman" w:hAnsi="Times New Roman" w:cs="Times New Roman"/>
          <w:kern w:val="2"/>
          <w:szCs w:val="22"/>
        </w:rPr>
        <w:t>2024</w:t>
      </w:r>
      <w:r w:rsidRPr="00DA3766">
        <w:rPr>
          <w:rFonts w:ascii="Times New Roman" w:hAnsi="Times New Roman" w:cs="Times New Roman"/>
          <w:kern w:val="2"/>
          <w:szCs w:val="22"/>
        </w:rPr>
        <w:t>年及</w:t>
      </w:r>
      <w:r w:rsidRPr="00DA3766">
        <w:rPr>
          <w:rFonts w:ascii="Times New Roman" w:hAnsi="Times New Roman" w:cs="Times New Roman"/>
          <w:kern w:val="2"/>
          <w:szCs w:val="22"/>
        </w:rPr>
        <w:t>2025</w:t>
      </w:r>
      <w:r w:rsidRPr="00DA3766">
        <w:rPr>
          <w:rFonts w:ascii="Times New Roman" w:hAnsi="Times New Roman" w:cs="Times New Roman"/>
          <w:kern w:val="2"/>
          <w:szCs w:val="22"/>
        </w:rPr>
        <w:t>年</w:t>
      </w:r>
      <w:r w:rsidRPr="00DA3766">
        <w:rPr>
          <w:rFonts w:ascii="Times New Roman" w:hAnsi="Times New Roman" w:cs="Times New Roman"/>
          <w:kern w:val="2"/>
          <w:szCs w:val="22"/>
        </w:rPr>
        <w:t>1-6</w:t>
      </w:r>
      <w:r w:rsidRPr="00DA3766">
        <w:rPr>
          <w:rFonts w:ascii="Times New Roman" w:hAnsi="Times New Roman" w:cs="Times New Roman"/>
          <w:kern w:val="2"/>
          <w:szCs w:val="22"/>
        </w:rPr>
        <w:t>月的销售费用率</w:t>
      </w:r>
      <w:r w:rsidRPr="00DA3766">
        <w:rPr>
          <w:rFonts w:ascii="Times New Roman" w:hAnsi="Times New Roman" w:cs="Times New Roman"/>
          <w:kern w:val="2"/>
          <w:szCs w:val="22"/>
        </w:rPr>
        <w:t>15%-16%</w:t>
      </w:r>
      <w:r w:rsidRPr="00DA3766">
        <w:rPr>
          <w:rFonts w:ascii="Times New Roman" w:hAnsi="Times New Roman" w:cs="Times New Roman"/>
          <w:kern w:val="2"/>
          <w:szCs w:val="22"/>
        </w:rPr>
        <w:t>的水平相比，未发生逐年下降，具备合理性。此外，相比</w:t>
      </w:r>
      <w:r w:rsidRPr="00DA3766">
        <w:rPr>
          <w:rFonts w:ascii="Times New Roman" w:hAnsi="Times New Roman" w:cs="Times New Roman"/>
          <w:kern w:val="2"/>
          <w:szCs w:val="22"/>
        </w:rPr>
        <w:t>2023</w:t>
      </w:r>
      <w:r w:rsidRPr="00DA3766">
        <w:rPr>
          <w:rFonts w:ascii="Times New Roman" w:hAnsi="Times New Roman" w:cs="Times New Roman"/>
          <w:kern w:val="2"/>
          <w:szCs w:val="22"/>
        </w:rPr>
        <w:t>年度销售费用率</w:t>
      </w:r>
      <w:r w:rsidRPr="00DA3766">
        <w:rPr>
          <w:rFonts w:ascii="Times New Roman" w:hAnsi="Times New Roman" w:cs="Times New Roman"/>
          <w:kern w:val="2"/>
          <w:szCs w:val="22"/>
        </w:rPr>
        <w:t>21%</w:t>
      </w:r>
      <w:r w:rsidRPr="00DA3766">
        <w:rPr>
          <w:rFonts w:ascii="Times New Roman" w:hAnsi="Times New Roman" w:cs="Times New Roman"/>
          <w:kern w:val="2"/>
          <w:szCs w:val="22"/>
        </w:rPr>
        <w:t>，</w:t>
      </w:r>
      <w:r w:rsidRPr="00DA3766">
        <w:rPr>
          <w:rFonts w:ascii="Times New Roman" w:hAnsi="Times New Roman" w:cs="Times New Roman"/>
          <w:kern w:val="2"/>
          <w:szCs w:val="22"/>
        </w:rPr>
        <w:t>2024</w:t>
      </w:r>
      <w:r w:rsidRPr="00DA3766">
        <w:rPr>
          <w:rFonts w:ascii="Times New Roman" w:hAnsi="Times New Roman" w:cs="Times New Roman"/>
          <w:kern w:val="2"/>
          <w:szCs w:val="22"/>
        </w:rPr>
        <w:t>年度销售费用率显著下降至</w:t>
      </w:r>
      <w:r w:rsidRPr="00DA3766">
        <w:rPr>
          <w:rFonts w:ascii="Times New Roman" w:hAnsi="Times New Roman" w:cs="Times New Roman"/>
          <w:kern w:val="2"/>
          <w:szCs w:val="22"/>
        </w:rPr>
        <w:t>16%</w:t>
      </w:r>
      <w:r w:rsidRPr="00DA3766">
        <w:rPr>
          <w:rFonts w:ascii="Times New Roman" w:hAnsi="Times New Roman" w:cs="Times New Roman"/>
          <w:kern w:val="2"/>
          <w:szCs w:val="22"/>
        </w:rPr>
        <w:t>，但营业收入仍可保持</w:t>
      </w:r>
      <w:r w:rsidRPr="00DA3766">
        <w:rPr>
          <w:rFonts w:ascii="Times New Roman" w:hAnsi="Times New Roman" w:cs="Times New Roman"/>
          <w:kern w:val="2"/>
          <w:szCs w:val="22"/>
        </w:rPr>
        <w:t>16.14%</w:t>
      </w:r>
      <w:r w:rsidRPr="00DA3766">
        <w:rPr>
          <w:rFonts w:ascii="Times New Roman" w:hAnsi="Times New Roman" w:cs="Times New Roman"/>
          <w:kern w:val="2"/>
          <w:szCs w:val="22"/>
        </w:rPr>
        <w:t>的增长率。因此本次预测在预测期内营业收入的平均增长率为</w:t>
      </w:r>
      <w:r w:rsidRPr="00DA3766">
        <w:rPr>
          <w:rFonts w:ascii="Times New Roman" w:hAnsi="Times New Roman" w:cs="Times New Roman"/>
          <w:kern w:val="2"/>
          <w:szCs w:val="22"/>
        </w:rPr>
        <w:t>7.63%</w:t>
      </w:r>
      <w:r w:rsidRPr="00DA3766">
        <w:rPr>
          <w:rFonts w:ascii="Times New Roman" w:hAnsi="Times New Roman" w:cs="Times New Roman"/>
          <w:kern w:val="2"/>
          <w:szCs w:val="22"/>
        </w:rPr>
        <w:t>的水平下，销售费用率亦保持在</w:t>
      </w:r>
      <w:r w:rsidRPr="00DA3766">
        <w:rPr>
          <w:rFonts w:ascii="Times New Roman" w:hAnsi="Times New Roman" w:cs="Times New Roman"/>
          <w:kern w:val="2"/>
          <w:szCs w:val="22"/>
        </w:rPr>
        <w:t>16%</w:t>
      </w:r>
      <w:r w:rsidRPr="00DA3766">
        <w:rPr>
          <w:rFonts w:ascii="Times New Roman" w:hAnsi="Times New Roman" w:cs="Times New Roman"/>
          <w:kern w:val="2"/>
          <w:szCs w:val="22"/>
        </w:rPr>
        <w:t>具备合理性。</w:t>
      </w:r>
    </w:p>
    <w:p w14:paraId="7D13C709"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、管理费用率变动具备合理性</w:t>
      </w:r>
    </w:p>
    <w:p w14:paraId="7AC7A41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报告期及预测期，管理费用率情况如下：</w:t>
      </w:r>
    </w:p>
    <w:p w14:paraId="57EF286D"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33"/>
        <w:gridCol w:w="1100"/>
        <w:gridCol w:w="1166"/>
        <w:gridCol w:w="1559"/>
        <w:gridCol w:w="1100"/>
        <w:gridCol w:w="1058"/>
        <w:gridCol w:w="1058"/>
        <w:gridCol w:w="1058"/>
        <w:gridCol w:w="1056"/>
      </w:tblGrid>
      <w:tr w:rsidR="00EB3B4C" w:rsidRPr="00DA3766" w14:paraId="4EC4C56F" w14:textId="77777777" w:rsidTr="00582BF8">
        <w:trPr>
          <w:trHeight w:val="397"/>
          <w:tblHeader/>
          <w:jc w:val="center"/>
        </w:trPr>
        <w:tc>
          <w:tcPr>
            <w:tcW w:w="551" w:type="pct"/>
            <w:vMerge w:val="restart"/>
            <w:vAlign w:val="center"/>
          </w:tcPr>
          <w:p w14:paraId="0CEEB33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项目</w:t>
            </w:r>
          </w:p>
        </w:tc>
        <w:tc>
          <w:tcPr>
            <w:tcW w:w="1859" w:type="pct"/>
            <w:gridSpan w:val="3"/>
            <w:vAlign w:val="center"/>
          </w:tcPr>
          <w:p w14:paraId="3C5F1C9A"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报告期</w:t>
            </w:r>
          </w:p>
        </w:tc>
        <w:tc>
          <w:tcPr>
            <w:tcW w:w="2590" w:type="pct"/>
            <w:gridSpan w:val="5"/>
            <w:vAlign w:val="center"/>
          </w:tcPr>
          <w:p w14:paraId="27D919F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预测期</w:t>
            </w:r>
          </w:p>
        </w:tc>
      </w:tr>
      <w:tr w:rsidR="00582BF8" w:rsidRPr="00DA3766" w14:paraId="1BDA250A" w14:textId="77777777" w:rsidTr="00582BF8">
        <w:trPr>
          <w:trHeight w:val="397"/>
          <w:tblHeader/>
          <w:jc w:val="center"/>
        </w:trPr>
        <w:tc>
          <w:tcPr>
            <w:tcW w:w="551" w:type="pct"/>
            <w:vMerge/>
            <w:vAlign w:val="center"/>
          </w:tcPr>
          <w:p w14:paraId="6DD70478"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p>
        </w:tc>
        <w:tc>
          <w:tcPr>
            <w:tcW w:w="535" w:type="pct"/>
            <w:vAlign w:val="center"/>
          </w:tcPr>
          <w:p w14:paraId="6CD364E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2023</w:t>
            </w:r>
            <w:r w:rsidRPr="00DA3766">
              <w:rPr>
                <w:rFonts w:ascii="Times New Roman" w:hAnsi="Times New Roman" w:cs="Times New Roman"/>
                <w:b/>
                <w:color w:val="000000"/>
                <w:kern w:val="2"/>
                <w:sz w:val="21"/>
                <w:szCs w:val="21"/>
                <w14:ligatures w14:val="standardContextual"/>
              </w:rPr>
              <w:t>年度</w:t>
            </w:r>
          </w:p>
        </w:tc>
        <w:tc>
          <w:tcPr>
            <w:tcW w:w="567" w:type="pct"/>
            <w:vAlign w:val="center"/>
          </w:tcPr>
          <w:p w14:paraId="04D3E9B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2024</w:t>
            </w:r>
            <w:r w:rsidRPr="00DA3766">
              <w:rPr>
                <w:rFonts w:ascii="Times New Roman" w:hAnsi="Times New Roman" w:cs="Times New Roman"/>
                <w:b/>
                <w:color w:val="000000"/>
                <w:kern w:val="2"/>
                <w:sz w:val="21"/>
                <w:szCs w:val="21"/>
                <w14:ligatures w14:val="standardContextual"/>
              </w:rPr>
              <w:t>年度</w:t>
            </w:r>
          </w:p>
        </w:tc>
        <w:tc>
          <w:tcPr>
            <w:tcW w:w="758" w:type="pct"/>
            <w:vAlign w:val="center"/>
          </w:tcPr>
          <w:p w14:paraId="50B8B5B7"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2025</w:t>
            </w:r>
            <w:r w:rsidRPr="00DA3766">
              <w:rPr>
                <w:rFonts w:ascii="Times New Roman" w:hAnsi="Times New Roman" w:cs="Times New Roman"/>
                <w:b/>
                <w:color w:val="000000"/>
                <w:kern w:val="2"/>
                <w:sz w:val="21"/>
                <w:szCs w:val="21"/>
                <w14:ligatures w14:val="standardContextual"/>
              </w:rPr>
              <w:t>年</w:t>
            </w:r>
            <w:r w:rsidRPr="00DA3766">
              <w:rPr>
                <w:rFonts w:ascii="Times New Roman" w:hAnsi="Times New Roman" w:cs="Times New Roman"/>
                <w:b/>
                <w:color w:val="000000"/>
                <w:kern w:val="2"/>
                <w:sz w:val="21"/>
                <w:szCs w:val="21"/>
                <w14:ligatures w14:val="standardContextual"/>
              </w:rPr>
              <w:t>1-6</w:t>
            </w:r>
            <w:r w:rsidRPr="00DA3766">
              <w:rPr>
                <w:rFonts w:ascii="Times New Roman" w:hAnsi="Times New Roman" w:cs="Times New Roman"/>
                <w:b/>
                <w:color w:val="000000"/>
                <w:kern w:val="2"/>
                <w:sz w:val="21"/>
                <w:szCs w:val="21"/>
                <w14:ligatures w14:val="standardContextual"/>
              </w:rPr>
              <w:t>月</w:t>
            </w:r>
          </w:p>
        </w:tc>
        <w:tc>
          <w:tcPr>
            <w:tcW w:w="535" w:type="pct"/>
            <w:vAlign w:val="center"/>
          </w:tcPr>
          <w:p w14:paraId="592010D6"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2025</w:t>
            </w:r>
            <w:r w:rsidRPr="00DA3766">
              <w:rPr>
                <w:rFonts w:ascii="Times New Roman" w:hAnsi="Times New Roman" w:cs="Times New Roman"/>
                <w:b/>
                <w:color w:val="000000"/>
                <w:kern w:val="2"/>
                <w:sz w:val="21"/>
                <w:szCs w:val="21"/>
                <w14:ligatures w14:val="standardContextual"/>
              </w:rPr>
              <w:t>全年</w:t>
            </w:r>
          </w:p>
        </w:tc>
        <w:tc>
          <w:tcPr>
            <w:tcW w:w="514" w:type="pct"/>
            <w:vAlign w:val="center"/>
          </w:tcPr>
          <w:p w14:paraId="3E32B609"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2026</w:t>
            </w:r>
            <w:r w:rsidRPr="00DA3766">
              <w:rPr>
                <w:rFonts w:ascii="Times New Roman" w:hAnsi="Times New Roman" w:cs="Times New Roman"/>
                <w:b/>
                <w:color w:val="000000"/>
                <w:kern w:val="2"/>
                <w:sz w:val="21"/>
                <w:szCs w:val="21"/>
                <w14:ligatures w14:val="standardContextual"/>
              </w:rPr>
              <w:t>年</w:t>
            </w:r>
          </w:p>
        </w:tc>
        <w:tc>
          <w:tcPr>
            <w:tcW w:w="514" w:type="pct"/>
            <w:vAlign w:val="center"/>
          </w:tcPr>
          <w:p w14:paraId="3A7E5E5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2027</w:t>
            </w:r>
            <w:r w:rsidRPr="00DA3766">
              <w:rPr>
                <w:rFonts w:ascii="Times New Roman" w:hAnsi="Times New Roman" w:cs="Times New Roman"/>
                <w:b/>
                <w:color w:val="000000"/>
                <w:kern w:val="2"/>
                <w:sz w:val="21"/>
                <w:szCs w:val="21"/>
                <w14:ligatures w14:val="standardContextual"/>
              </w:rPr>
              <w:t>年</w:t>
            </w:r>
          </w:p>
        </w:tc>
        <w:tc>
          <w:tcPr>
            <w:tcW w:w="514" w:type="pct"/>
            <w:vAlign w:val="center"/>
          </w:tcPr>
          <w:p w14:paraId="1CF739F5"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2028</w:t>
            </w:r>
            <w:r w:rsidRPr="00DA3766">
              <w:rPr>
                <w:rFonts w:ascii="Times New Roman" w:hAnsi="Times New Roman" w:cs="Times New Roman"/>
                <w:b/>
                <w:color w:val="000000"/>
                <w:kern w:val="2"/>
                <w:sz w:val="21"/>
                <w:szCs w:val="21"/>
                <w14:ligatures w14:val="standardContextual"/>
              </w:rPr>
              <w:t>年</w:t>
            </w:r>
          </w:p>
        </w:tc>
        <w:tc>
          <w:tcPr>
            <w:tcW w:w="513" w:type="pct"/>
            <w:vAlign w:val="center"/>
          </w:tcPr>
          <w:p w14:paraId="53771E81"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2029</w:t>
            </w:r>
            <w:r w:rsidRPr="00DA3766">
              <w:rPr>
                <w:rFonts w:ascii="Times New Roman" w:hAnsi="Times New Roman" w:cs="Times New Roman"/>
                <w:b/>
                <w:color w:val="000000"/>
                <w:kern w:val="2"/>
                <w:sz w:val="21"/>
                <w:szCs w:val="21"/>
                <w14:ligatures w14:val="standardContextual"/>
              </w:rPr>
              <w:t>年</w:t>
            </w:r>
          </w:p>
        </w:tc>
      </w:tr>
      <w:tr w:rsidR="00582BF8" w:rsidRPr="00DA3766" w14:paraId="23567001" w14:textId="77777777" w:rsidTr="00582BF8">
        <w:trPr>
          <w:trHeight w:val="397"/>
          <w:jc w:val="center"/>
        </w:trPr>
        <w:tc>
          <w:tcPr>
            <w:tcW w:w="551" w:type="pct"/>
            <w:vAlign w:val="center"/>
          </w:tcPr>
          <w:p w14:paraId="1ACBB2DF"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管理费用</w:t>
            </w:r>
          </w:p>
        </w:tc>
        <w:tc>
          <w:tcPr>
            <w:tcW w:w="535" w:type="pct"/>
            <w:vAlign w:val="center"/>
          </w:tcPr>
          <w:p w14:paraId="1399DE5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5,480.91</w:t>
            </w:r>
          </w:p>
        </w:tc>
        <w:tc>
          <w:tcPr>
            <w:tcW w:w="567" w:type="pct"/>
            <w:vAlign w:val="center"/>
          </w:tcPr>
          <w:p w14:paraId="10F48F5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5,380.82</w:t>
            </w:r>
          </w:p>
        </w:tc>
        <w:tc>
          <w:tcPr>
            <w:tcW w:w="758" w:type="pct"/>
            <w:vAlign w:val="center"/>
          </w:tcPr>
          <w:p w14:paraId="112B081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2,698.73</w:t>
            </w:r>
          </w:p>
        </w:tc>
        <w:tc>
          <w:tcPr>
            <w:tcW w:w="535" w:type="pct"/>
            <w:vAlign w:val="center"/>
          </w:tcPr>
          <w:p w14:paraId="3AE2494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5,593.38</w:t>
            </w:r>
          </w:p>
        </w:tc>
        <w:tc>
          <w:tcPr>
            <w:tcW w:w="514" w:type="pct"/>
            <w:vAlign w:val="center"/>
          </w:tcPr>
          <w:p w14:paraId="1620EF8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5,918.09</w:t>
            </w:r>
          </w:p>
        </w:tc>
        <w:tc>
          <w:tcPr>
            <w:tcW w:w="514" w:type="pct"/>
            <w:vAlign w:val="center"/>
          </w:tcPr>
          <w:p w14:paraId="0890AD69"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6,238.90</w:t>
            </w:r>
          </w:p>
        </w:tc>
        <w:tc>
          <w:tcPr>
            <w:tcW w:w="514" w:type="pct"/>
            <w:vAlign w:val="center"/>
          </w:tcPr>
          <w:p w14:paraId="3159598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6,422.14</w:t>
            </w:r>
          </w:p>
        </w:tc>
        <w:tc>
          <w:tcPr>
            <w:tcW w:w="513" w:type="pct"/>
            <w:vAlign w:val="center"/>
          </w:tcPr>
          <w:p w14:paraId="4BCD703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6,607.77</w:t>
            </w:r>
          </w:p>
        </w:tc>
      </w:tr>
      <w:tr w:rsidR="00582BF8" w:rsidRPr="00DA3766" w14:paraId="09D06AFA" w14:textId="77777777" w:rsidTr="00582BF8">
        <w:trPr>
          <w:trHeight w:val="397"/>
          <w:jc w:val="center"/>
        </w:trPr>
        <w:tc>
          <w:tcPr>
            <w:tcW w:w="551" w:type="pct"/>
            <w:vAlign w:val="center"/>
          </w:tcPr>
          <w:p w14:paraId="4613AC88"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占营业收入比例</w:t>
            </w:r>
          </w:p>
        </w:tc>
        <w:tc>
          <w:tcPr>
            <w:tcW w:w="535" w:type="pct"/>
            <w:vAlign w:val="center"/>
          </w:tcPr>
          <w:p w14:paraId="7BCEB2E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14%</w:t>
            </w:r>
          </w:p>
        </w:tc>
        <w:tc>
          <w:tcPr>
            <w:tcW w:w="567" w:type="pct"/>
            <w:vAlign w:val="center"/>
          </w:tcPr>
          <w:p w14:paraId="43B2050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12%</w:t>
            </w:r>
          </w:p>
        </w:tc>
        <w:tc>
          <w:tcPr>
            <w:tcW w:w="758" w:type="pct"/>
            <w:vAlign w:val="center"/>
          </w:tcPr>
          <w:p w14:paraId="1F78F2A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35" w:type="pct"/>
            <w:vAlign w:val="center"/>
          </w:tcPr>
          <w:p w14:paraId="7E02DC11"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4EC176B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6EF4B5D4"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3CF0745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10%</w:t>
            </w:r>
          </w:p>
        </w:tc>
        <w:tc>
          <w:tcPr>
            <w:tcW w:w="513" w:type="pct"/>
            <w:vAlign w:val="center"/>
          </w:tcPr>
          <w:p w14:paraId="6FAAE2EC"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10%</w:t>
            </w:r>
          </w:p>
        </w:tc>
      </w:tr>
      <w:tr w:rsidR="00582BF8" w:rsidRPr="00DA3766" w14:paraId="43C8290E" w14:textId="77777777" w:rsidTr="00582BF8">
        <w:trPr>
          <w:trHeight w:val="397"/>
          <w:jc w:val="center"/>
        </w:trPr>
        <w:tc>
          <w:tcPr>
            <w:tcW w:w="551" w:type="pct"/>
            <w:vAlign w:val="center"/>
          </w:tcPr>
          <w:p w14:paraId="1BA4BA63"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营业收入</w:t>
            </w:r>
          </w:p>
        </w:tc>
        <w:tc>
          <w:tcPr>
            <w:tcW w:w="535" w:type="pct"/>
            <w:vAlign w:val="center"/>
          </w:tcPr>
          <w:p w14:paraId="198F18F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38,501.66</w:t>
            </w:r>
          </w:p>
        </w:tc>
        <w:tc>
          <w:tcPr>
            <w:tcW w:w="567" w:type="pct"/>
            <w:vAlign w:val="center"/>
          </w:tcPr>
          <w:p w14:paraId="21BDB3F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44,716.44</w:t>
            </w:r>
          </w:p>
        </w:tc>
        <w:tc>
          <w:tcPr>
            <w:tcW w:w="758" w:type="pct"/>
            <w:vAlign w:val="center"/>
          </w:tcPr>
          <w:p w14:paraId="05AEDF3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24,799.86</w:t>
            </w:r>
          </w:p>
        </w:tc>
        <w:tc>
          <w:tcPr>
            <w:tcW w:w="535" w:type="pct"/>
            <w:vAlign w:val="center"/>
          </w:tcPr>
          <w:p w14:paraId="20B5B61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52,487.45</w:t>
            </w:r>
          </w:p>
        </w:tc>
        <w:tc>
          <w:tcPr>
            <w:tcW w:w="514" w:type="pct"/>
            <w:vAlign w:val="center"/>
          </w:tcPr>
          <w:p w14:paraId="761869C6"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56,074.53</w:t>
            </w:r>
          </w:p>
        </w:tc>
        <w:tc>
          <w:tcPr>
            <w:tcW w:w="514" w:type="pct"/>
            <w:vAlign w:val="center"/>
          </w:tcPr>
          <w:p w14:paraId="219EB8B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59,281.59</w:t>
            </w:r>
          </w:p>
        </w:tc>
        <w:tc>
          <w:tcPr>
            <w:tcW w:w="514" w:type="pct"/>
            <w:vAlign w:val="center"/>
          </w:tcPr>
          <w:p w14:paraId="6120C14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61,975.97</w:t>
            </w:r>
          </w:p>
        </w:tc>
        <w:tc>
          <w:tcPr>
            <w:tcW w:w="513" w:type="pct"/>
            <w:vAlign w:val="center"/>
          </w:tcPr>
          <w:p w14:paraId="40A2E21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64,249.70</w:t>
            </w:r>
          </w:p>
        </w:tc>
      </w:tr>
      <w:tr w:rsidR="00582BF8" w:rsidRPr="00DA3766" w14:paraId="25EAA342" w14:textId="77777777" w:rsidTr="00582BF8">
        <w:trPr>
          <w:trHeight w:val="397"/>
          <w:jc w:val="center"/>
        </w:trPr>
        <w:tc>
          <w:tcPr>
            <w:tcW w:w="551" w:type="pct"/>
            <w:vAlign w:val="center"/>
          </w:tcPr>
          <w:p w14:paraId="70DBC75D"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增长率</w:t>
            </w:r>
          </w:p>
        </w:tc>
        <w:tc>
          <w:tcPr>
            <w:tcW w:w="535" w:type="pct"/>
            <w:vAlign w:val="center"/>
          </w:tcPr>
          <w:p w14:paraId="3A7C2D5A"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p>
        </w:tc>
        <w:tc>
          <w:tcPr>
            <w:tcW w:w="567" w:type="pct"/>
            <w:vAlign w:val="center"/>
          </w:tcPr>
          <w:p w14:paraId="48E4A53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16.14%</w:t>
            </w:r>
          </w:p>
        </w:tc>
        <w:tc>
          <w:tcPr>
            <w:tcW w:w="758" w:type="pct"/>
            <w:vAlign w:val="center"/>
          </w:tcPr>
          <w:p w14:paraId="06A23E4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p>
        </w:tc>
        <w:tc>
          <w:tcPr>
            <w:tcW w:w="535" w:type="pct"/>
            <w:vAlign w:val="center"/>
          </w:tcPr>
          <w:p w14:paraId="193C6F8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17.38%</w:t>
            </w:r>
          </w:p>
        </w:tc>
        <w:tc>
          <w:tcPr>
            <w:tcW w:w="514" w:type="pct"/>
            <w:vAlign w:val="center"/>
          </w:tcPr>
          <w:p w14:paraId="3E8F754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6.83%</w:t>
            </w:r>
          </w:p>
        </w:tc>
        <w:tc>
          <w:tcPr>
            <w:tcW w:w="514" w:type="pct"/>
            <w:vAlign w:val="center"/>
          </w:tcPr>
          <w:p w14:paraId="2093A3A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5.72%</w:t>
            </w:r>
          </w:p>
        </w:tc>
        <w:tc>
          <w:tcPr>
            <w:tcW w:w="514" w:type="pct"/>
            <w:vAlign w:val="center"/>
          </w:tcPr>
          <w:p w14:paraId="5AF901B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4.55%</w:t>
            </w:r>
          </w:p>
        </w:tc>
        <w:tc>
          <w:tcPr>
            <w:tcW w:w="513" w:type="pct"/>
            <w:vAlign w:val="center"/>
          </w:tcPr>
          <w:p w14:paraId="1DC4E75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3.67%</w:t>
            </w:r>
          </w:p>
        </w:tc>
      </w:tr>
    </w:tbl>
    <w:p w14:paraId="3585E17C" w14:textId="1A53B36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在本次评估中，标的公司管理费用率在</w:t>
      </w:r>
      <w:r w:rsidRPr="00DA3766">
        <w:rPr>
          <w:rFonts w:ascii="Times New Roman" w:hAnsi="Times New Roman" w:cs="Times New Roman"/>
          <w:kern w:val="2"/>
          <w:szCs w:val="22"/>
        </w:rPr>
        <w:t>10%</w:t>
      </w:r>
      <w:r w:rsidRPr="00DA3766">
        <w:rPr>
          <w:rFonts w:ascii="Times New Roman" w:hAnsi="Times New Roman" w:cs="Times New Roman"/>
          <w:kern w:val="2"/>
          <w:szCs w:val="22"/>
        </w:rPr>
        <w:t>至</w:t>
      </w:r>
      <w:r w:rsidRPr="00DA3766">
        <w:rPr>
          <w:rFonts w:ascii="Times New Roman" w:hAnsi="Times New Roman" w:cs="Times New Roman"/>
          <w:kern w:val="2"/>
          <w:szCs w:val="22"/>
        </w:rPr>
        <w:t>11%</w:t>
      </w:r>
      <w:r w:rsidRPr="00DA3766">
        <w:rPr>
          <w:rFonts w:ascii="Times New Roman" w:hAnsi="Times New Roman" w:cs="Times New Roman"/>
          <w:kern w:val="2"/>
          <w:szCs w:val="22"/>
        </w:rPr>
        <w:t>区间。报告期内管理费用率分别为</w:t>
      </w:r>
      <w:r w:rsidRPr="00DA3766">
        <w:rPr>
          <w:rFonts w:ascii="Times New Roman" w:hAnsi="Times New Roman" w:cs="Times New Roman"/>
          <w:kern w:val="2"/>
          <w:szCs w:val="22"/>
        </w:rPr>
        <w:t>14%</w:t>
      </w:r>
      <w:r w:rsidRPr="00DA3766">
        <w:rPr>
          <w:rFonts w:ascii="Times New Roman" w:hAnsi="Times New Roman" w:cs="Times New Roman"/>
          <w:kern w:val="2"/>
          <w:szCs w:val="22"/>
        </w:rPr>
        <w:t>、</w:t>
      </w:r>
      <w:r w:rsidRPr="00DA3766">
        <w:rPr>
          <w:rFonts w:ascii="Times New Roman" w:hAnsi="Times New Roman" w:cs="Times New Roman"/>
          <w:kern w:val="2"/>
          <w:szCs w:val="22"/>
        </w:rPr>
        <w:t>12%</w:t>
      </w:r>
      <w:r w:rsidRPr="00DA3766">
        <w:rPr>
          <w:rFonts w:ascii="Times New Roman" w:hAnsi="Times New Roman" w:cs="Times New Roman"/>
          <w:kern w:val="2"/>
          <w:szCs w:val="22"/>
        </w:rPr>
        <w:t>和</w:t>
      </w:r>
      <w:r w:rsidRPr="00DA3766">
        <w:rPr>
          <w:rFonts w:ascii="Times New Roman" w:hAnsi="Times New Roman" w:cs="Times New Roman"/>
          <w:kern w:val="2"/>
          <w:szCs w:val="22"/>
        </w:rPr>
        <w:t>11%</w:t>
      </w:r>
      <w:r w:rsidRPr="00DA3766">
        <w:rPr>
          <w:rFonts w:ascii="Times New Roman" w:hAnsi="Times New Roman" w:cs="Times New Roman"/>
          <w:kern w:val="2"/>
          <w:szCs w:val="22"/>
        </w:rPr>
        <w:t>。报告期内，标的公司管理费用率出现下降的趋势，主要系部分无形资产在报告期</w:t>
      </w:r>
      <w:r w:rsidRPr="00DA3766">
        <w:rPr>
          <w:rFonts w:ascii="Times New Roman" w:hAnsi="Times New Roman" w:cs="Times New Roman"/>
          <w:kern w:val="2"/>
          <w:szCs w:val="22"/>
        </w:rPr>
        <w:t>2023</w:t>
      </w:r>
      <w:r w:rsidRPr="00DA3766">
        <w:rPr>
          <w:rFonts w:ascii="Times New Roman" w:hAnsi="Times New Roman" w:cs="Times New Roman"/>
          <w:kern w:val="2"/>
          <w:szCs w:val="22"/>
        </w:rPr>
        <w:t>年末计提减值，使得</w:t>
      </w:r>
      <w:r w:rsidRPr="00DA3766">
        <w:rPr>
          <w:rFonts w:ascii="Times New Roman" w:hAnsi="Times New Roman" w:cs="Times New Roman"/>
          <w:kern w:val="2"/>
          <w:szCs w:val="22"/>
        </w:rPr>
        <w:t>2024</w:t>
      </w:r>
      <w:r w:rsidRPr="00DA3766">
        <w:rPr>
          <w:rFonts w:ascii="Times New Roman" w:hAnsi="Times New Roman" w:cs="Times New Roman"/>
          <w:kern w:val="2"/>
          <w:szCs w:val="22"/>
        </w:rPr>
        <w:t>年起折旧摊销金额有所减少，整体来看，标的公司管理费用率在</w:t>
      </w:r>
      <w:r w:rsidRPr="00DA3766">
        <w:rPr>
          <w:rFonts w:ascii="Times New Roman" w:hAnsi="Times New Roman" w:cs="Times New Roman"/>
          <w:kern w:val="2"/>
          <w:szCs w:val="22"/>
        </w:rPr>
        <w:t>2024</w:t>
      </w:r>
      <w:r w:rsidRPr="00DA3766">
        <w:rPr>
          <w:rFonts w:ascii="Times New Roman" w:hAnsi="Times New Roman" w:cs="Times New Roman"/>
          <w:kern w:val="2"/>
          <w:szCs w:val="22"/>
        </w:rPr>
        <w:t>年开始至本次预测期内在</w:t>
      </w:r>
      <w:r w:rsidRPr="00DA3766">
        <w:rPr>
          <w:rFonts w:ascii="Times New Roman" w:hAnsi="Times New Roman" w:cs="Times New Roman"/>
          <w:kern w:val="2"/>
          <w:szCs w:val="22"/>
        </w:rPr>
        <w:t>10%-12%</w:t>
      </w:r>
      <w:r w:rsidRPr="00DA3766">
        <w:rPr>
          <w:rFonts w:ascii="Times New Roman" w:hAnsi="Times New Roman" w:cs="Times New Roman"/>
          <w:kern w:val="2"/>
          <w:szCs w:val="22"/>
        </w:rPr>
        <w:t>，显示较为稳定。另一方面，标的公司目前的管理体系较为稳定，除前述偶发情况影响外，其他费用的规模增长基本稳定，显示</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公司在保持收入增长的同时，有效控制了运营成本。综上，预测期内的管理费用变动具备合理性。</w:t>
      </w:r>
    </w:p>
    <w:p w14:paraId="6C2828F6"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3</w:t>
      </w:r>
      <w:r w:rsidRPr="00DA3766">
        <w:rPr>
          <w:rFonts w:ascii="Times New Roman" w:hAnsi="Times New Roman" w:cs="Times New Roman"/>
          <w:b/>
          <w:bCs/>
          <w:kern w:val="2"/>
          <w:szCs w:val="28"/>
        </w:rPr>
        <w:t>、研发费用率变动具备合理性</w:t>
      </w:r>
    </w:p>
    <w:p w14:paraId="5BB85A2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报告期及预测期，研发费用率情况如下：</w:t>
      </w:r>
    </w:p>
    <w:p w14:paraId="4A687771"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4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1137"/>
        <w:gridCol w:w="1137"/>
        <w:gridCol w:w="1137"/>
        <w:gridCol w:w="1137"/>
        <w:gridCol w:w="1135"/>
        <w:gridCol w:w="1135"/>
        <w:gridCol w:w="1135"/>
        <w:gridCol w:w="1120"/>
      </w:tblGrid>
      <w:tr w:rsidR="00EB3B4C" w:rsidRPr="00DA3766" w14:paraId="56CE52C2" w14:textId="77777777" w:rsidTr="00582BF8">
        <w:trPr>
          <w:trHeight w:val="397"/>
          <w:tblHeader/>
          <w:jc w:val="center"/>
        </w:trPr>
        <w:tc>
          <w:tcPr>
            <w:tcW w:w="603" w:type="pct"/>
            <w:vMerge w:val="restart"/>
            <w:vAlign w:val="center"/>
          </w:tcPr>
          <w:p w14:paraId="24BB170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652" w:type="pct"/>
            <w:gridSpan w:val="3"/>
            <w:vAlign w:val="center"/>
          </w:tcPr>
          <w:p w14:paraId="386E128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745" w:type="pct"/>
            <w:gridSpan w:val="5"/>
            <w:vAlign w:val="center"/>
          </w:tcPr>
          <w:p w14:paraId="71C969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28A291AC" w14:textId="77777777" w:rsidTr="00582BF8">
        <w:trPr>
          <w:trHeight w:val="397"/>
          <w:tblHeader/>
          <w:jc w:val="center"/>
        </w:trPr>
        <w:tc>
          <w:tcPr>
            <w:tcW w:w="603" w:type="pct"/>
            <w:vMerge/>
            <w:vAlign w:val="center"/>
          </w:tcPr>
          <w:p w14:paraId="4449BF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1" w:type="pct"/>
            <w:vAlign w:val="center"/>
          </w:tcPr>
          <w:p w14:paraId="5C31841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51" w:type="pct"/>
            <w:vAlign w:val="center"/>
          </w:tcPr>
          <w:p w14:paraId="72A57AC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551" w:type="pct"/>
            <w:vAlign w:val="center"/>
          </w:tcPr>
          <w:p w14:paraId="51646A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51" w:type="pct"/>
            <w:vAlign w:val="center"/>
          </w:tcPr>
          <w:p w14:paraId="145E54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50" w:type="pct"/>
            <w:vAlign w:val="center"/>
          </w:tcPr>
          <w:p w14:paraId="01E18B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550" w:type="pct"/>
            <w:vAlign w:val="center"/>
          </w:tcPr>
          <w:p w14:paraId="44A3B81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550" w:type="pct"/>
            <w:vAlign w:val="center"/>
          </w:tcPr>
          <w:p w14:paraId="57D97C2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46" w:type="pct"/>
            <w:vAlign w:val="center"/>
          </w:tcPr>
          <w:p w14:paraId="4D7BFCE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EB3B4C" w:rsidRPr="00DA3766" w14:paraId="791573B9" w14:textId="77777777" w:rsidTr="00582BF8">
        <w:trPr>
          <w:trHeight w:val="397"/>
          <w:jc w:val="center"/>
        </w:trPr>
        <w:tc>
          <w:tcPr>
            <w:tcW w:w="603" w:type="pct"/>
            <w:vAlign w:val="center"/>
          </w:tcPr>
          <w:p w14:paraId="7FBB4634"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研发费用</w:t>
            </w:r>
          </w:p>
        </w:tc>
        <w:tc>
          <w:tcPr>
            <w:tcW w:w="551" w:type="pct"/>
            <w:vAlign w:val="center"/>
          </w:tcPr>
          <w:p w14:paraId="4E8127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7,072.82 </w:t>
            </w:r>
          </w:p>
        </w:tc>
        <w:tc>
          <w:tcPr>
            <w:tcW w:w="551" w:type="pct"/>
            <w:vAlign w:val="center"/>
          </w:tcPr>
          <w:p w14:paraId="4BC63E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6,446.17 </w:t>
            </w:r>
          </w:p>
        </w:tc>
        <w:tc>
          <w:tcPr>
            <w:tcW w:w="551" w:type="pct"/>
            <w:vAlign w:val="center"/>
          </w:tcPr>
          <w:p w14:paraId="0F58B2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3,110.71 </w:t>
            </w:r>
          </w:p>
        </w:tc>
        <w:tc>
          <w:tcPr>
            <w:tcW w:w="551" w:type="pct"/>
            <w:vAlign w:val="center"/>
          </w:tcPr>
          <w:p w14:paraId="58D152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7,038.36 </w:t>
            </w:r>
          </w:p>
        </w:tc>
        <w:tc>
          <w:tcPr>
            <w:tcW w:w="550" w:type="pct"/>
            <w:vAlign w:val="center"/>
          </w:tcPr>
          <w:p w14:paraId="714EFA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7,334.32 </w:t>
            </w:r>
          </w:p>
        </w:tc>
        <w:tc>
          <w:tcPr>
            <w:tcW w:w="550" w:type="pct"/>
            <w:vAlign w:val="center"/>
          </w:tcPr>
          <w:p w14:paraId="7DFD8E0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7,636.20 </w:t>
            </w:r>
          </w:p>
        </w:tc>
        <w:tc>
          <w:tcPr>
            <w:tcW w:w="550" w:type="pct"/>
            <w:vAlign w:val="center"/>
          </w:tcPr>
          <w:p w14:paraId="033F39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7,946.29 </w:t>
            </w:r>
          </w:p>
        </w:tc>
        <w:tc>
          <w:tcPr>
            <w:tcW w:w="546" w:type="pct"/>
            <w:vAlign w:val="center"/>
          </w:tcPr>
          <w:p w14:paraId="2B8DC6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8,179.00 </w:t>
            </w:r>
          </w:p>
        </w:tc>
      </w:tr>
      <w:tr w:rsidR="00EB3B4C" w:rsidRPr="00DA3766" w14:paraId="340C147D" w14:textId="77777777" w:rsidTr="00582BF8">
        <w:trPr>
          <w:trHeight w:val="397"/>
          <w:jc w:val="center"/>
        </w:trPr>
        <w:tc>
          <w:tcPr>
            <w:tcW w:w="603" w:type="pct"/>
            <w:vAlign w:val="center"/>
          </w:tcPr>
          <w:p w14:paraId="47057A31"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占营业收入比例</w:t>
            </w:r>
          </w:p>
        </w:tc>
        <w:tc>
          <w:tcPr>
            <w:tcW w:w="551" w:type="pct"/>
            <w:vAlign w:val="center"/>
          </w:tcPr>
          <w:p w14:paraId="382D78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551" w:type="pct"/>
            <w:vAlign w:val="center"/>
          </w:tcPr>
          <w:p w14:paraId="43768F6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551" w:type="pct"/>
            <w:vAlign w:val="center"/>
          </w:tcPr>
          <w:p w14:paraId="3667C4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1" w:type="pct"/>
            <w:vAlign w:val="center"/>
          </w:tcPr>
          <w:p w14:paraId="45F68F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1EF740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0E8495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0F6F0C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46" w:type="pct"/>
            <w:vAlign w:val="center"/>
          </w:tcPr>
          <w:p w14:paraId="323B9D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r>
      <w:tr w:rsidR="00EB3B4C" w:rsidRPr="00DA3766" w14:paraId="65936DAE" w14:textId="77777777" w:rsidTr="00582BF8">
        <w:trPr>
          <w:trHeight w:val="397"/>
          <w:jc w:val="center"/>
        </w:trPr>
        <w:tc>
          <w:tcPr>
            <w:tcW w:w="603" w:type="pct"/>
            <w:vAlign w:val="center"/>
          </w:tcPr>
          <w:p w14:paraId="4E7AC565"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营业收入</w:t>
            </w:r>
          </w:p>
        </w:tc>
        <w:tc>
          <w:tcPr>
            <w:tcW w:w="551" w:type="pct"/>
            <w:vAlign w:val="center"/>
          </w:tcPr>
          <w:p w14:paraId="56F380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38,501.66 </w:t>
            </w:r>
          </w:p>
        </w:tc>
        <w:tc>
          <w:tcPr>
            <w:tcW w:w="551" w:type="pct"/>
            <w:vAlign w:val="center"/>
          </w:tcPr>
          <w:p w14:paraId="5689C3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44,716.44 </w:t>
            </w:r>
          </w:p>
        </w:tc>
        <w:tc>
          <w:tcPr>
            <w:tcW w:w="551" w:type="pct"/>
            <w:vAlign w:val="center"/>
          </w:tcPr>
          <w:p w14:paraId="7E0E741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24,799.86 </w:t>
            </w:r>
          </w:p>
        </w:tc>
        <w:tc>
          <w:tcPr>
            <w:tcW w:w="551" w:type="pct"/>
            <w:vAlign w:val="center"/>
          </w:tcPr>
          <w:p w14:paraId="0B897B2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52,487.45 </w:t>
            </w:r>
          </w:p>
        </w:tc>
        <w:tc>
          <w:tcPr>
            <w:tcW w:w="550" w:type="pct"/>
            <w:vAlign w:val="center"/>
          </w:tcPr>
          <w:p w14:paraId="3446D3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56,074.53 </w:t>
            </w:r>
          </w:p>
        </w:tc>
        <w:tc>
          <w:tcPr>
            <w:tcW w:w="550" w:type="pct"/>
            <w:vAlign w:val="center"/>
          </w:tcPr>
          <w:p w14:paraId="1C2116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59,281.59 </w:t>
            </w:r>
          </w:p>
        </w:tc>
        <w:tc>
          <w:tcPr>
            <w:tcW w:w="550" w:type="pct"/>
            <w:vAlign w:val="center"/>
          </w:tcPr>
          <w:p w14:paraId="3C6192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61,975.97 </w:t>
            </w:r>
          </w:p>
        </w:tc>
        <w:tc>
          <w:tcPr>
            <w:tcW w:w="546" w:type="pct"/>
            <w:vAlign w:val="center"/>
          </w:tcPr>
          <w:p w14:paraId="064A25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64,249.70 </w:t>
            </w:r>
          </w:p>
        </w:tc>
      </w:tr>
      <w:tr w:rsidR="00EB3B4C" w:rsidRPr="00DA3766" w14:paraId="44C6657F" w14:textId="77777777" w:rsidTr="00582BF8">
        <w:trPr>
          <w:trHeight w:val="397"/>
          <w:jc w:val="center"/>
        </w:trPr>
        <w:tc>
          <w:tcPr>
            <w:tcW w:w="603" w:type="pct"/>
            <w:vAlign w:val="center"/>
          </w:tcPr>
          <w:p w14:paraId="63E38945"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增长率</w:t>
            </w:r>
          </w:p>
        </w:tc>
        <w:tc>
          <w:tcPr>
            <w:tcW w:w="551" w:type="pct"/>
            <w:vAlign w:val="center"/>
          </w:tcPr>
          <w:p w14:paraId="2B160C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51" w:type="pct"/>
            <w:vAlign w:val="center"/>
          </w:tcPr>
          <w:p w14:paraId="07F72F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16.14%</w:t>
            </w:r>
          </w:p>
        </w:tc>
        <w:tc>
          <w:tcPr>
            <w:tcW w:w="551" w:type="pct"/>
            <w:vAlign w:val="center"/>
          </w:tcPr>
          <w:p w14:paraId="30E17A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51" w:type="pct"/>
            <w:vAlign w:val="center"/>
          </w:tcPr>
          <w:p w14:paraId="552827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17.38%</w:t>
            </w:r>
          </w:p>
        </w:tc>
        <w:tc>
          <w:tcPr>
            <w:tcW w:w="550" w:type="pct"/>
            <w:vAlign w:val="center"/>
          </w:tcPr>
          <w:p w14:paraId="0073D8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w:t>
            </w:r>
          </w:p>
        </w:tc>
        <w:tc>
          <w:tcPr>
            <w:tcW w:w="550" w:type="pct"/>
            <w:vAlign w:val="center"/>
          </w:tcPr>
          <w:p w14:paraId="7732F6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5.72%</w:t>
            </w:r>
          </w:p>
        </w:tc>
        <w:tc>
          <w:tcPr>
            <w:tcW w:w="550" w:type="pct"/>
            <w:vAlign w:val="center"/>
          </w:tcPr>
          <w:p w14:paraId="791A3B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w:t>
            </w:r>
          </w:p>
        </w:tc>
        <w:tc>
          <w:tcPr>
            <w:tcW w:w="546" w:type="pct"/>
            <w:vAlign w:val="center"/>
          </w:tcPr>
          <w:p w14:paraId="7E5CAF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w:t>
            </w:r>
          </w:p>
        </w:tc>
      </w:tr>
    </w:tbl>
    <w:p w14:paraId="0A308D6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报告期各期研发费用率分别为</w:t>
      </w:r>
      <w:r w:rsidRPr="00DA3766">
        <w:rPr>
          <w:rFonts w:ascii="Times New Roman" w:hAnsi="Times New Roman" w:cs="Times New Roman"/>
          <w:kern w:val="2"/>
          <w:szCs w:val="22"/>
        </w:rPr>
        <w:t>18%</w:t>
      </w:r>
      <w:r w:rsidRPr="00DA3766">
        <w:rPr>
          <w:rFonts w:ascii="Times New Roman" w:hAnsi="Times New Roman" w:cs="Times New Roman"/>
          <w:kern w:val="2"/>
          <w:szCs w:val="22"/>
        </w:rPr>
        <w:t>、</w:t>
      </w:r>
      <w:r w:rsidRPr="00DA3766">
        <w:rPr>
          <w:rFonts w:ascii="Times New Roman" w:hAnsi="Times New Roman" w:cs="Times New Roman"/>
          <w:kern w:val="2"/>
          <w:szCs w:val="22"/>
        </w:rPr>
        <w:t>14%</w:t>
      </w:r>
      <w:r w:rsidRPr="00DA3766">
        <w:rPr>
          <w:rFonts w:ascii="Times New Roman" w:hAnsi="Times New Roman" w:cs="Times New Roman"/>
          <w:kern w:val="2"/>
          <w:szCs w:val="22"/>
        </w:rPr>
        <w:t>和</w:t>
      </w:r>
      <w:r w:rsidRPr="00DA3766">
        <w:rPr>
          <w:rFonts w:ascii="Times New Roman" w:hAnsi="Times New Roman" w:cs="Times New Roman"/>
          <w:kern w:val="2"/>
          <w:szCs w:val="22"/>
        </w:rPr>
        <w:t>13%</w:t>
      </w:r>
      <w:r w:rsidRPr="00DA3766">
        <w:rPr>
          <w:rFonts w:ascii="Times New Roman" w:hAnsi="Times New Roman" w:cs="Times New Roman"/>
          <w:kern w:val="2"/>
          <w:szCs w:val="22"/>
        </w:rPr>
        <w:t>，整体呈现逐年下降趋势。其中，</w:t>
      </w:r>
      <w:r w:rsidRPr="00DA3766">
        <w:rPr>
          <w:rFonts w:ascii="Times New Roman" w:hAnsi="Times New Roman" w:cs="Times New Roman"/>
          <w:kern w:val="2"/>
          <w:szCs w:val="22"/>
        </w:rPr>
        <w:t>2024</w:t>
      </w:r>
      <w:r w:rsidRPr="00DA3766">
        <w:rPr>
          <w:rFonts w:ascii="Times New Roman" w:hAnsi="Times New Roman" w:cs="Times New Roman"/>
          <w:kern w:val="2"/>
          <w:szCs w:val="22"/>
        </w:rPr>
        <w:t>年度研发费用率为</w:t>
      </w:r>
      <w:r w:rsidRPr="00DA3766">
        <w:rPr>
          <w:rFonts w:ascii="Times New Roman" w:hAnsi="Times New Roman" w:cs="Times New Roman"/>
          <w:kern w:val="2"/>
          <w:szCs w:val="22"/>
        </w:rPr>
        <w:t>14%</w:t>
      </w:r>
      <w:r w:rsidRPr="00DA3766">
        <w:rPr>
          <w:rFonts w:ascii="Times New Roman" w:hAnsi="Times New Roman" w:cs="Times New Roman"/>
          <w:kern w:val="2"/>
          <w:szCs w:val="22"/>
        </w:rPr>
        <w:t>，对应当年营业收入增长率为</w:t>
      </w:r>
      <w:r w:rsidRPr="00DA3766">
        <w:rPr>
          <w:rFonts w:ascii="Times New Roman" w:hAnsi="Times New Roman" w:cs="Times New Roman"/>
          <w:kern w:val="2"/>
          <w:szCs w:val="22"/>
        </w:rPr>
        <w:t>16.14%</w:t>
      </w:r>
      <w:r w:rsidRPr="00DA3766">
        <w:rPr>
          <w:rFonts w:ascii="Times New Roman" w:hAnsi="Times New Roman" w:cs="Times New Roman"/>
          <w:kern w:val="2"/>
          <w:szCs w:val="22"/>
        </w:rPr>
        <w:t>。标的公司未来将持续维持较高水平的研发投入，以保证自身的软硬件技术的先进性。预测期研发费用率均为</w:t>
      </w:r>
      <w:r w:rsidRPr="00DA3766">
        <w:rPr>
          <w:rFonts w:ascii="Times New Roman" w:hAnsi="Times New Roman" w:cs="Times New Roman"/>
          <w:kern w:val="2"/>
          <w:szCs w:val="22"/>
        </w:rPr>
        <w:t>13%</w:t>
      </w:r>
      <w:r w:rsidRPr="00DA3766">
        <w:rPr>
          <w:rFonts w:ascii="Times New Roman" w:hAnsi="Times New Roman" w:cs="Times New Roman"/>
          <w:kern w:val="2"/>
          <w:szCs w:val="22"/>
        </w:rPr>
        <w:t>，较为稳定，对应的收入增长率为</w:t>
      </w:r>
      <w:r w:rsidRPr="00DA3766">
        <w:rPr>
          <w:rFonts w:ascii="Times New Roman" w:hAnsi="Times New Roman" w:cs="Times New Roman"/>
          <w:kern w:val="2"/>
          <w:szCs w:val="22"/>
        </w:rPr>
        <w:t>3.67%-17.38%</w:t>
      </w:r>
      <w:r w:rsidRPr="00DA3766">
        <w:rPr>
          <w:rFonts w:ascii="Times New Roman" w:hAnsi="Times New Roman" w:cs="Times New Roman"/>
          <w:kern w:val="2"/>
          <w:szCs w:val="22"/>
        </w:rPr>
        <w:t>，对应平均收入增长率为</w:t>
      </w:r>
      <w:r w:rsidRPr="00DA3766">
        <w:rPr>
          <w:rFonts w:ascii="Times New Roman" w:hAnsi="Times New Roman" w:cs="Times New Roman"/>
          <w:kern w:val="2"/>
          <w:szCs w:val="22"/>
        </w:rPr>
        <w:t>7.63%</w:t>
      </w:r>
      <w:r w:rsidRPr="00DA3766">
        <w:rPr>
          <w:rFonts w:ascii="Times New Roman" w:hAnsi="Times New Roman" w:cs="Times New Roman"/>
          <w:kern w:val="2"/>
          <w:szCs w:val="22"/>
        </w:rPr>
        <w:t>，研发费用的持续投入规模的测算是具备合理性的。</w:t>
      </w:r>
    </w:p>
    <w:p w14:paraId="03AE9C1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5CA5E941"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五、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p>
    <w:p w14:paraId="63F23B7A"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（一）结合各子公司预测期内收入、成本、费用、净利润等主要参数的具体预测情况、测算过程及测算依据，补充披露各子公司业绩及其少数股东权益价值的测算是否合理、准确。</w:t>
      </w:r>
    </w:p>
    <w:p w14:paraId="5EE0A17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本次涉及少数股东权益价值测算的各子公司如下：</w:t>
      </w:r>
    </w:p>
    <w:tbl>
      <w:tblPr>
        <w:tblW w:w="51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3245"/>
        <w:gridCol w:w="1119"/>
        <w:gridCol w:w="1957"/>
        <w:gridCol w:w="2075"/>
      </w:tblGrid>
      <w:tr w:rsidR="00EB3B4C" w:rsidRPr="00DA3766" w14:paraId="4BAB3DEC" w14:textId="77777777" w:rsidTr="00872105">
        <w:trPr>
          <w:trHeight w:val="397"/>
          <w:tblHeader/>
          <w:jc w:val="center"/>
        </w:trPr>
        <w:tc>
          <w:tcPr>
            <w:tcW w:w="250" w:type="pct"/>
            <w:vAlign w:val="center"/>
          </w:tcPr>
          <w:p w14:paraId="6AA0475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序号</w:t>
            </w:r>
          </w:p>
        </w:tc>
        <w:tc>
          <w:tcPr>
            <w:tcW w:w="1836" w:type="pct"/>
            <w:vAlign w:val="center"/>
            <w:hideMark/>
          </w:tcPr>
          <w:p w14:paraId="21DEF73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企业名称</w:t>
            </w:r>
          </w:p>
        </w:tc>
        <w:tc>
          <w:tcPr>
            <w:tcW w:w="633" w:type="pct"/>
            <w:vAlign w:val="center"/>
          </w:tcPr>
          <w:p w14:paraId="01BF659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业务分类</w:t>
            </w:r>
          </w:p>
        </w:tc>
        <w:tc>
          <w:tcPr>
            <w:tcW w:w="1107" w:type="pct"/>
            <w:vAlign w:val="center"/>
            <w:hideMark/>
          </w:tcPr>
          <w:p w14:paraId="26A9B6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星云开物持股比例</w:t>
            </w:r>
          </w:p>
        </w:tc>
        <w:tc>
          <w:tcPr>
            <w:tcW w:w="1174" w:type="pct"/>
            <w:vAlign w:val="center"/>
          </w:tcPr>
          <w:p w14:paraId="57CF6D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少数股东持股比例</w:t>
            </w:r>
          </w:p>
        </w:tc>
      </w:tr>
      <w:tr w:rsidR="00EB3B4C" w:rsidRPr="00DA3766" w14:paraId="332085DB" w14:textId="77777777" w:rsidTr="00872105">
        <w:trPr>
          <w:trHeight w:val="397"/>
          <w:jc w:val="center"/>
        </w:trPr>
        <w:tc>
          <w:tcPr>
            <w:tcW w:w="250" w:type="pct"/>
            <w:vAlign w:val="center"/>
          </w:tcPr>
          <w:p w14:paraId="0373764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1836" w:type="pct"/>
            <w:vAlign w:val="center"/>
            <w:hideMark/>
          </w:tcPr>
          <w:p w14:paraId="7F8E539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广州星拓科技有限公司</w:t>
            </w:r>
          </w:p>
        </w:tc>
        <w:tc>
          <w:tcPr>
            <w:tcW w:w="633" w:type="pct"/>
            <w:vAlign w:val="center"/>
          </w:tcPr>
          <w:p w14:paraId="1228DB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47CD1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70%</w:t>
            </w:r>
          </w:p>
        </w:tc>
        <w:tc>
          <w:tcPr>
            <w:tcW w:w="1174" w:type="pct"/>
            <w:vAlign w:val="center"/>
          </w:tcPr>
          <w:p w14:paraId="037824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w:t>
            </w:r>
          </w:p>
        </w:tc>
      </w:tr>
      <w:tr w:rsidR="00EB3B4C" w:rsidRPr="00DA3766" w14:paraId="1B4C01D7" w14:textId="77777777" w:rsidTr="00872105">
        <w:trPr>
          <w:trHeight w:val="397"/>
          <w:jc w:val="center"/>
        </w:trPr>
        <w:tc>
          <w:tcPr>
            <w:tcW w:w="250" w:type="pct"/>
            <w:vAlign w:val="center"/>
          </w:tcPr>
          <w:p w14:paraId="01BBE39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1836" w:type="pct"/>
            <w:vAlign w:val="center"/>
            <w:hideMark/>
          </w:tcPr>
          <w:p w14:paraId="201731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广州乐爽信息科技有限公司</w:t>
            </w:r>
          </w:p>
        </w:tc>
        <w:tc>
          <w:tcPr>
            <w:tcW w:w="633" w:type="pct"/>
            <w:vAlign w:val="center"/>
          </w:tcPr>
          <w:p w14:paraId="34D41D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86F3D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w:t>
            </w:r>
          </w:p>
        </w:tc>
        <w:tc>
          <w:tcPr>
            <w:tcW w:w="1174" w:type="pct"/>
            <w:vAlign w:val="center"/>
          </w:tcPr>
          <w:p w14:paraId="6E9669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w:t>
            </w:r>
          </w:p>
        </w:tc>
      </w:tr>
      <w:tr w:rsidR="00EB3B4C" w:rsidRPr="00DA3766" w14:paraId="3A871FB7" w14:textId="77777777" w:rsidTr="00872105">
        <w:trPr>
          <w:trHeight w:val="397"/>
          <w:jc w:val="center"/>
        </w:trPr>
        <w:tc>
          <w:tcPr>
            <w:tcW w:w="250" w:type="pct"/>
            <w:vAlign w:val="center"/>
          </w:tcPr>
          <w:p w14:paraId="4DEF497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1836" w:type="pct"/>
            <w:vAlign w:val="center"/>
            <w:hideMark/>
          </w:tcPr>
          <w:p w14:paraId="6FE2CC3F" w14:textId="1C270F76"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乐呗科技</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广州</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有限公司</w:t>
            </w:r>
          </w:p>
        </w:tc>
        <w:tc>
          <w:tcPr>
            <w:tcW w:w="633" w:type="pct"/>
            <w:vAlign w:val="center"/>
          </w:tcPr>
          <w:p w14:paraId="6AC281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2F0D1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w:t>
            </w:r>
          </w:p>
        </w:tc>
        <w:tc>
          <w:tcPr>
            <w:tcW w:w="1174" w:type="pct"/>
            <w:vAlign w:val="center"/>
          </w:tcPr>
          <w:p w14:paraId="2B8F7B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r>
      <w:tr w:rsidR="00EB3B4C" w:rsidRPr="00DA3766" w14:paraId="5C9015B1" w14:textId="77777777" w:rsidTr="00872105">
        <w:trPr>
          <w:trHeight w:val="397"/>
          <w:jc w:val="center"/>
        </w:trPr>
        <w:tc>
          <w:tcPr>
            <w:tcW w:w="250" w:type="pct"/>
            <w:vAlign w:val="center"/>
          </w:tcPr>
          <w:p w14:paraId="6CD880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1836" w:type="pct"/>
            <w:vAlign w:val="center"/>
            <w:hideMark/>
          </w:tcPr>
          <w:p w14:paraId="48D40F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广州宝点数字化科技有限公司</w:t>
            </w:r>
          </w:p>
        </w:tc>
        <w:tc>
          <w:tcPr>
            <w:tcW w:w="633" w:type="pct"/>
            <w:vAlign w:val="center"/>
          </w:tcPr>
          <w:p w14:paraId="0A532A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339973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w:t>
            </w:r>
          </w:p>
        </w:tc>
        <w:tc>
          <w:tcPr>
            <w:tcW w:w="1174" w:type="pct"/>
            <w:vAlign w:val="center"/>
          </w:tcPr>
          <w:p w14:paraId="20E3C1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w:t>
            </w:r>
          </w:p>
        </w:tc>
      </w:tr>
      <w:tr w:rsidR="00EB3B4C" w:rsidRPr="00DA3766" w14:paraId="117B0993" w14:textId="77777777" w:rsidTr="00872105">
        <w:trPr>
          <w:trHeight w:val="397"/>
          <w:jc w:val="center"/>
        </w:trPr>
        <w:tc>
          <w:tcPr>
            <w:tcW w:w="250" w:type="pct"/>
            <w:vAlign w:val="center"/>
          </w:tcPr>
          <w:p w14:paraId="1E9D17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1836" w:type="pct"/>
            <w:vAlign w:val="center"/>
            <w:hideMark/>
          </w:tcPr>
          <w:p w14:paraId="0B8EAD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广州小充同学智能科技有限公司</w:t>
            </w:r>
          </w:p>
        </w:tc>
        <w:tc>
          <w:tcPr>
            <w:tcW w:w="633" w:type="pct"/>
            <w:vAlign w:val="center"/>
          </w:tcPr>
          <w:p w14:paraId="7BABA1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02727C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w:t>
            </w:r>
          </w:p>
        </w:tc>
        <w:tc>
          <w:tcPr>
            <w:tcW w:w="1174" w:type="pct"/>
            <w:vAlign w:val="center"/>
          </w:tcPr>
          <w:p w14:paraId="7D2F0F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r>
    </w:tbl>
    <w:p w14:paraId="382AFD08" w14:textId="64A525D7" w:rsidR="00EB3B4C" w:rsidRPr="00DA3766" w:rsidRDefault="00872105" w:rsidP="00DA3766">
      <w:pPr>
        <w:spacing w:before="120" w:after="120"/>
        <w:ind w:firstLine="480"/>
        <w:jc w:val="both"/>
        <w:rPr>
          <w:rFonts w:ascii="Times New Roman" w:hAnsi="Times New Roman" w:cs="Times New Roman"/>
        </w:rPr>
      </w:pPr>
      <w:r w:rsidRPr="00872105">
        <w:rPr>
          <w:rFonts w:ascii="Times New Roman" w:hAnsi="Times New Roman" w:cs="Times New Roman" w:hint="eastAsia"/>
        </w:rPr>
        <w:t>报告期内广州宝点对整体净利润占比贡献提升至</w:t>
      </w:r>
      <w:r w:rsidRPr="00872105">
        <w:rPr>
          <w:rFonts w:ascii="Times New Roman" w:hAnsi="Times New Roman" w:cs="Times New Roman" w:hint="eastAsia"/>
        </w:rPr>
        <w:t>20%</w:t>
      </w:r>
      <w:r w:rsidRPr="00872105">
        <w:rPr>
          <w:rFonts w:ascii="Times New Roman" w:hAnsi="Times New Roman" w:cs="Times New Roman" w:hint="eastAsia"/>
        </w:rPr>
        <w:t>以上，其余子公司净利润占合并净利润比例均低于</w:t>
      </w:r>
      <w:r w:rsidRPr="00872105">
        <w:rPr>
          <w:rFonts w:ascii="Times New Roman" w:hAnsi="Times New Roman" w:cs="Times New Roman" w:hint="eastAsia"/>
        </w:rPr>
        <w:t>2%</w:t>
      </w:r>
      <w:r w:rsidRPr="00872105">
        <w:rPr>
          <w:rFonts w:ascii="Times New Roman" w:hAnsi="Times New Roman" w:cs="Times New Roman" w:hint="eastAsia"/>
        </w:rPr>
        <w:t>，因此本次以广州宝点为例对涉及少数股权价值测算的子公司预测数据进行列示，具体情况如下</w:t>
      </w:r>
      <w:r w:rsidR="00EB3B4C" w:rsidRPr="00DA3766">
        <w:rPr>
          <w:rFonts w:ascii="Times New Roman" w:hAnsi="Times New Roman" w:cs="Times New Roman"/>
        </w:rPr>
        <w:t>：</w:t>
      </w:r>
    </w:p>
    <w:p w14:paraId="6439F15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17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1201"/>
        <w:gridCol w:w="1203"/>
        <w:gridCol w:w="1203"/>
        <w:gridCol w:w="1203"/>
        <w:gridCol w:w="1244"/>
        <w:gridCol w:w="1240"/>
      </w:tblGrid>
      <w:tr w:rsidR="00EB3B4C" w:rsidRPr="00DA3766" w14:paraId="728D9D89" w14:textId="77777777" w:rsidTr="001076ED">
        <w:trPr>
          <w:trHeight w:val="397"/>
          <w:tblHeader/>
          <w:jc w:val="center"/>
        </w:trPr>
        <w:tc>
          <w:tcPr>
            <w:tcW w:w="870" w:type="pct"/>
            <w:vAlign w:val="center"/>
            <w:hideMark/>
          </w:tcPr>
          <w:p w14:paraId="1DEBD9B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年份</w:t>
            </w:r>
          </w:p>
        </w:tc>
        <w:tc>
          <w:tcPr>
            <w:tcW w:w="680" w:type="pct"/>
            <w:vAlign w:val="center"/>
            <w:hideMark/>
          </w:tcPr>
          <w:p w14:paraId="7C0B1B4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81" w:type="pct"/>
            <w:vAlign w:val="center"/>
            <w:hideMark/>
          </w:tcPr>
          <w:p w14:paraId="5122C45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681" w:type="pct"/>
            <w:vAlign w:val="center"/>
            <w:hideMark/>
          </w:tcPr>
          <w:p w14:paraId="3DD425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681" w:type="pct"/>
            <w:vAlign w:val="center"/>
            <w:hideMark/>
          </w:tcPr>
          <w:p w14:paraId="0EC02F3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704" w:type="pct"/>
            <w:vAlign w:val="center"/>
            <w:hideMark/>
          </w:tcPr>
          <w:p w14:paraId="7DE058A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c>
          <w:tcPr>
            <w:tcW w:w="702" w:type="pct"/>
            <w:vAlign w:val="center"/>
            <w:hideMark/>
          </w:tcPr>
          <w:p w14:paraId="22B6BC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年度</w:t>
            </w:r>
          </w:p>
          <w:p w14:paraId="57765A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及以后</w:t>
            </w:r>
          </w:p>
        </w:tc>
      </w:tr>
      <w:tr w:rsidR="00EB3B4C" w:rsidRPr="00DA3766" w14:paraId="0B2D892F" w14:textId="77777777" w:rsidTr="001076ED">
        <w:trPr>
          <w:trHeight w:val="397"/>
          <w:jc w:val="center"/>
        </w:trPr>
        <w:tc>
          <w:tcPr>
            <w:tcW w:w="870" w:type="pct"/>
            <w:vAlign w:val="center"/>
            <w:hideMark/>
          </w:tcPr>
          <w:p w14:paraId="3DE173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680" w:type="pct"/>
            <w:vAlign w:val="center"/>
            <w:hideMark/>
          </w:tcPr>
          <w:p w14:paraId="0D2264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7,715.83</w:t>
            </w:r>
          </w:p>
        </w:tc>
        <w:tc>
          <w:tcPr>
            <w:tcW w:w="681" w:type="pct"/>
            <w:vAlign w:val="center"/>
            <w:hideMark/>
          </w:tcPr>
          <w:p w14:paraId="7B7BC3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16,303.76</w:t>
            </w:r>
          </w:p>
        </w:tc>
        <w:tc>
          <w:tcPr>
            <w:tcW w:w="681" w:type="pct"/>
            <w:vAlign w:val="center"/>
            <w:hideMark/>
          </w:tcPr>
          <w:p w14:paraId="5616D3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16,585.21</w:t>
            </w:r>
          </w:p>
        </w:tc>
        <w:tc>
          <w:tcPr>
            <w:tcW w:w="681" w:type="pct"/>
            <w:vAlign w:val="center"/>
            <w:hideMark/>
          </w:tcPr>
          <w:p w14:paraId="44B40F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16,703.62</w:t>
            </w:r>
          </w:p>
        </w:tc>
        <w:tc>
          <w:tcPr>
            <w:tcW w:w="704" w:type="pct"/>
            <w:vAlign w:val="center"/>
            <w:hideMark/>
          </w:tcPr>
          <w:p w14:paraId="4ABDD1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16,843.89</w:t>
            </w:r>
          </w:p>
        </w:tc>
        <w:tc>
          <w:tcPr>
            <w:tcW w:w="702" w:type="pct"/>
            <w:vAlign w:val="center"/>
            <w:hideMark/>
          </w:tcPr>
          <w:p w14:paraId="6F1171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16,843.89</w:t>
            </w:r>
          </w:p>
        </w:tc>
      </w:tr>
      <w:tr w:rsidR="00EB3B4C" w:rsidRPr="00DA3766" w14:paraId="20362BD8" w14:textId="77777777" w:rsidTr="001076ED">
        <w:trPr>
          <w:trHeight w:val="397"/>
          <w:jc w:val="center"/>
        </w:trPr>
        <w:tc>
          <w:tcPr>
            <w:tcW w:w="870" w:type="pct"/>
            <w:vAlign w:val="center"/>
            <w:hideMark/>
          </w:tcPr>
          <w:p w14:paraId="6CF478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营业成本</w:t>
            </w:r>
          </w:p>
        </w:tc>
        <w:tc>
          <w:tcPr>
            <w:tcW w:w="680" w:type="pct"/>
            <w:vAlign w:val="center"/>
            <w:hideMark/>
          </w:tcPr>
          <w:p w14:paraId="79B29D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3,748.11</w:t>
            </w:r>
          </w:p>
        </w:tc>
        <w:tc>
          <w:tcPr>
            <w:tcW w:w="681" w:type="pct"/>
            <w:vAlign w:val="center"/>
            <w:hideMark/>
          </w:tcPr>
          <w:p w14:paraId="545310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7,891.20</w:t>
            </w:r>
          </w:p>
        </w:tc>
        <w:tc>
          <w:tcPr>
            <w:tcW w:w="681" w:type="pct"/>
            <w:vAlign w:val="center"/>
            <w:hideMark/>
          </w:tcPr>
          <w:p w14:paraId="11A716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7,970.75</w:t>
            </w:r>
          </w:p>
        </w:tc>
        <w:tc>
          <w:tcPr>
            <w:tcW w:w="681" w:type="pct"/>
            <w:vAlign w:val="center"/>
            <w:hideMark/>
          </w:tcPr>
          <w:p w14:paraId="521143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7,977.33</w:t>
            </w:r>
          </w:p>
        </w:tc>
        <w:tc>
          <w:tcPr>
            <w:tcW w:w="704" w:type="pct"/>
            <w:vAlign w:val="center"/>
            <w:hideMark/>
          </w:tcPr>
          <w:p w14:paraId="7B529B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8,005.90</w:t>
            </w:r>
          </w:p>
        </w:tc>
        <w:tc>
          <w:tcPr>
            <w:tcW w:w="702" w:type="pct"/>
            <w:vAlign w:val="center"/>
            <w:hideMark/>
          </w:tcPr>
          <w:p w14:paraId="2B1358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8,005.90</w:t>
            </w:r>
          </w:p>
        </w:tc>
      </w:tr>
      <w:tr w:rsidR="00EB3B4C" w:rsidRPr="00DA3766" w14:paraId="37957C48" w14:textId="77777777" w:rsidTr="001076ED">
        <w:trPr>
          <w:trHeight w:val="397"/>
          <w:jc w:val="center"/>
        </w:trPr>
        <w:tc>
          <w:tcPr>
            <w:tcW w:w="870" w:type="pct"/>
            <w:vAlign w:val="center"/>
            <w:hideMark/>
          </w:tcPr>
          <w:p w14:paraId="593CCA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680" w:type="pct"/>
            <w:vAlign w:val="center"/>
            <w:hideMark/>
          </w:tcPr>
          <w:p w14:paraId="0C1FFA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1,705.73 </w:t>
            </w:r>
          </w:p>
        </w:tc>
        <w:tc>
          <w:tcPr>
            <w:tcW w:w="681" w:type="pct"/>
            <w:vAlign w:val="center"/>
            <w:hideMark/>
          </w:tcPr>
          <w:p w14:paraId="41D0B64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3,274.27 </w:t>
            </w:r>
          </w:p>
        </w:tc>
        <w:tc>
          <w:tcPr>
            <w:tcW w:w="681" w:type="pct"/>
            <w:vAlign w:val="center"/>
            <w:hideMark/>
          </w:tcPr>
          <w:p w14:paraId="7EECB4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3,355.05 </w:t>
            </w:r>
          </w:p>
        </w:tc>
        <w:tc>
          <w:tcPr>
            <w:tcW w:w="681" w:type="pct"/>
            <w:vAlign w:val="center"/>
            <w:hideMark/>
          </w:tcPr>
          <w:p w14:paraId="59CBF6E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3,425.69 </w:t>
            </w:r>
          </w:p>
        </w:tc>
        <w:tc>
          <w:tcPr>
            <w:tcW w:w="704" w:type="pct"/>
            <w:vAlign w:val="center"/>
            <w:hideMark/>
          </w:tcPr>
          <w:p w14:paraId="00CB0A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3,500.06 </w:t>
            </w:r>
          </w:p>
        </w:tc>
        <w:tc>
          <w:tcPr>
            <w:tcW w:w="702" w:type="pct"/>
            <w:vAlign w:val="center"/>
            <w:hideMark/>
          </w:tcPr>
          <w:p w14:paraId="086C235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3,500.06 </w:t>
            </w:r>
          </w:p>
        </w:tc>
      </w:tr>
      <w:tr w:rsidR="00EB3B4C" w:rsidRPr="00DA3766" w14:paraId="35F4C594" w14:textId="77777777" w:rsidTr="001076ED">
        <w:trPr>
          <w:trHeight w:val="397"/>
          <w:jc w:val="center"/>
        </w:trPr>
        <w:tc>
          <w:tcPr>
            <w:tcW w:w="870" w:type="pct"/>
            <w:vAlign w:val="center"/>
          </w:tcPr>
          <w:p w14:paraId="7CCD9E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管理费用</w:t>
            </w:r>
          </w:p>
        </w:tc>
        <w:tc>
          <w:tcPr>
            <w:tcW w:w="680" w:type="pct"/>
            <w:vAlign w:val="center"/>
          </w:tcPr>
          <w:p w14:paraId="7751E8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652.99</w:t>
            </w:r>
          </w:p>
        </w:tc>
        <w:tc>
          <w:tcPr>
            <w:tcW w:w="681" w:type="pct"/>
            <w:vAlign w:val="center"/>
          </w:tcPr>
          <w:p w14:paraId="1C62A1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1,268.98</w:t>
            </w:r>
          </w:p>
        </w:tc>
        <w:tc>
          <w:tcPr>
            <w:tcW w:w="681" w:type="pct"/>
            <w:vAlign w:val="center"/>
          </w:tcPr>
          <w:p w14:paraId="0ED687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1,308.49</w:t>
            </w:r>
          </w:p>
        </w:tc>
        <w:tc>
          <w:tcPr>
            <w:tcW w:w="681" w:type="pct"/>
            <w:vAlign w:val="center"/>
          </w:tcPr>
          <w:p w14:paraId="57290F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1,346.60</w:t>
            </w:r>
          </w:p>
        </w:tc>
        <w:tc>
          <w:tcPr>
            <w:tcW w:w="704" w:type="pct"/>
            <w:vAlign w:val="center"/>
          </w:tcPr>
          <w:p w14:paraId="5D3ACB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1,386.05</w:t>
            </w:r>
          </w:p>
        </w:tc>
        <w:tc>
          <w:tcPr>
            <w:tcW w:w="702" w:type="pct"/>
            <w:vAlign w:val="center"/>
          </w:tcPr>
          <w:p w14:paraId="33A402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1,386.05</w:t>
            </w:r>
          </w:p>
        </w:tc>
      </w:tr>
      <w:tr w:rsidR="00EB3B4C" w:rsidRPr="00DA3766" w14:paraId="73915544" w14:textId="77777777" w:rsidTr="001076ED">
        <w:trPr>
          <w:trHeight w:val="397"/>
          <w:jc w:val="center"/>
        </w:trPr>
        <w:tc>
          <w:tcPr>
            <w:tcW w:w="870" w:type="pct"/>
            <w:vAlign w:val="center"/>
          </w:tcPr>
          <w:p w14:paraId="0A4C85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研发费用</w:t>
            </w:r>
          </w:p>
        </w:tc>
        <w:tc>
          <w:tcPr>
            <w:tcW w:w="680" w:type="pct"/>
            <w:vAlign w:val="center"/>
          </w:tcPr>
          <w:p w14:paraId="34BB84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677.57</w:t>
            </w:r>
          </w:p>
        </w:tc>
        <w:tc>
          <w:tcPr>
            <w:tcW w:w="681" w:type="pct"/>
            <w:vAlign w:val="center"/>
          </w:tcPr>
          <w:p w14:paraId="18CACEC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1,270.65</w:t>
            </w:r>
          </w:p>
        </w:tc>
        <w:tc>
          <w:tcPr>
            <w:tcW w:w="681" w:type="pct"/>
            <w:vAlign w:val="center"/>
          </w:tcPr>
          <w:p w14:paraId="376C4C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1,310.26</w:t>
            </w:r>
          </w:p>
        </w:tc>
        <w:tc>
          <w:tcPr>
            <w:tcW w:w="681" w:type="pct"/>
            <w:vAlign w:val="center"/>
          </w:tcPr>
          <w:p w14:paraId="50B1C7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1,348.61</w:t>
            </w:r>
          </w:p>
        </w:tc>
        <w:tc>
          <w:tcPr>
            <w:tcW w:w="704" w:type="pct"/>
            <w:vAlign w:val="center"/>
          </w:tcPr>
          <w:p w14:paraId="4F39FC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1,388.45</w:t>
            </w:r>
          </w:p>
        </w:tc>
        <w:tc>
          <w:tcPr>
            <w:tcW w:w="702" w:type="pct"/>
            <w:vAlign w:val="center"/>
          </w:tcPr>
          <w:p w14:paraId="7EA3F8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1,388.45</w:t>
            </w:r>
          </w:p>
        </w:tc>
      </w:tr>
      <w:tr w:rsidR="00EB3B4C" w:rsidRPr="00DA3766" w14:paraId="187ADDDD" w14:textId="77777777" w:rsidTr="001076ED">
        <w:trPr>
          <w:trHeight w:val="397"/>
          <w:jc w:val="center"/>
        </w:trPr>
        <w:tc>
          <w:tcPr>
            <w:tcW w:w="870" w:type="pct"/>
            <w:vAlign w:val="center"/>
            <w:hideMark/>
          </w:tcPr>
          <w:p w14:paraId="298102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净利润</w:t>
            </w:r>
          </w:p>
        </w:tc>
        <w:tc>
          <w:tcPr>
            <w:tcW w:w="680" w:type="pct"/>
            <w:vAlign w:val="center"/>
            <w:hideMark/>
          </w:tcPr>
          <w:p w14:paraId="5542DD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1,248.28</w:t>
            </w:r>
          </w:p>
        </w:tc>
        <w:tc>
          <w:tcPr>
            <w:tcW w:w="681" w:type="pct"/>
            <w:vAlign w:val="center"/>
            <w:hideMark/>
          </w:tcPr>
          <w:p w14:paraId="0148BA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2,952.81</w:t>
            </w:r>
          </w:p>
        </w:tc>
        <w:tc>
          <w:tcPr>
            <w:tcW w:w="681" w:type="pct"/>
            <w:vAlign w:val="center"/>
            <w:hideMark/>
          </w:tcPr>
          <w:p w14:paraId="5E2D14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2,751.27</w:t>
            </w:r>
          </w:p>
        </w:tc>
        <w:tc>
          <w:tcPr>
            <w:tcW w:w="681" w:type="pct"/>
            <w:vAlign w:val="center"/>
            <w:hideMark/>
          </w:tcPr>
          <w:p w14:paraId="028598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2,724.26</w:t>
            </w:r>
          </w:p>
        </w:tc>
        <w:tc>
          <w:tcPr>
            <w:tcW w:w="704" w:type="pct"/>
            <w:vAlign w:val="center"/>
            <w:hideMark/>
          </w:tcPr>
          <w:p w14:paraId="5A3A6F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2,691.84</w:t>
            </w:r>
          </w:p>
        </w:tc>
        <w:tc>
          <w:tcPr>
            <w:tcW w:w="702" w:type="pct"/>
            <w:vAlign w:val="center"/>
            <w:hideMark/>
          </w:tcPr>
          <w:p w14:paraId="0EC436E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2,691.84</w:t>
            </w:r>
          </w:p>
        </w:tc>
      </w:tr>
      <w:tr w:rsidR="00EB3B4C" w:rsidRPr="00DA3766" w14:paraId="3D8E5E20" w14:textId="77777777" w:rsidTr="001076ED">
        <w:trPr>
          <w:trHeight w:val="397"/>
          <w:jc w:val="center"/>
        </w:trPr>
        <w:tc>
          <w:tcPr>
            <w:tcW w:w="870" w:type="pct"/>
            <w:vAlign w:val="center"/>
            <w:hideMark/>
          </w:tcPr>
          <w:p w14:paraId="3C9E25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现金流</w:t>
            </w:r>
          </w:p>
        </w:tc>
        <w:tc>
          <w:tcPr>
            <w:tcW w:w="680" w:type="pct"/>
            <w:vAlign w:val="center"/>
            <w:hideMark/>
          </w:tcPr>
          <w:p w14:paraId="1A1649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111.31</w:t>
            </w:r>
          </w:p>
        </w:tc>
        <w:tc>
          <w:tcPr>
            <w:tcW w:w="681" w:type="pct"/>
            <w:vAlign w:val="center"/>
            <w:hideMark/>
          </w:tcPr>
          <w:p w14:paraId="641881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2,926.33</w:t>
            </w:r>
          </w:p>
        </w:tc>
        <w:tc>
          <w:tcPr>
            <w:tcW w:w="681" w:type="pct"/>
            <w:vAlign w:val="center"/>
            <w:hideMark/>
          </w:tcPr>
          <w:p w14:paraId="1B1E86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2,699.99</w:t>
            </w:r>
          </w:p>
        </w:tc>
        <w:tc>
          <w:tcPr>
            <w:tcW w:w="681" w:type="pct"/>
            <w:vAlign w:val="center"/>
            <w:hideMark/>
          </w:tcPr>
          <w:p w14:paraId="7D2699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2,692.33</w:t>
            </w:r>
          </w:p>
        </w:tc>
        <w:tc>
          <w:tcPr>
            <w:tcW w:w="704" w:type="pct"/>
            <w:vAlign w:val="center"/>
            <w:hideMark/>
          </w:tcPr>
          <w:p w14:paraId="4CD7D4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2,661.18</w:t>
            </w:r>
          </w:p>
        </w:tc>
        <w:tc>
          <w:tcPr>
            <w:tcW w:w="702" w:type="pct"/>
            <w:vAlign w:val="center"/>
            <w:hideMark/>
          </w:tcPr>
          <w:p w14:paraId="0F11EB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2,691.87</w:t>
            </w:r>
          </w:p>
        </w:tc>
      </w:tr>
      <w:tr w:rsidR="00EB3B4C" w:rsidRPr="00DA3766" w14:paraId="1552C9A0" w14:textId="77777777" w:rsidTr="001076ED">
        <w:trPr>
          <w:trHeight w:val="397"/>
          <w:jc w:val="center"/>
        </w:trPr>
        <w:tc>
          <w:tcPr>
            <w:tcW w:w="870" w:type="pct"/>
            <w:vAlign w:val="center"/>
            <w:hideMark/>
          </w:tcPr>
          <w:p w14:paraId="19BDB3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折现率</w:t>
            </w:r>
          </w:p>
        </w:tc>
        <w:tc>
          <w:tcPr>
            <w:tcW w:w="680" w:type="pct"/>
            <w:vAlign w:val="center"/>
            <w:hideMark/>
          </w:tcPr>
          <w:p w14:paraId="1DA14F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50619F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4C208C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17B8C4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704" w:type="pct"/>
            <w:vAlign w:val="center"/>
            <w:hideMark/>
          </w:tcPr>
          <w:p w14:paraId="265799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702" w:type="pct"/>
            <w:vAlign w:val="center"/>
            <w:hideMark/>
          </w:tcPr>
          <w:p w14:paraId="09B8E5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r>
      <w:tr w:rsidR="00EB3B4C" w:rsidRPr="00DA3766" w14:paraId="5DEAF0D0" w14:textId="77777777" w:rsidTr="001076ED">
        <w:trPr>
          <w:trHeight w:val="397"/>
          <w:jc w:val="center"/>
        </w:trPr>
        <w:tc>
          <w:tcPr>
            <w:tcW w:w="870" w:type="pct"/>
            <w:vAlign w:val="center"/>
          </w:tcPr>
          <w:p w14:paraId="240DAE8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非经营性资产</w:t>
            </w:r>
          </w:p>
        </w:tc>
        <w:tc>
          <w:tcPr>
            <w:tcW w:w="680" w:type="pct"/>
            <w:vAlign w:val="center"/>
          </w:tcPr>
          <w:p w14:paraId="3BEE56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1,855.84</w:t>
            </w:r>
          </w:p>
        </w:tc>
        <w:tc>
          <w:tcPr>
            <w:tcW w:w="681" w:type="pct"/>
            <w:vAlign w:val="center"/>
          </w:tcPr>
          <w:p w14:paraId="417D23B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溢余资产</w:t>
            </w:r>
          </w:p>
        </w:tc>
        <w:tc>
          <w:tcPr>
            <w:tcW w:w="681" w:type="pct"/>
            <w:vAlign w:val="center"/>
          </w:tcPr>
          <w:p w14:paraId="78CF1DA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w:t>
            </w:r>
          </w:p>
        </w:tc>
        <w:tc>
          <w:tcPr>
            <w:tcW w:w="681" w:type="pct"/>
            <w:vAlign w:val="center"/>
          </w:tcPr>
          <w:p w14:paraId="3CB1A6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评估值</w:t>
            </w:r>
          </w:p>
        </w:tc>
        <w:tc>
          <w:tcPr>
            <w:tcW w:w="1406" w:type="pct"/>
            <w:gridSpan w:val="2"/>
            <w:vAlign w:val="center"/>
          </w:tcPr>
          <w:p w14:paraId="064D48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24,900.00</w:t>
            </w:r>
          </w:p>
        </w:tc>
      </w:tr>
    </w:tbl>
    <w:p w14:paraId="19254A1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广州宝点的主营业务收入成本参见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一、补充披露</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二、结合标的资产各业务</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和</w:t>
      </w:r>
      <w:r w:rsidRPr="00DA3766">
        <w:rPr>
          <w:rFonts w:cs="Times New Roman"/>
        </w:rPr>
        <w:t>“</w:t>
      </w:r>
      <w:r w:rsidRPr="00DA3766">
        <w:rPr>
          <w:rFonts w:ascii="Times New Roman" w:hAnsi="Times New Roman" w:cs="Times New Roman"/>
        </w:rPr>
        <w:t>三、结合报告期内各项</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中涉及场地解决方案相关各类收入、成本的预测方法和预测过程；广州宝点的各大费用预测可见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四、结合各项期间费用</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中涉及销售、管理及研发费用的预测逻辑和方法。整体来看，收入、成本、费用的预测逻辑和预测过程，广州宝点与合并收益法口径均保持一致。</w:t>
      </w:r>
    </w:p>
    <w:p w14:paraId="4697DE6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净利润水平在预测期内有所降低，主要系由于预测期内充分考虑了市场竞争及前期快速扩张带来的后期增速压力，对广州宝点的收入、成本和费用进行了较为谨慎的测算，故预测期净利润呈现了下降的情况。</w:t>
      </w:r>
    </w:p>
    <w:p w14:paraId="4B3BAF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基于预测净利润，通过调整折旧摊销、资本性支出、以及营运资金增加等项目后得到广州宝点的企业自由现金流。广州宝点的现金流具体预测逻辑和方法与合并收益法一致，折旧摊销、资本性支出、以及营运资金增加等项目的预测逻辑具体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六、补充披露预测期内标的</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的答复披露的内容。</w:t>
      </w:r>
    </w:p>
    <w:p w14:paraId="4BCB3693"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广州宝点的折现率的测算过程可参见问题七的回复。经计算后广州宝点的折现率与合并口径收益法同为</w:t>
      </w:r>
      <w:r w:rsidRPr="00DA3766">
        <w:rPr>
          <w:rFonts w:ascii="Times New Roman" w:hAnsi="Times New Roman" w:cs="Times New Roman"/>
        </w:rPr>
        <w:t>11.7%</w:t>
      </w:r>
      <w:r w:rsidRPr="00DA3766">
        <w:rPr>
          <w:rFonts w:ascii="Times New Roman" w:hAnsi="Times New Roman" w:cs="Times New Roman"/>
        </w:rPr>
        <w:t>。具体预测方法与合并收益法一致，可参见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七、补充披露折现率</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的答复。</w:t>
      </w:r>
    </w:p>
    <w:p w14:paraId="4DF98AA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股权价值的测算，基于预测的现金流，结合折现率和折现期（月）计算得到折现后现金流，进一步测算得到企业价值。后续结合非经营性资产、溢余资产、付息债务。综合测算得到广州宝点的股东全部权益价值。</w:t>
      </w:r>
    </w:p>
    <w:p w14:paraId="79482B8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结合广州宝点的少数股东股权比例计算得到广州宝点的少数股东权益价值：</w:t>
      </w:r>
    </w:p>
    <w:p w14:paraId="60BB19E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少数股权价值</w:t>
      </w:r>
      <w:r w:rsidRPr="00DA3766">
        <w:rPr>
          <w:rFonts w:ascii="Times New Roman" w:hAnsi="Times New Roman" w:cs="Times New Roman"/>
        </w:rPr>
        <w:t>=</w:t>
      </w:r>
      <w:r w:rsidRPr="00DA3766">
        <w:rPr>
          <w:rFonts w:ascii="Times New Roman" w:hAnsi="Times New Roman" w:cs="Times New Roman"/>
        </w:rPr>
        <w:t>股东全部权益价值</w:t>
      </w:r>
      <w:r w:rsidRPr="00DA3766">
        <w:rPr>
          <w:rFonts w:ascii="Times New Roman" w:hAnsi="Times New Roman" w:cs="Times New Roman"/>
        </w:rPr>
        <w:t>×</w:t>
      </w:r>
      <w:r w:rsidRPr="00DA3766">
        <w:rPr>
          <w:rFonts w:ascii="Times New Roman" w:hAnsi="Times New Roman" w:cs="Times New Roman"/>
        </w:rPr>
        <w:t>少数股东股权比例</w:t>
      </w:r>
    </w:p>
    <w:p w14:paraId="04DEC6B6" w14:textId="77777777" w:rsidR="00EB3B4C" w:rsidRPr="00DA3766" w:rsidRDefault="00EB3B4C" w:rsidP="00DA3766">
      <w:pPr>
        <w:spacing w:before="120" w:after="120"/>
        <w:ind w:firstLineChars="800" w:firstLine="1920"/>
        <w:jc w:val="both"/>
        <w:rPr>
          <w:rFonts w:ascii="Times New Roman" w:hAnsi="Times New Roman" w:cs="Times New Roman"/>
        </w:rPr>
      </w:pPr>
      <w:r w:rsidRPr="00DA3766">
        <w:rPr>
          <w:rFonts w:ascii="Times New Roman" w:hAnsi="Times New Roman" w:cs="Times New Roman"/>
        </w:rPr>
        <w:t>=24,900.00×42%</w:t>
      </w:r>
    </w:p>
    <w:p w14:paraId="7179E245" w14:textId="77777777" w:rsidR="00EB3B4C" w:rsidRPr="00DA3766" w:rsidRDefault="00EB3B4C" w:rsidP="00DA3766">
      <w:pPr>
        <w:spacing w:before="120" w:after="120"/>
        <w:ind w:firstLineChars="800" w:firstLine="1920"/>
        <w:jc w:val="both"/>
        <w:rPr>
          <w:rFonts w:ascii="Times New Roman" w:hAnsi="Times New Roman" w:cs="Times New Roman"/>
        </w:rPr>
      </w:pPr>
      <w:r w:rsidRPr="00DA3766">
        <w:rPr>
          <w:rFonts w:ascii="Times New Roman" w:hAnsi="Times New Roman" w:cs="Times New Roman"/>
        </w:rPr>
        <w:t>=10,458.00</w:t>
      </w:r>
      <w:r w:rsidRPr="00DA3766">
        <w:rPr>
          <w:rFonts w:ascii="Times New Roman" w:hAnsi="Times New Roman" w:cs="Times New Roman"/>
        </w:rPr>
        <w:t>万元</w:t>
      </w:r>
    </w:p>
    <w:p w14:paraId="6BEA6D12"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本次测算中对其他涉及少数股权价值测算的子公司的预测年限，收入、成本、费用预测逻辑与合并报表口径下的企业整体的预测逻辑均保持一致。折现率参数本次均与合并口径保持一致。</w:t>
      </w:r>
    </w:p>
    <w:p w14:paraId="1B673D0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合并收益法下少数股东权益价值测算结果：</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61"/>
        <w:gridCol w:w="1530"/>
        <w:gridCol w:w="1530"/>
        <w:gridCol w:w="1532"/>
      </w:tblGrid>
      <w:tr w:rsidR="00EB3B4C" w:rsidRPr="00DA3766" w14:paraId="14ACF270" w14:textId="77777777" w:rsidTr="001076ED">
        <w:trPr>
          <w:trHeight w:val="397"/>
          <w:tblHeader/>
          <w:jc w:val="center"/>
        </w:trPr>
        <w:tc>
          <w:tcPr>
            <w:tcW w:w="396" w:type="pct"/>
            <w:vAlign w:val="center"/>
          </w:tcPr>
          <w:p w14:paraId="629E231E" w14:textId="77777777" w:rsidR="00EB3B4C" w:rsidRPr="00DA3766"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序号</w:t>
            </w:r>
          </w:p>
        </w:tc>
        <w:tc>
          <w:tcPr>
            <w:tcW w:w="1912" w:type="pct"/>
            <w:vAlign w:val="center"/>
            <w:hideMark/>
          </w:tcPr>
          <w:p w14:paraId="67B6185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企业名称</w:t>
            </w:r>
          </w:p>
        </w:tc>
        <w:tc>
          <w:tcPr>
            <w:tcW w:w="897" w:type="pct"/>
            <w:vAlign w:val="center"/>
            <w:hideMark/>
          </w:tcPr>
          <w:p w14:paraId="4FD128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股东全部权益价值（</w:t>
            </w:r>
            <w:r w:rsidRPr="00DA3766">
              <w:rPr>
                <w:rFonts w:ascii="Times New Roman" w:hAnsi="Times New Roman" w:cs="Times New Roman"/>
                <w:b/>
                <w:color w:val="000000"/>
                <w:sz w:val="21"/>
              </w:rPr>
              <w:t>A</w:t>
            </w:r>
            <w:r w:rsidRPr="00DA3766">
              <w:rPr>
                <w:rFonts w:ascii="Times New Roman" w:hAnsi="Times New Roman" w:cs="Times New Roman"/>
                <w:b/>
                <w:color w:val="000000"/>
                <w:sz w:val="21"/>
              </w:rPr>
              <w:t>）</w:t>
            </w:r>
          </w:p>
        </w:tc>
        <w:tc>
          <w:tcPr>
            <w:tcW w:w="897" w:type="pct"/>
            <w:vAlign w:val="center"/>
          </w:tcPr>
          <w:p w14:paraId="260A02B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少数股东持股比例（</w:t>
            </w:r>
            <w:r w:rsidRPr="00DA3766">
              <w:rPr>
                <w:rFonts w:ascii="Times New Roman" w:hAnsi="Times New Roman" w:cs="Times New Roman"/>
                <w:b/>
                <w:color w:val="000000"/>
                <w:sz w:val="21"/>
              </w:rPr>
              <w:t>B</w:t>
            </w:r>
            <w:r w:rsidRPr="00DA3766">
              <w:rPr>
                <w:rFonts w:ascii="Times New Roman" w:hAnsi="Times New Roman" w:cs="Times New Roman"/>
                <w:b/>
                <w:color w:val="000000"/>
                <w:sz w:val="21"/>
              </w:rPr>
              <w:t>）</w:t>
            </w:r>
          </w:p>
        </w:tc>
        <w:tc>
          <w:tcPr>
            <w:tcW w:w="898" w:type="pct"/>
            <w:vAlign w:val="center"/>
          </w:tcPr>
          <w:p w14:paraId="6916399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少数股权价值（</w:t>
            </w:r>
            <w:r w:rsidRPr="00DA3766">
              <w:rPr>
                <w:rFonts w:ascii="Times New Roman" w:hAnsi="Times New Roman" w:cs="Times New Roman"/>
                <w:b/>
                <w:color w:val="000000"/>
                <w:sz w:val="21"/>
              </w:rPr>
              <w:t>A</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B</w:t>
            </w:r>
            <w:r w:rsidRPr="00DA3766">
              <w:rPr>
                <w:rFonts w:ascii="Times New Roman" w:hAnsi="Times New Roman" w:cs="Times New Roman"/>
                <w:b/>
                <w:color w:val="000000"/>
                <w:sz w:val="21"/>
              </w:rPr>
              <w:t>）</w:t>
            </w:r>
          </w:p>
        </w:tc>
      </w:tr>
      <w:tr w:rsidR="00EB3B4C" w:rsidRPr="00DA3766" w14:paraId="46892210" w14:textId="77777777" w:rsidTr="001076ED">
        <w:trPr>
          <w:trHeight w:val="397"/>
          <w:jc w:val="center"/>
        </w:trPr>
        <w:tc>
          <w:tcPr>
            <w:tcW w:w="396" w:type="pct"/>
            <w:vAlign w:val="center"/>
          </w:tcPr>
          <w:p w14:paraId="49DD613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1912" w:type="pct"/>
            <w:vAlign w:val="center"/>
            <w:hideMark/>
          </w:tcPr>
          <w:p w14:paraId="4CE7737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广州星拓科技有限公司</w:t>
            </w:r>
          </w:p>
        </w:tc>
        <w:tc>
          <w:tcPr>
            <w:tcW w:w="897" w:type="pct"/>
            <w:vAlign w:val="center"/>
          </w:tcPr>
          <w:p w14:paraId="664579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98.00</w:t>
            </w:r>
          </w:p>
        </w:tc>
        <w:tc>
          <w:tcPr>
            <w:tcW w:w="897" w:type="pct"/>
            <w:vAlign w:val="center"/>
          </w:tcPr>
          <w:p w14:paraId="12425D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w:t>
            </w:r>
          </w:p>
        </w:tc>
        <w:tc>
          <w:tcPr>
            <w:tcW w:w="898" w:type="pct"/>
            <w:vAlign w:val="center"/>
          </w:tcPr>
          <w:p w14:paraId="16F816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29.40</w:t>
            </w:r>
          </w:p>
        </w:tc>
      </w:tr>
      <w:tr w:rsidR="00EB3B4C" w:rsidRPr="00DA3766" w14:paraId="18C1B57D" w14:textId="77777777" w:rsidTr="001076ED">
        <w:trPr>
          <w:trHeight w:val="397"/>
          <w:jc w:val="center"/>
        </w:trPr>
        <w:tc>
          <w:tcPr>
            <w:tcW w:w="396" w:type="pct"/>
            <w:vAlign w:val="center"/>
          </w:tcPr>
          <w:p w14:paraId="15EC982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1912" w:type="pct"/>
            <w:vAlign w:val="center"/>
            <w:hideMark/>
          </w:tcPr>
          <w:p w14:paraId="3095EFE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广州乐爽信息科技有限公司</w:t>
            </w:r>
          </w:p>
        </w:tc>
        <w:tc>
          <w:tcPr>
            <w:tcW w:w="897" w:type="pct"/>
            <w:vAlign w:val="center"/>
          </w:tcPr>
          <w:p w14:paraId="032236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870.00</w:t>
            </w:r>
          </w:p>
        </w:tc>
        <w:tc>
          <w:tcPr>
            <w:tcW w:w="897" w:type="pct"/>
            <w:vAlign w:val="center"/>
          </w:tcPr>
          <w:p w14:paraId="52856F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w:t>
            </w:r>
          </w:p>
        </w:tc>
        <w:tc>
          <w:tcPr>
            <w:tcW w:w="898" w:type="pct"/>
            <w:vAlign w:val="center"/>
          </w:tcPr>
          <w:p w14:paraId="641F1D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417.60</w:t>
            </w:r>
          </w:p>
        </w:tc>
      </w:tr>
      <w:tr w:rsidR="00EB3B4C" w:rsidRPr="00DA3766" w14:paraId="292B1290" w14:textId="77777777" w:rsidTr="001076ED">
        <w:trPr>
          <w:trHeight w:val="397"/>
          <w:jc w:val="center"/>
        </w:trPr>
        <w:tc>
          <w:tcPr>
            <w:tcW w:w="396" w:type="pct"/>
            <w:vAlign w:val="center"/>
          </w:tcPr>
          <w:p w14:paraId="5A5C2EC3"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1912" w:type="pct"/>
            <w:vAlign w:val="center"/>
            <w:hideMark/>
          </w:tcPr>
          <w:p w14:paraId="1D7ACB14" w14:textId="1AB7F3C5"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乐呗科技</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广州</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有限公司</w:t>
            </w:r>
          </w:p>
        </w:tc>
        <w:tc>
          <w:tcPr>
            <w:tcW w:w="897" w:type="pct"/>
            <w:vAlign w:val="center"/>
          </w:tcPr>
          <w:p w14:paraId="0ACD88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750.00</w:t>
            </w:r>
          </w:p>
        </w:tc>
        <w:tc>
          <w:tcPr>
            <w:tcW w:w="897" w:type="pct"/>
            <w:vAlign w:val="center"/>
          </w:tcPr>
          <w:p w14:paraId="0A03CF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c>
          <w:tcPr>
            <w:tcW w:w="898" w:type="pct"/>
            <w:vAlign w:val="center"/>
          </w:tcPr>
          <w:p w14:paraId="4F4F1D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367.50</w:t>
            </w:r>
          </w:p>
        </w:tc>
      </w:tr>
      <w:tr w:rsidR="00EB3B4C" w:rsidRPr="00DA3766" w14:paraId="738434AD" w14:textId="77777777" w:rsidTr="001076ED">
        <w:trPr>
          <w:trHeight w:val="397"/>
          <w:jc w:val="center"/>
        </w:trPr>
        <w:tc>
          <w:tcPr>
            <w:tcW w:w="396" w:type="pct"/>
            <w:vAlign w:val="center"/>
          </w:tcPr>
          <w:p w14:paraId="7473E31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1912" w:type="pct"/>
            <w:vAlign w:val="center"/>
            <w:hideMark/>
          </w:tcPr>
          <w:p w14:paraId="1CDC062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广州宝点数字化科技有限公司</w:t>
            </w:r>
          </w:p>
        </w:tc>
        <w:tc>
          <w:tcPr>
            <w:tcW w:w="897" w:type="pct"/>
            <w:vAlign w:val="center"/>
          </w:tcPr>
          <w:p w14:paraId="3FE5F3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24,900.00</w:t>
            </w:r>
          </w:p>
        </w:tc>
        <w:tc>
          <w:tcPr>
            <w:tcW w:w="897" w:type="pct"/>
            <w:vAlign w:val="center"/>
          </w:tcPr>
          <w:p w14:paraId="73B3634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w:t>
            </w:r>
          </w:p>
        </w:tc>
        <w:tc>
          <w:tcPr>
            <w:tcW w:w="898" w:type="pct"/>
            <w:vAlign w:val="center"/>
          </w:tcPr>
          <w:p w14:paraId="43F39A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10,458.00</w:t>
            </w:r>
          </w:p>
        </w:tc>
      </w:tr>
      <w:tr w:rsidR="00EB3B4C" w:rsidRPr="00DA3766" w14:paraId="0241DF35" w14:textId="77777777" w:rsidTr="001076ED">
        <w:trPr>
          <w:trHeight w:val="397"/>
          <w:jc w:val="center"/>
        </w:trPr>
        <w:tc>
          <w:tcPr>
            <w:tcW w:w="396" w:type="pct"/>
            <w:vAlign w:val="center"/>
          </w:tcPr>
          <w:p w14:paraId="31E5BFE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1912" w:type="pct"/>
            <w:vAlign w:val="center"/>
            <w:hideMark/>
          </w:tcPr>
          <w:p w14:paraId="55FF6F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广州小充同学智能科技有限公司</w:t>
            </w:r>
          </w:p>
        </w:tc>
        <w:tc>
          <w:tcPr>
            <w:tcW w:w="897" w:type="pct"/>
            <w:vAlign w:val="center"/>
          </w:tcPr>
          <w:p w14:paraId="43584F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199.00</w:t>
            </w:r>
          </w:p>
        </w:tc>
        <w:tc>
          <w:tcPr>
            <w:tcW w:w="897" w:type="pct"/>
            <w:vAlign w:val="center"/>
          </w:tcPr>
          <w:p w14:paraId="2DFC8E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c>
          <w:tcPr>
            <w:tcW w:w="898" w:type="pct"/>
            <w:vAlign w:val="center"/>
          </w:tcPr>
          <w:p w14:paraId="4CE82E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97.51</w:t>
            </w:r>
          </w:p>
        </w:tc>
      </w:tr>
      <w:tr w:rsidR="00EB3B4C" w:rsidRPr="00DA3766" w14:paraId="59475725" w14:textId="77777777" w:rsidTr="001076ED">
        <w:trPr>
          <w:trHeight w:val="397"/>
          <w:jc w:val="center"/>
        </w:trPr>
        <w:tc>
          <w:tcPr>
            <w:tcW w:w="2308" w:type="pct"/>
            <w:gridSpan w:val="2"/>
            <w:vAlign w:val="center"/>
          </w:tcPr>
          <w:p w14:paraId="341CA4F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合计</w:t>
            </w:r>
          </w:p>
        </w:tc>
        <w:tc>
          <w:tcPr>
            <w:tcW w:w="897" w:type="pct"/>
            <w:vAlign w:val="center"/>
          </w:tcPr>
          <w:p w14:paraId="49F1276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26,817.00</w:t>
            </w:r>
          </w:p>
        </w:tc>
        <w:tc>
          <w:tcPr>
            <w:tcW w:w="897" w:type="pct"/>
            <w:vAlign w:val="center"/>
          </w:tcPr>
          <w:p w14:paraId="438116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p>
        </w:tc>
        <w:tc>
          <w:tcPr>
            <w:tcW w:w="898" w:type="pct"/>
            <w:vAlign w:val="center"/>
          </w:tcPr>
          <w:p w14:paraId="4A527B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11,370.01</w:t>
            </w:r>
          </w:p>
        </w:tc>
      </w:tr>
    </w:tbl>
    <w:p w14:paraId="20E713D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综上，本次测算中各子公司的业绩、少数股权价值测算具备合理性。</w:t>
      </w:r>
    </w:p>
    <w:p w14:paraId="5BF0DA13"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（二）结合各子公司应纳税所得额的确定过程，评估测算使用的所得税税率、优惠政策是否符合相关法律法规的规定等，披露所得税费用的预测是否合理、准确。</w:t>
      </w:r>
    </w:p>
    <w:p w14:paraId="41EAE2D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、各子公司应纳税所得额的确定过程</w:t>
      </w:r>
    </w:p>
    <w:p w14:paraId="6B0E41E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对子公司应纳税所得额的确定过程主要通过分析标的公司各子公司报告期内的经营业绩，结合合并收益法内对于各个子公司涉及的业务板块的预测情况，与标的公司管理层进行讨论分析，判断子公司预测期内的经营业绩是盈亏平衡、扭亏为盈亦或者持续盈利。</w:t>
      </w:r>
    </w:p>
    <w:p w14:paraId="1D0414C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若分析判断子公司未来预计盈亏平衡亦或者其自身已无业务，则其未来应纳税所得额可以确认为</w:t>
      </w:r>
      <w:r w:rsidRPr="00DA3766">
        <w:rPr>
          <w:rFonts w:ascii="Times New Roman" w:hAnsi="Times New Roman" w:cs="Times New Roman"/>
        </w:rPr>
        <w:t>0</w:t>
      </w:r>
      <w:r w:rsidRPr="00DA3766">
        <w:rPr>
          <w:rFonts w:ascii="Times New Roman" w:hAnsi="Times New Roman" w:cs="Times New Roman"/>
        </w:rPr>
        <w:t>元，未来亦不涉及缴纳所得税；对于基准日已注销、已转出的公司，本次预测期内对于此类子公司的应纳税所得额未予测算；对于计划关闭的湖南小充则于基准日整体作为非经营性资产考虑，预测期的应纳税所得额亦未予预测。</w:t>
      </w:r>
    </w:p>
    <w:p w14:paraId="409E4E3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经过上述分析过程，本次评估测算中共有</w:t>
      </w:r>
      <w:r w:rsidRPr="00DA3766">
        <w:rPr>
          <w:rFonts w:ascii="Times New Roman" w:hAnsi="Times New Roman" w:cs="Times New Roman"/>
        </w:rPr>
        <w:t>7</w:t>
      </w:r>
      <w:r w:rsidRPr="00DA3766">
        <w:rPr>
          <w:rFonts w:ascii="Times New Roman" w:hAnsi="Times New Roman" w:cs="Times New Roman"/>
        </w:rPr>
        <w:t>家子公司在预测期内扭亏为盈或者持续盈利，故对该</w:t>
      </w:r>
      <w:r w:rsidRPr="00DA3766">
        <w:rPr>
          <w:rFonts w:ascii="Times New Roman" w:hAnsi="Times New Roman" w:cs="Times New Roman"/>
        </w:rPr>
        <w:t>7</w:t>
      </w:r>
      <w:r w:rsidRPr="00DA3766">
        <w:rPr>
          <w:rFonts w:ascii="Times New Roman" w:hAnsi="Times New Roman" w:cs="Times New Roman"/>
        </w:rPr>
        <w:t>家盈利主体的收入、成本、费用等均进行了测算，并进一步根据各年的应纳税所得额、当年适用的所得税率、优惠政策及可弥补亏损等数据，综合测算得出了各子公司的所得税。子公司相关的收入、成本、费用测算过程和预测逻辑与合并收益法保持一致，可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一、补充披露</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三、结合报告期内各项</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和</w:t>
      </w:r>
      <w:r w:rsidRPr="00DA3766">
        <w:rPr>
          <w:rFonts w:cs="Times New Roman"/>
        </w:rPr>
        <w:t>“</w:t>
      </w:r>
      <w:r w:rsidRPr="00DA3766">
        <w:rPr>
          <w:rFonts w:ascii="Times New Roman" w:hAnsi="Times New Roman" w:cs="Times New Roman"/>
        </w:rPr>
        <w:t>四、结合各项期间费用</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相关回复内容。</w:t>
      </w:r>
    </w:p>
    <w:p w14:paraId="142C7798"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、评估测算使用的所得税税率、优惠政策是否符合相关法律法规的规定等，披露所得税费用的预测是否合理、准确</w:t>
      </w:r>
    </w:p>
    <w:p w14:paraId="08F4B83F"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）本次评估基准日具体涉及的税率、优惠政策</w:t>
      </w:r>
    </w:p>
    <w:p w14:paraId="2F4CFAF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广州宝点于</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22</w:t>
      </w:r>
      <w:r w:rsidRPr="00DA3766">
        <w:rPr>
          <w:rFonts w:ascii="Times New Roman" w:hAnsi="Times New Roman" w:cs="Times New Roman"/>
        </w:rPr>
        <w:t>日取得广东省科学技术厅、广东省财政厅、国家税务总局广东省税务局联合下发的编号</w:t>
      </w:r>
      <w:r w:rsidRPr="00DA3766">
        <w:rPr>
          <w:rFonts w:ascii="Times New Roman" w:hAnsi="Times New Roman" w:cs="Times New Roman"/>
        </w:rPr>
        <w:t>GR202244013440</w:t>
      </w:r>
      <w:r w:rsidRPr="00DA3766">
        <w:rPr>
          <w:rFonts w:ascii="Times New Roman" w:hAnsi="Times New Roman" w:cs="Times New Roman"/>
        </w:rPr>
        <w:t>的高新技术企业证书，证书有效期为三年（</w:t>
      </w:r>
      <w:r w:rsidRPr="00DA3766">
        <w:rPr>
          <w:rFonts w:ascii="Times New Roman" w:hAnsi="Times New Roman" w:cs="Times New Roman"/>
        </w:rPr>
        <w:t>2023—2025</w:t>
      </w:r>
      <w:r w:rsidRPr="00DA3766">
        <w:rPr>
          <w:rFonts w:ascii="Times New Roman" w:hAnsi="Times New Roman" w:cs="Times New Roman"/>
        </w:rPr>
        <w:t>年）。根据企业所得税法第二十八条规定：</w:t>
      </w:r>
      <w:r w:rsidRPr="00DA3766">
        <w:rPr>
          <w:rFonts w:cs="Times New Roman"/>
        </w:rPr>
        <w:t>“</w:t>
      </w:r>
      <w:r w:rsidRPr="00DA3766">
        <w:rPr>
          <w:rFonts w:ascii="Times New Roman" w:hAnsi="Times New Roman" w:cs="Times New Roman"/>
        </w:rPr>
        <w:t>国家需要重点扶持的高新技术企业，减按</w:t>
      </w:r>
      <w:r w:rsidRPr="00DA3766">
        <w:rPr>
          <w:rFonts w:ascii="Times New Roman" w:hAnsi="Times New Roman" w:cs="Times New Roman"/>
        </w:rPr>
        <w:t>15%</w:t>
      </w:r>
      <w:r w:rsidRPr="00DA3766">
        <w:rPr>
          <w:rFonts w:ascii="Times New Roman" w:hAnsi="Times New Roman" w:cs="Times New Roman"/>
        </w:rPr>
        <w:t>的税率征收企业所得税</w:t>
      </w:r>
      <w:r w:rsidRPr="00DA3766">
        <w:rPr>
          <w:rFonts w:cs="Times New Roman"/>
        </w:rPr>
        <w:t>”</w:t>
      </w:r>
      <w:r w:rsidRPr="00DA3766">
        <w:rPr>
          <w:rFonts w:ascii="Times New Roman" w:hAnsi="Times New Roman" w:cs="Times New Roman"/>
        </w:rPr>
        <w:t>，</w:t>
      </w: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年度，广州宝点适用</w:t>
      </w:r>
      <w:r w:rsidRPr="00DA3766">
        <w:rPr>
          <w:rFonts w:ascii="Times New Roman" w:hAnsi="Times New Roman" w:cs="Times New Roman"/>
        </w:rPr>
        <w:t>15%</w:t>
      </w:r>
      <w:r w:rsidRPr="00DA3766">
        <w:rPr>
          <w:rFonts w:ascii="Times New Roman" w:hAnsi="Times New Roman" w:cs="Times New Roman"/>
        </w:rPr>
        <w:t>的企业所得税税率。</w:t>
      </w:r>
    </w:p>
    <w:p w14:paraId="3743AFE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根据《财政部</w:t>
      </w:r>
      <w:r w:rsidRPr="00DA3766">
        <w:rPr>
          <w:rFonts w:ascii="Times New Roman" w:hAnsi="Times New Roman" w:cs="Times New Roman"/>
        </w:rPr>
        <w:t xml:space="preserve"> </w:t>
      </w:r>
      <w:r w:rsidRPr="00DA3766">
        <w:rPr>
          <w:rFonts w:ascii="Times New Roman" w:hAnsi="Times New Roman" w:cs="Times New Roman"/>
        </w:rPr>
        <w:t>国家税务总局关于软件产品增值税政策的通知》（财政部、国家税务总局公布的财税</w:t>
      </w:r>
      <w:r w:rsidRPr="00DA3766">
        <w:rPr>
          <w:rFonts w:ascii="Times New Roman" w:hAnsi="Times New Roman" w:cs="Times New Roman"/>
        </w:rPr>
        <w:t>[2011]100</w:t>
      </w:r>
      <w:r w:rsidRPr="00DA3766">
        <w:rPr>
          <w:rFonts w:ascii="Times New Roman" w:hAnsi="Times New Roman" w:cs="Times New Roman"/>
        </w:rPr>
        <w:t>号文），对增值税一般纳税人销售其自行开发生产的软件产品，按</w:t>
      </w:r>
      <w:r w:rsidRPr="00DA3766">
        <w:rPr>
          <w:rFonts w:ascii="Times New Roman" w:hAnsi="Times New Roman" w:cs="Times New Roman"/>
        </w:rPr>
        <w:t>13%</w:t>
      </w:r>
      <w:r w:rsidRPr="00DA3766">
        <w:rPr>
          <w:rFonts w:ascii="Times New Roman" w:hAnsi="Times New Roman" w:cs="Times New Roman"/>
        </w:rPr>
        <w:t>税率征收增值税后，对其增值税实际税负超过</w:t>
      </w:r>
      <w:r w:rsidRPr="00DA3766">
        <w:rPr>
          <w:rFonts w:ascii="Times New Roman" w:hAnsi="Times New Roman" w:cs="Times New Roman"/>
        </w:rPr>
        <w:t>3%</w:t>
      </w:r>
      <w:r w:rsidRPr="00DA3766">
        <w:rPr>
          <w:rFonts w:ascii="Times New Roman" w:hAnsi="Times New Roman" w:cs="Times New Roman"/>
        </w:rPr>
        <w:t>的部分实行即征即退政策。广州宝点享有此优惠政策。</w:t>
      </w:r>
    </w:p>
    <w:p w14:paraId="3AC07EF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根据《财政部</w:t>
      </w:r>
      <w:r w:rsidRPr="00DA3766">
        <w:rPr>
          <w:rFonts w:ascii="Times New Roman" w:hAnsi="Times New Roman" w:cs="Times New Roman"/>
        </w:rPr>
        <w:t xml:space="preserve"> </w:t>
      </w:r>
      <w:r w:rsidRPr="00DA3766">
        <w:rPr>
          <w:rFonts w:ascii="Times New Roman" w:hAnsi="Times New Roman" w:cs="Times New Roman"/>
        </w:rPr>
        <w:t>税务总局关于进一步支持小微企业和个体工商户发展有关税费政策的公告》（财政部税务总局公告</w:t>
      </w:r>
      <w:r w:rsidRPr="00DA3766">
        <w:rPr>
          <w:rFonts w:ascii="Times New Roman" w:hAnsi="Times New Roman" w:cs="Times New Roman"/>
        </w:rPr>
        <w:t>2023</w:t>
      </w:r>
      <w:r w:rsidRPr="00DA3766">
        <w:rPr>
          <w:rFonts w:ascii="Times New Roman" w:hAnsi="Times New Roman" w:cs="Times New Roman"/>
        </w:rPr>
        <w:t>年第</w:t>
      </w:r>
      <w:r w:rsidRPr="00DA3766">
        <w:rPr>
          <w:rFonts w:ascii="Times New Roman" w:hAnsi="Times New Roman" w:cs="Times New Roman"/>
        </w:rPr>
        <w:t>12</w:t>
      </w:r>
      <w:r w:rsidRPr="00DA3766">
        <w:rPr>
          <w:rFonts w:ascii="Times New Roman" w:hAnsi="Times New Roman" w:cs="Times New Roman"/>
        </w:rPr>
        <w:t>号），对小型微利企业减按</w:t>
      </w:r>
      <w:r w:rsidRPr="00DA3766">
        <w:rPr>
          <w:rFonts w:ascii="Times New Roman" w:hAnsi="Times New Roman" w:cs="Times New Roman"/>
        </w:rPr>
        <w:t>25%</w:t>
      </w:r>
      <w:r w:rsidRPr="00DA3766">
        <w:rPr>
          <w:rFonts w:ascii="Times New Roman" w:hAnsi="Times New Roman" w:cs="Times New Roman"/>
        </w:rPr>
        <w:t>计算应纳税所得额，按</w:t>
      </w:r>
      <w:r w:rsidRPr="00DA3766">
        <w:rPr>
          <w:rFonts w:ascii="Times New Roman" w:hAnsi="Times New Roman" w:cs="Times New Roman"/>
        </w:rPr>
        <w:t>20%</w:t>
      </w:r>
      <w:r w:rsidRPr="00DA3766">
        <w:rPr>
          <w:rFonts w:ascii="Times New Roman" w:hAnsi="Times New Roman" w:cs="Times New Roman"/>
        </w:rPr>
        <w:t>的税率缴纳企业所得税政策，同时</w:t>
      </w:r>
      <w:r w:rsidRPr="00DA3766">
        <w:rPr>
          <w:rFonts w:cs="Times New Roman"/>
        </w:rPr>
        <w:t>“</w:t>
      </w:r>
      <w:r w:rsidRPr="00DA3766">
        <w:rPr>
          <w:rFonts w:ascii="Times New Roman" w:hAnsi="Times New Roman" w:cs="Times New Roman"/>
        </w:rPr>
        <w:t>六税两费</w:t>
      </w:r>
      <w:r w:rsidRPr="00DA3766">
        <w:rPr>
          <w:rFonts w:cs="Times New Roman"/>
        </w:rPr>
        <w:t>”</w:t>
      </w:r>
      <w:r w:rsidRPr="00DA3766">
        <w:rPr>
          <w:rFonts w:ascii="Times New Roman" w:hAnsi="Times New Roman" w:cs="Times New Roman"/>
        </w:rPr>
        <w:t>（资源税、城市维护建设税、房产税、城镇土地使用税、印花税（不含税证券交易印花税）、耕地占用税和教育费附加、地方教育附加）减半征收，延续执行至</w:t>
      </w:r>
      <w:r w:rsidRPr="00DA3766">
        <w:rPr>
          <w:rFonts w:ascii="Times New Roman" w:hAnsi="Times New Roman" w:cs="Times New Roman"/>
        </w:rPr>
        <w:t>2027</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31</w:t>
      </w:r>
      <w:r w:rsidRPr="00DA3766">
        <w:rPr>
          <w:rFonts w:ascii="Times New Roman" w:hAnsi="Times New Roman" w:cs="Times New Roman"/>
        </w:rPr>
        <w:t>日。除星云开物以及广州宝点外，其余均为小型微利企业，适用该小微企业税务优惠。</w:t>
      </w:r>
    </w:p>
    <w:p w14:paraId="05D3DD91" w14:textId="457625B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根据《关于进一步完善研发费用税前加计扣除政策的公告》</w:t>
      </w:r>
      <w:r w:rsidR="00DA3766" w:rsidRPr="00DA3766">
        <w:rPr>
          <w:rFonts w:ascii="Times New Roman" w:hAnsi="Times New Roman" w:cs="Times New Roman"/>
        </w:rPr>
        <w:t>（</w:t>
      </w:r>
      <w:r w:rsidRPr="00DA3766">
        <w:rPr>
          <w:rFonts w:ascii="Times New Roman" w:hAnsi="Times New Roman" w:cs="Times New Roman"/>
        </w:rPr>
        <w:t>财税</w:t>
      </w:r>
      <w:r w:rsidR="00DA3766" w:rsidRPr="00DA3766">
        <w:rPr>
          <w:rFonts w:ascii="Times New Roman" w:hAnsi="Times New Roman" w:cs="Times New Roman"/>
        </w:rPr>
        <w:t>（</w:t>
      </w:r>
      <w:r w:rsidRPr="00DA3766">
        <w:rPr>
          <w:rFonts w:ascii="Times New Roman" w:hAnsi="Times New Roman" w:cs="Times New Roman"/>
        </w:rPr>
        <w:t>2023</w:t>
      </w:r>
      <w:r w:rsidR="00DA3766" w:rsidRPr="00DA3766">
        <w:rPr>
          <w:rFonts w:ascii="Times New Roman" w:hAnsi="Times New Roman" w:cs="Times New Roman"/>
        </w:rPr>
        <w:t>）</w:t>
      </w:r>
      <w:r w:rsidRPr="00DA3766">
        <w:rPr>
          <w:rFonts w:ascii="Times New Roman" w:hAnsi="Times New Roman" w:cs="Times New Roman"/>
        </w:rPr>
        <w:t>7</w:t>
      </w:r>
      <w:r w:rsidRPr="00DA3766">
        <w:rPr>
          <w:rFonts w:ascii="Times New Roman" w:hAnsi="Times New Roman" w:cs="Times New Roman"/>
        </w:rPr>
        <w:t>号</w:t>
      </w:r>
      <w:r w:rsidR="00DA3766" w:rsidRPr="00DA3766">
        <w:rPr>
          <w:rFonts w:ascii="Times New Roman" w:hAnsi="Times New Roman" w:cs="Times New Roman"/>
        </w:rPr>
        <w:t>）</w:t>
      </w:r>
      <w:r w:rsidRPr="00DA3766">
        <w:rPr>
          <w:rFonts w:ascii="Times New Roman" w:hAnsi="Times New Roman" w:cs="Times New Roman"/>
        </w:rPr>
        <w:t>的相关规定</w:t>
      </w:r>
      <w:r w:rsidRPr="00DA3766">
        <w:rPr>
          <w:rFonts w:ascii="Times New Roman" w:hAnsi="Times New Roman" w:cs="Times New Roman"/>
        </w:rPr>
        <w:t>:</w:t>
      </w:r>
      <w:r w:rsidRPr="00DA3766">
        <w:rPr>
          <w:rFonts w:ascii="Times New Roman" w:hAnsi="Times New Roman" w:cs="Times New Roman"/>
        </w:rPr>
        <w:t>企业开展研发活动中实际发生的研发费用，未形成无形资产计入当期损益的，在按规定据实扣除的基础上，自</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日起，再按照实际发生额的</w:t>
      </w:r>
      <w:r w:rsidRPr="00DA3766">
        <w:rPr>
          <w:rFonts w:ascii="Times New Roman" w:hAnsi="Times New Roman" w:cs="Times New Roman"/>
        </w:rPr>
        <w:t>100%</w:t>
      </w:r>
      <w:r w:rsidRPr="00DA3766">
        <w:rPr>
          <w:rFonts w:ascii="Times New Roman" w:hAnsi="Times New Roman" w:cs="Times New Roman"/>
        </w:rPr>
        <w:t>在税前加计扣除</w:t>
      </w:r>
      <w:r w:rsidRPr="00DA3766">
        <w:rPr>
          <w:rFonts w:ascii="Times New Roman" w:hAnsi="Times New Roman" w:cs="Times New Roman"/>
        </w:rPr>
        <w:t>;</w:t>
      </w:r>
      <w:r w:rsidRPr="00DA3766">
        <w:rPr>
          <w:rFonts w:ascii="Times New Roman" w:hAnsi="Times New Roman" w:cs="Times New Roman"/>
        </w:rPr>
        <w:t>形成无形资产的，自</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日起，按照无形资产成本的</w:t>
      </w:r>
      <w:r w:rsidRPr="00DA3766">
        <w:rPr>
          <w:rFonts w:ascii="Times New Roman" w:hAnsi="Times New Roman" w:cs="Times New Roman"/>
        </w:rPr>
        <w:t>200%</w:t>
      </w:r>
      <w:r w:rsidRPr="00DA3766">
        <w:rPr>
          <w:rFonts w:ascii="Times New Roman" w:hAnsi="Times New Roman" w:cs="Times New Roman"/>
        </w:rPr>
        <w:t>在税前摊销。</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1-6</w:t>
      </w:r>
      <w:r w:rsidRPr="00DA3766">
        <w:rPr>
          <w:rFonts w:ascii="Times New Roman" w:hAnsi="Times New Roman" w:cs="Times New Roman"/>
        </w:rPr>
        <w:t>月母公司广东星云开物科技股份有限公司、子公司广州宝点数字化科技有限公司、广州科蝶信息科技有限公司、广州亦强科技有限公司、广州易普乐信息科技有限公司、杭州东晙信息技术有限公司、广州乐爽信息科技有限公司符合相关条件，研发费用税前加计扣除比例为</w:t>
      </w:r>
      <w:r w:rsidRPr="00DA3766">
        <w:rPr>
          <w:rFonts w:ascii="Times New Roman" w:hAnsi="Times New Roman" w:cs="Times New Roman"/>
        </w:rPr>
        <w:t>100%</w:t>
      </w:r>
      <w:r w:rsidRPr="00DA3766">
        <w:rPr>
          <w:rFonts w:ascii="Times New Roman" w:hAnsi="Times New Roman" w:cs="Times New Roman"/>
        </w:rPr>
        <w:t>。</w:t>
      </w:r>
    </w:p>
    <w:p w14:paraId="2BE7C59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）可弥补亏损对于预测期所得税的影响</w:t>
      </w:r>
    </w:p>
    <w:p w14:paraId="7594EBE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除此以外，根据《中华人民共和国企业所得税法》第二章第十八条之规定</w:t>
      </w:r>
      <w:r w:rsidRPr="00DA3766">
        <w:rPr>
          <w:rFonts w:cs="Times New Roman"/>
        </w:rPr>
        <w:t>“</w:t>
      </w:r>
      <w:r w:rsidRPr="00DA3766">
        <w:rPr>
          <w:rFonts w:ascii="Times New Roman" w:hAnsi="Times New Roman" w:cs="Times New Roman"/>
        </w:rPr>
        <w:t>企业纳税年度发生的亏损，准予向以后年度结转，用以后年度的所得弥补，但结转年限最长不得超过五年。</w:t>
      </w:r>
      <w:r w:rsidRPr="00DA3766">
        <w:rPr>
          <w:rFonts w:cs="Times New Roman"/>
        </w:rPr>
        <w:t>”</w:t>
      </w:r>
      <w:r w:rsidRPr="00DA3766">
        <w:rPr>
          <w:rFonts w:ascii="Times New Roman" w:hAnsi="Times New Roman" w:cs="Times New Roman"/>
        </w:rPr>
        <w:t>，根据《财政部</w:t>
      </w:r>
      <w:r w:rsidRPr="00DA3766">
        <w:rPr>
          <w:rFonts w:ascii="Times New Roman" w:hAnsi="Times New Roman" w:cs="Times New Roman"/>
        </w:rPr>
        <w:t xml:space="preserve"> </w:t>
      </w:r>
      <w:r w:rsidRPr="00DA3766">
        <w:rPr>
          <w:rFonts w:ascii="Times New Roman" w:hAnsi="Times New Roman" w:cs="Times New Roman"/>
        </w:rPr>
        <w:t>税务总局关于延长高新技术企业和科技型中小企业亏损结转年限的通知》（财税〔</w:t>
      </w:r>
      <w:r w:rsidRPr="00DA3766">
        <w:rPr>
          <w:rFonts w:ascii="Times New Roman" w:hAnsi="Times New Roman" w:cs="Times New Roman"/>
        </w:rPr>
        <w:t>2018</w:t>
      </w:r>
      <w:r w:rsidRPr="00DA3766">
        <w:rPr>
          <w:rFonts w:ascii="Times New Roman" w:hAnsi="Times New Roman" w:cs="Times New Roman"/>
        </w:rPr>
        <w:t>〕</w:t>
      </w:r>
      <w:r w:rsidRPr="00DA3766">
        <w:rPr>
          <w:rFonts w:ascii="Times New Roman" w:hAnsi="Times New Roman" w:cs="Times New Roman"/>
        </w:rPr>
        <w:t>76</w:t>
      </w:r>
      <w:r w:rsidRPr="00DA3766">
        <w:rPr>
          <w:rFonts w:ascii="Times New Roman" w:hAnsi="Times New Roman" w:cs="Times New Roman"/>
        </w:rPr>
        <w:t>号）</w:t>
      </w:r>
      <w:r w:rsidRPr="00DA3766">
        <w:rPr>
          <w:rFonts w:cs="Times New Roman"/>
        </w:rPr>
        <w:t>“</w:t>
      </w:r>
      <w:r w:rsidRPr="00DA3766">
        <w:rPr>
          <w:rFonts w:ascii="Times New Roman" w:hAnsi="Times New Roman" w:cs="Times New Roman"/>
        </w:rPr>
        <w:t>自</w:t>
      </w:r>
      <w:r w:rsidRPr="00DA3766">
        <w:rPr>
          <w:rFonts w:ascii="Times New Roman" w:hAnsi="Times New Roman" w:cs="Times New Roman"/>
        </w:rPr>
        <w:t>2018</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日起，当年具备高新技术企业或科技型中小企业资格（以下统称资格）的企业，其具备资格年度之前</w:t>
      </w:r>
      <w:r w:rsidRPr="00DA3766">
        <w:rPr>
          <w:rFonts w:ascii="Times New Roman" w:hAnsi="Times New Roman" w:cs="Times New Roman"/>
        </w:rPr>
        <w:t>5</w:t>
      </w:r>
      <w:r w:rsidRPr="00DA3766">
        <w:rPr>
          <w:rFonts w:ascii="Times New Roman" w:hAnsi="Times New Roman" w:cs="Times New Roman"/>
        </w:rPr>
        <w:t>个年度发生的尚未弥补完的亏损，准予结转以后年度弥补，最长结转年限由</w:t>
      </w:r>
      <w:r w:rsidRPr="00DA3766">
        <w:rPr>
          <w:rFonts w:ascii="Times New Roman" w:hAnsi="Times New Roman" w:cs="Times New Roman"/>
        </w:rPr>
        <w:t>5</w:t>
      </w:r>
      <w:r w:rsidRPr="00DA3766">
        <w:rPr>
          <w:rFonts w:ascii="Times New Roman" w:hAnsi="Times New Roman" w:cs="Times New Roman"/>
        </w:rPr>
        <w:t>年延长至</w:t>
      </w:r>
      <w:r w:rsidRPr="00DA3766">
        <w:rPr>
          <w:rFonts w:ascii="Times New Roman" w:hAnsi="Times New Roman" w:cs="Times New Roman"/>
        </w:rPr>
        <w:t>10</w:t>
      </w:r>
      <w:r w:rsidRPr="00DA3766">
        <w:rPr>
          <w:rFonts w:ascii="Times New Roman" w:hAnsi="Times New Roman" w:cs="Times New Roman"/>
        </w:rPr>
        <w:t>年。</w:t>
      </w:r>
      <w:r w:rsidRPr="00DA3766">
        <w:rPr>
          <w:rFonts w:cs="Times New Roman"/>
        </w:rPr>
        <w:t>”</w:t>
      </w:r>
      <w:r w:rsidRPr="00DA3766">
        <w:rPr>
          <w:rFonts w:ascii="Times New Roman" w:hAnsi="Times New Roman" w:cs="Times New Roman"/>
        </w:rPr>
        <w:t>广州宝点存在历史年度可弥补亏损，本次对于符合上述条件的高新技术企业按</w:t>
      </w:r>
      <w:r w:rsidRPr="00DA3766">
        <w:rPr>
          <w:rFonts w:ascii="Times New Roman" w:hAnsi="Times New Roman" w:cs="Times New Roman"/>
        </w:rPr>
        <w:t>10</w:t>
      </w:r>
      <w:r w:rsidRPr="00DA3766">
        <w:rPr>
          <w:rFonts w:ascii="Times New Roman" w:hAnsi="Times New Roman" w:cs="Times New Roman"/>
        </w:rPr>
        <w:t>年考虑可弥补亏损对于预测期所得税的</w:t>
      </w:r>
      <w:r w:rsidRPr="00DA3766">
        <w:rPr>
          <w:rFonts w:ascii="Times New Roman" w:hAnsi="Times New Roman" w:cs="Times New Roman"/>
        </w:rPr>
        <w:lastRenderedPageBreak/>
        <w:t>影响；对于不具备高新技术企业的其他子公司按</w:t>
      </w:r>
      <w:r w:rsidRPr="00DA3766">
        <w:rPr>
          <w:rFonts w:ascii="Times New Roman" w:hAnsi="Times New Roman" w:cs="Times New Roman"/>
        </w:rPr>
        <w:t>5</w:t>
      </w:r>
      <w:r w:rsidRPr="00DA3766">
        <w:rPr>
          <w:rFonts w:ascii="Times New Roman" w:hAnsi="Times New Roman" w:cs="Times New Roman"/>
        </w:rPr>
        <w:t>年考虑可弥补亏损对于预测期所得税的影响。</w:t>
      </w:r>
    </w:p>
    <w:p w14:paraId="6D29FA6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同时，对于预测期内业绩转好的子公司，根据其应纳税所得额结合《财政部</w:t>
      </w:r>
      <w:r w:rsidRPr="00DA3766">
        <w:rPr>
          <w:rFonts w:ascii="Times New Roman" w:hAnsi="Times New Roman" w:cs="Times New Roman"/>
        </w:rPr>
        <w:t xml:space="preserve"> </w:t>
      </w:r>
      <w:r w:rsidRPr="00DA3766">
        <w:rPr>
          <w:rFonts w:ascii="Times New Roman" w:hAnsi="Times New Roman" w:cs="Times New Roman"/>
        </w:rPr>
        <w:t>税务总局关于进一步支持小微企业和个体工商户发展有关税费政策的公告》政策有效期以及该公告中对于小微企业的定义，综合判断子公司在预测期内的所得税税率。</w:t>
      </w:r>
    </w:p>
    <w:p w14:paraId="7E77BEA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）高新技术企业优惠税率</w:t>
      </w:r>
    </w:p>
    <w:p w14:paraId="52D9A49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具备高新技术企业资质的公司，假设现行高新技术企业认定的相关法规政策未来无重大变化，评估师对企业目前的主营业务构成类型、研发人员构成、未来研发投入占主营收入比例等指标分析后，基于对未来的合理推断，假设被评估单位未来具备持续获得高新技术企业认定的条件，能够持续享受所得税优惠政策。截止本回复日，星云开物及广州宝点均已通过新一轮</w:t>
      </w:r>
      <w:r w:rsidRPr="00DA3766">
        <w:rPr>
          <w:rFonts w:ascii="Times New Roman" w:hAnsi="Times New Roman" w:cs="Times New Roman"/>
        </w:rPr>
        <w:t>3</w:t>
      </w:r>
      <w:r w:rsidRPr="00DA3766">
        <w:rPr>
          <w:rFonts w:ascii="Times New Roman" w:hAnsi="Times New Roman" w:cs="Times New Roman"/>
        </w:rPr>
        <w:t>年的高新技术企业资质审核，已确认高新技术企业资质可以延续。故本次对上述公司的所得税预测持续采用高新技术企业的</w:t>
      </w:r>
      <w:r w:rsidRPr="00DA3766">
        <w:rPr>
          <w:rFonts w:ascii="Times New Roman" w:hAnsi="Times New Roman" w:cs="Times New Roman"/>
        </w:rPr>
        <w:t>15%</w:t>
      </w:r>
      <w:r w:rsidRPr="00DA3766">
        <w:rPr>
          <w:rFonts w:ascii="Times New Roman" w:hAnsi="Times New Roman" w:cs="Times New Roman"/>
        </w:rPr>
        <w:t>优惠税率，具备合理性和谨慎性。</w:t>
      </w:r>
    </w:p>
    <w:p w14:paraId="028B4CC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综上，本次子公司所得税费用的预测充分考虑了各个子公司执行的税率、优惠政策、政策有效期间等因素的影响，具备合理性。</w:t>
      </w:r>
    </w:p>
    <w:p w14:paraId="350D630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上述内容已在《重组报告书》</w:t>
      </w:r>
      <w:r w:rsidRPr="00DA3766">
        <w:rPr>
          <w:rFonts w:cs="Times New Roman"/>
        </w:rPr>
        <w:t>“</w:t>
      </w:r>
      <w:r w:rsidRPr="00DA3766">
        <w:rPr>
          <w:rFonts w:ascii="Times New Roman" w:hAnsi="Times New Roman" w:cs="Times New Roman"/>
        </w:rPr>
        <w:t>第六节</w:t>
      </w:r>
      <w:r w:rsidRPr="00DA3766">
        <w:rPr>
          <w:rFonts w:ascii="Times New Roman" w:hAnsi="Times New Roman" w:cs="Times New Roman"/>
        </w:rPr>
        <w:t xml:space="preserve"> </w:t>
      </w:r>
      <w:r w:rsidRPr="00DA3766">
        <w:rPr>
          <w:rFonts w:ascii="Times New Roman" w:hAnsi="Times New Roman" w:cs="Times New Roman"/>
        </w:rPr>
        <w:t>交易标的评估情况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二、标的公司评估基本情况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（三）收益法的评估情况及分析</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4</w:t>
      </w:r>
      <w:r w:rsidRPr="00DA3766">
        <w:rPr>
          <w:rFonts w:ascii="Times New Roman" w:hAnsi="Times New Roman" w:cs="Times New Roman"/>
        </w:rPr>
        <w:t>、未来收益预测</w:t>
      </w:r>
      <w:r w:rsidRPr="00DA3766">
        <w:rPr>
          <w:rFonts w:cs="Times New Roman"/>
        </w:rPr>
        <w:t>”</w:t>
      </w:r>
      <w:r w:rsidRPr="00DA3766">
        <w:rPr>
          <w:rFonts w:ascii="Times New Roman" w:hAnsi="Times New Roman" w:cs="Times New Roman"/>
        </w:rPr>
        <w:t>补充披露。</w:t>
      </w:r>
    </w:p>
    <w:p w14:paraId="5D9D0399"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六、补充披露预测期内标的资产折旧与摊销、资本性支出、营运资金、溢余资产的具体测算过程及测算依据，折旧与摊销、资本性支出金额呈下降趋势的合理性，营运资本增加额均为负值的合理性，与预测销售规模是否匹配</w:t>
      </w:r>
    </w:p>
    <w:p w14:paraId="6B9FDF51"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（一）补充披露预测期内标的资产折旧与摊销、资本性支出、营运资金、溢余资产的具体测算过程及测算依据</w:t>
      </w:r>
    </w:p>
    <w:p w14:paraId="6F47255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预测期内，标的资产折旧摊销及资本性支出预测情况如下：</w:t>
      </w:r>
    </w:p>
    <w:p w14:paraId="1770E28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1</w:t>
      </w:r>
      <w:r w:rsidRPr="00DA3766">
        <w:rPr>
          <w:rFonts w:ascii="Times New Roman" w:hAnsi="Times New Roman" w:cs="Times New Roman"/>
          <w:b/>
          <w:bCs/>
          <w:kern w:val="2"/>
          <w:szCs w:val="28"/>
        </w:rPr>
        <w:t>、折旧摊销及资本性支出</w:t>
      </w:r>
    </w:p>
    <w:p w14:paraId="60AE75F5"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）固定资产</w:t>
      </w:r>
    </w:p>
    <w:p w14:paraId="1FF024F4"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）固定资产折旧</w:t>
      </w:r>
    </w:p>
    <w:p w14:paraId="5AC65C2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固定资产账面原值合计</w:t>
      </w:r>
      <w:r w:rsidRPr="00DA3766">
        <w:rPr>
          <w:rFonts w:ascii="Times New Roman" w:hAnsi="Times New Roman" w:cs="Times New Roman"/>
        </w:rPr>
        <w:t>1,557.25</w:t>
      </w:r>
      <w:r w:rsidRPr="00DA3766">
        <w:rPr>
          <w:rFonts w:ascii="Times New Roman" w:hAnsi="Times New Roman" w:cs="Times New Roman"/>
        </w:rPr>
        <w:t>万元，根据审计报告显示，固定资产整体折旧年限在</w:t>
      </w:r>
      <w:r w:rsidRPr="00DA3766">
        <w:rPr>
          <w:rFonts w:ascii="Times New Roman" w:hAnsi="Times New Roman" w:cs="Times New Roman"/>
        </w:rPr>
        <w:t>5-10</w:t>
      </w:r>
      <w:r w:rsidRPr="00DA3766">
        <w:rPr>
          <w:rFonts w:ascii="Times New Roman" w:hAnsi="Times New Roman" w:cs="Times New Roman"/>
        </w:rPr>
        <w:t>年，本次评估按</w:t>
      </w:r>
      <w:r w:rsidRPr="00DA3766">
        <w:rPr>
          <w:rFonts w:ascii="Times New Roman" w:hAnsi="Times New Roman" w:cs="Times New Roman"/>
        </w:rPr>
        <w:t>5</w:t>
      </w:r>
      <w:r w:rsidRPr="00DA3766">
        <w:rPr>
          <w:rFonts w:ascii="Times New Roman" w:hAnsi="Times New Roman" w:cs="Times New Roman"/>
        </w:rPr>
        <w:t>年测算各年的折旧金额。预测期固定资产折旧金额如下：</w:t>
      </w:r>
    </w:p>
    <w:p w14:paraId="06CA819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1182"/>
        <w:gridCol w:w="1182"/>
        <w:gridCol w:w="1184"/>
        <w:gridCol w:w="1182"/>
        <w:gridCol w:w="1182"/>
        <w:gridCol w:w="1182"/>
      </w:tblGrid>
      <w:tr w:rsidR="00EB3B4C" w:rsidRPr="001076ED" w14:paraId="63704CFF" w14:textId="77777777" w:rsidTr="001076ED">
        <w:trPr>
          <w:trHeight w:val="397"/>
          <w:tblHeader/>
          <w:jc w:val="center"/>
        </w:trPr>
        <w:tc>
          <w:tcPr>
            <w:tcW w:w="841" w:type="pct"/>
            <w:vAlign w:val="center"/>
            <w:hideMark/>
          </w:tcPr>
          <w:p w14:paraId="21DA3887"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科目</w:t>
            </w:r>
          </w:p>
        </w:tc>
        <w:tc>
          <w:tcPr>
            <w:tcW w:w="693" w:type="pct"/>
            <w:vAlign w:val="center"/>
            <w:hideMark/>
          </w:tcPr>
          <w:p w14:paraId="4BB74F23"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2025</w:t>
            </w:r>
            <w:r w:rsidRPr="001076ED">
              <w:rPr>
                <w:rFonts w:ascii="Times New Roman" w:hAnsi="Times New Roman" w:cs="Times New Roman"/>
                <w:b/>
                <w:color w:val="000000"/>
                <w:sz w:val="21"/>
                <w:szCs w:val="21"/>
              </w:rPr>
              <w:t>年</w:t>
            </w:r>
            <w:r w:rsidRPr="001076ED">
              <w:rPr>
                <w:rFonts w:ascii="Times New Roman" w:hAnsi="Times New Roman" w:cs="Times New Roman"/>
                <w:b/>
                <w:color w:val="000000"/>
                <w:sz w:val="21"/>
                <w:szCs w:val="21"/>
              </w:rPr>
              <w:t>7-12</w:t>
            </w:r>
            <w:r w:rsidRPr="001076ED">
              <w:rPr>
                <w:rFonts w:ascii="Times New Roman" w:hAnsi="Times New Roman" w:cs="Times New Roman"/>
                <w:b/>
                <w:color w:val="000000"/>
                <w:sz w:val="21"/>
                <w:szCs w:val="21"/>
              </w:rPr>
              <w:t>月</w:t>
            </w:r>
          </w:p>
        </w:tc>
        <w:tc>
          <w:tcPr>
            <w:tcW w:w="693" w:type="pct"/>
            <w:vAlign w:val="center"/>
            <w:hideMark/>
          </w:tcPr>
          <w:p w14:paraId="5263BF1D"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2026</w:t>
            </w:r>
            <w:r w:rsidRPr="001076ED">
              <w:rPr>
                <w:rFonts w:ascii="Times New Roman" w:hAnsi="Times New Roman" w:cs="Times New Roman"/>
                <w:b/>
                <w:color w:val="000000"/>
                <w:sz w:val="21"/>
                <w:szCs w:val="21"/>
              </w:rPr>
              <w:t>年</w:t>
            </w:r>
          </w:p>
        </w:tc>
        <w:tc>
          <w:tcPr>
            <w:tcW w:w="694" w:type="pct"/>
            <w:vAlign w:val="center"/>
            <w:hideMark/>
          </w:tcPr>
          <w:p w14:paraId="57A7ADBA"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2027</w:t>
            </w:r>
            <w:r w:rsidRPr="001076ED">
              <w:rPr>
                <w:rFonts w:ascii="Times New Roman" w:hAnsi="Times New Roman" w:cs="Times New Roman"/>
                <w:b/>
                <w:color w:val="000000"/>
                <w:sz w:val="21"/>
                <w:szCs w:val="21"/>
              </w:rPr>
              <w:t>年</w:t>
            </w:r>
          </w:p>
        </w:tc>
        <w:tc>
          <w:tcPr>
            <w:tcW w:w="693" w:type="pct"/>
            <w:vAlign w:val="center"/>
            <w:hideMark/>
          </w:tcPr>
          <w:p w14:paraId="56C08B84"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2028</w:t>
            </w:r>
            <w:r w:rsidRPr="001076ED">
              <w:rPr>
                <w:rFonts w:ascii="Times New Roman" w:hAnsi="Times New Roman" w:cs="Times New Roman"/>
                <w:b/>
                <w:color w:val="000000"/>
                <w:sz w:val="21"/>
                <w:szCs w:val="21"/>
              </w:rPr>
              <w:t>年</w:t>
            </w:r>
          </w:p>
        </w:tc>
        <w:tc>
          <w:tcPr>
            <w:tcW w:w="693" w:type="pct"/>
            <w:vAlign w:val="center"/>
            <w:hideMark/>
          </w:tcPr>
          <w:p w14:paraId="33B523B7"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2029</w:t>
            </w:r>
            <w:r w:rsidRPr="001076ED">
              <w:rPr>
                <w:rFonts w:ascii="Times New Roman" w:hAnsi="Times New Roman" w:cs="Times New Roman"/>
                <w:b/>
                <w:color w:val="000000"/>
                <w:sz w:val="21"/>
                <w:szCs w:val="21"/>
              </w:rPr>
              <w:t>年</w:t>
            </w:r>
          </w:p>
        </w:tc>
        <w:tc>
          <w:tcPr>
            <w:tcW w:w="694" w:type="pct"/>
            <w:vAlign w:val="center"/>
            <w:hideMark/>
          </w:tcPr>
          <w:p w14:paraId="4727F860"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2030</w:t>
            </w:r>
            <w:r w:rsidRPr="001076ED">
              <w:rPr>
                <w:rFonts w:ascii="Times New Roman" w:hAnsi="Times New Roman" w:cs="Times New Roman"/>
                <w:b/>
                <w:color w:val="000000"/>
                <w:sz w:val="21"/>
                <w:szCs w:val="21"/>
              </w:rPr>
              <w:t>年及以后</w:t>
            </w:r>
          </w:p>
        </w:tc>
      </w:tr>
      <w:tr w:rsidR="00EB3B4C" w:rsidRPr="001076ED" w14:paraId="7CAF6860" w14:textId="77777777" w:rsidTr="001076ED">
        <w:trPr>
          <w:trHeight w:val="397"/>
          <w:jc w:val="center"/>
        </w:trPr>
        <w:tc>
          <w:tcPr>
            <w:tcW w:w="841" w:type="pct"/>
            <w:vAlign w:val="center"/>
            <w:hideMark/>
          </w:tcPr>
          <w:p w14:paraId="6646AF79"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固定资产账面原值合计</w:t>
            </w:r>
          </w:p>
        </w:tc>
        <w:tc>
          <w:tcPr>
            <w:tcW w:w="693" w:type="pct"/>
            <w:vAlign w:val="center"/>
            <w:hideMark/>
          </w:tcPr>
          <w:p w14:paraId="40C690D2"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1,557.25</w:t>
            </w:r>
          </w:p>
        </w:tc>
        <w:tc>
          <w:tcPr>
            <w:tcW w:w="693" w:type="pct"/>
            <w:vAlign w:val="center"/>
            <w:hideMark/>
          </w:tcPr>
          <w:p w14:paraId="1CAE964B"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1,657.25</w:t>
            </w:r>
          </w:p>
        </w:tc>
        <w:tc>
          <w:tcPr>
            <w:tcW w:w="694" w:type="pct"/>
            <w:vAlign w:val="center"/>
            <w:hideMark/>
          </w:tcPr>
          <w:p w14:paraId="70C87217"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3" w:type="pct"/>
            <w:vAlign w:val="center"/>
            <w:hideMark/>
          </w:tcPr>
          <w:p w14:paraId="54CDDB0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3" w:type="pct"/>
            <w:vAlign w:val="center"/>
            <w:hideMark/>
          </w:tcPr>
          <w:p w14:paraId="7859AE48"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4" w:type="pct"/>
            <w:vAlign w:val="center"/>
            <w:hideMark/>
          </w:tcPr>
          <w:p w14:paraId="237FE636"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r>
      <w:tr w:rsidR="00EB3B4C" w:rsidRPr="001076ED" w14:paraId="51552DB7" w14:textId="77777777" w:rsidTr="001076ED">
        <w:trPr>
          <w:trHeight w:val="397"/>
          <w:jc w:val="center"/>
        </w:trPr>
        <w:tc>
          <w:tcPr>
            <w:tcW w:w="841" w:type="pct"/>
            <w:vAlign w:val="center"/>
            <w:hideMark/>
          </w:tcPr>
          <w:p w14:paraId="70442501"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折旧年限（年）</w:t>
            </w:r>
          </w:p>
        </w:tc>
        <w:tc>
          <w:tcPr>
            <w:tcW w:w="693" w:type="pct"/>
            <w:vAlign w:val="center"/>
            <w:hideMark/>
          </w:tcPr>
          <w:p w14:paraId="014C9A91"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72D2623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4" w:type="pct"/>
            <w:vAlign w:val="center"/>
            <w:hideMark/>
          </w:tcPr>
          <w:p w14:paraId="0C100639"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5DCB76F9"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61A0061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4" w:type="pct"/>
            <w:vAlign w:val="center"/>
            <w:hideMark/>
          </w:tcPr>
          <w:p w14:paraId="5317C108"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r>
      <w:tr w:rsidR="00EB3B4C" w:rsidRPr="001076ED" w14:paraId="3EAE3F0C" w14:textId="77777777" w:rsidTr="001076ED">
        <w:trPr>
          <w:trHeight w:val="397"/>
          <w:jc w:val="center"/>
        </w:trPr>
        <w:tc>
          <w:tcPr>
            <w:tcW w:w="841" w:type="pct"/>
            <w:vAlign w:val="center"/>
            <w:hideMark/>
          </w:tcPr>
          <w:p w14:paraId="4BC7AF34"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固定资产当期折旧合计</w:t>
            </w:r>
          </w:p>
        </w:tc>
        <w:tc>
          <w:tcPr>
            <w:tcW w:w="693" w:type="pct"/>
            <w:vAlign w:val="center"/>
            <w:hideMark/>
          </w:tcPr>
          <w:p w14:paraId="4699430B"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147.94</w:t>
            </w:r>
          </w:p>
        </w:tc>
        <w:tc>
          <w:tcPr>
            <w:tcW w:w="693" w:type="pct"/>
            <w:vAlign w:val="center"/>
            <w:hideMark/>
          </w:tcPr>
          <w:p w14:paraId="00ADDF15"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314.87</w:t>
            </w:r>
          </w:p>
        </w:tc>
        <w:tc>
          <w:tcPr>
            <w:tcW w:w="694" w:type="pct"/>
            <w:vAlign w:val="center"/>
            <w:hideMark/>
          </w:tcPr>
          <w:p w14:paraId="2953D331"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3" w:type="pct"/>
            <w:vAlign w:val="center"/>
            <w:hideMark/>
          </w:tcPr>
          <w:p w14:paraId="0FD9B8E0"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3" w:type="pct"/>
            <w:vAlign w:val="center"/>
            <w:hideMark/>
          </w:tcPr>
          <w:p w14:paraId="2E961F96"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4" w:type="pct"/>
            <w:vAlign w:val="center"/>
            <w:hideMark/>
          </w:tcPr>
          <w:p w14:paraId="50469425"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r>
    </w:tbl>
    <w:p w14:paraId="3DB58B3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78AAD7B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对于固定资产的资本性支出包括扩张资本性支出及更新资本性支出。</w:t>
      </w:r>
    </w:p>
    <w:p w14:paraId="4D2217F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扩张性资本支出主要为满足未来业务发展需求，标的公司预计将于</w:t>
      </w:r>
      <w:r w:rsidRPr="00DA3766">
        <w:rPr>
          <w:rFonts w:ascii="Times New Roman" w:hAnsi="Times New Roman" w:cs="Times New Roman"/>
        </w:rPr>
        <w:t>2026</w:t>
      </w:r>
      <w:r w:rsidRPr="00DA3766">
        <w:rPr>
          <w:rFonts w:ascii="Times New Roman" w:hAnsi="Times New Roman" w:cs="Times New Roman"/>
        </w:rPr>
        <w:t>年至</w:t>
      </w:r>
      <w:r w:rsidRPr="00DA3766">
        <w:rPr>
          <w:rFonts w:ascii="Times New Roman" w:hAnsi="Times New Roman" w:cs="Times New Roman"/>
        </w:rPr>
        <w:t>2027</w:t>
      </w:r>
      <w:r w:rsidRPr="00DA3766">
        <w:rPr>
          <w:rFonts w:ascii="Times New Roman" w:hAnsi="Times New Roman" w:cs="Times New Roman"/>
        </w:rPr>
        <w:t>年投入共计</w:t>
      </w:r>
      <w:r w:rsidRPr="00DA3766">
        <w:rPr>
          <w:rFonts w:ascii="Times New Roman" w:hAnsi="Times New Roman" w:cs="Times New Roman"/>
        </w:rPr>
        <w:t>100</w:t>
      </w:r>
      <w:r w:rsidRPr="00DA3766">
        <w:rPr>
          <w:rFonts w:ascii="Times New Roman" w:hAnsi="Times New Roman" w:cs="Times New Roman"/>
        </w:rPr>
        <w:t>万元，用于购置服务器、计算机等办公及经营所需设备。</w:t>
      </w:r>
    </w:p>
    <w:p w14:paraId="2FFE371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更新性资本支出主要用于维持日常经营所需的设备更新。本次评估综合考虑了现有设备的成新率、前述新增设备的投入，在预测期内，标的公司以</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7-12</w:t>
      </w:r>
      <w:r w:rsidRPr="00DA3766">
        <w:rPr>
          <w:rFonts w:ascii="Times New Roman" w:hAnsi="Times New Roman" w:cs="Times New Roman"/>
        </w:rPr>
        <w:t>月及</w:t>
      </w:r>
      <w:r w:rsidRPr="00DA3766">
        <w:rPr>
          <w:rFonts w:ascii="Times New Roman" w:hAnsi="Times New Roman" w:cs="Times New Roman"/>
        </w:rPr>
        <w:t>2026-2029</w:t>
      </w:r>
      <w:r w:rsidRPr="00DA3766">
        <w:rPr>
          <w:rFonts w:ascii="Times New Roman" w:hAnsi="Times New Roman" w:cs="Times New Roman"/>
        </w:rPr>
        <w:t>年各年度折旧金额的</w:t>
      </w:r>
      <w:r w:rsidRPr="00DA3766">
        <w:rPr>
          <w:rFonts w:ascii="Times New Roman" w:hAnsi="Times New Roman" w:cs="Times New Roman"/>
        </w:rPr>
        <w:t>50%</w:t>
      </w:r>
      <w:r w:rsidRPr="00DA3766">
        <w:rPr>
          <w:rFonts w:ascii="Times New Roman" w:hAnsi="Times New Roman" w:cs="Times New Roman"/>
        </w:rPr>
        <w:t>作为该部分支出的估算基础。自</w:t>
      </w:r>
      <w:r w:rsidRPr="00DA3766">
        <w:rPr>
          <w:rFonts w:ascii="Times New Roman" w:hAnsi="Times New Roman" w:cs="Times New Roman"/>
        </w:rPr>
        <w:t>2030</w:t>
      </w:r>
      <w:r w:rsidRPr="00DA3766">
        <w:rPr>
          <w:rFonts w:ascii="Times New Roman" w:hAnsi="Times New Roman" w:cs="Times New Roman"/>
        </w:rPr>
        <w:t>年起进入永续期，更新性资本支出将按当年折旧金额的</w:t>
      </w:r>
      <w:r w:rsidRPr="00DA3766">
        <w:rPr>
          <w:rFonts w:ascii="Times New Roman" w:hAnsi="Times New Roman" w:cs="Times New Roman"/>
        </w:rPr>
        <w:t>100%</w:t>
      </w:r>
      <w:r w:rsidRPr="00DA3766">
        <w:rPr>
          <w:rFonts w:ascii="Times New Roman" w:hAnsi="Times New Roman" w:cs="Times New Roman"/>
        </w:rPr>
        <w:t>进行预测，以保障标的公司持续经营所需的设备更新与资产维护。</w:t>
      </w:r>
    </w:p>
    <w:p w14:paraId="46938D4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固定资产资本性支出如下：</w:t>
      </w:r>
    </w:p>
    <w:p w14:paraId="25A07BB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025"/>
        <w:gridCol w:w="1025"/>
        <w:gridCol w:w="1026"/>
        <w:gridCol w:w="1025"/>
        <w:gridCol w:w="1025"/>
        <w:gridCol w:w="1026"/>
      </w:tblGrid>
      <w:tr w:rsidR="00EB3B4C" w:rsidRPr="00DA3766" w14:paraId="40482099" w14:textId="77777777" w:rsidTr="001076ED">
        <w:trPr>
          <w:trHeight w:val="397"/>
          <w:tblHeader/>
          <w:jc w:val="center"/>
        </w:trPr>
        <w:tc>
          <w:tcPr>
            <w:tcW w:w="2376" w:type="dxa"/>
            <w:vAlign w:val="center"/>
            <w:hideMark/>
          </w:tcPr>
          <w:p w14:paraId="18B6226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1025" w:type="dxa"/>
            <w:vAlign w:val="center"/>
            <w:hideMark/>
          </w:tcPr>
          <w:p w14:paraId="1E52688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1025" w:type="dxa"/>
            <w:vAlign w:val="center"/>
            <w:hideMark/>
          </w:tcPr>
          <w:p w14:paraId="5A80520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1026" w:type="dxa"/>
            <w:vAlign w:val="center"/>
            <w:hideMark/>
          </w:tcPr>
          <w:p w14:paraId="07D82B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1025" w:type="dxa"/>
            <w:vAlign w:val="center"/>
            <w:hideMark/>
          </w:tcPr>
          <w:p w14:paraId="0B065C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1025" w:type="dxa"/>
            <w:vAlign w:val="center"/>
            <w:hideMark/>
          </w:tcPr>
          <w:p w14:paraId="0E2794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1026" w:type="dxa"/>
            <w:vAlign w:val="center"/>
            <w:hideMark/>
          </w:tcPr>
          <w:p w14:paraId="1F70AA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286FDE0" w14:textId="77777777" w:rsidTr="001076ED">
        <w:trPr>
          <w:trHeight w:val="397"/>
          <w:jc w:val="center"/>
        </w:trPr>
        <w:tc>
          <w:tcPr>
            <w:tcW w:w="2376" w:type="dxa"/>
            <w:vAlign w:val="center"/>
            <w:hideMark/>
          </w:tcPr>
          <w:p w14:paraId="2A175C1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设备类当期折旧</w:t>
            </w:r>
          </w:p>
        </w:tc>
        <w:tc>
          <w:tcPr>
            <w:tcW w:w="1025" w:type="dxa"/>
            <w:vAlign w:val="center"/>
            <w:hideMark/>
          </w:tcPr>
          <w:p w14:paraId="5D355F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147.94</w:t>
            </w:r>
          </w:p>
        </w:tc>
        <w:tc>
          <w:tcPr>
            <w:tcW w:w="1025" w:type="dxa"/>
            <w:vAlign w:val="center"/>
            <w:hideMark/>
          </w:tcPr>
          <w:p w14:paraId="639B0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314.87</w:t>
            </w:r>
          </w:p>
        </w:tc>
        <w:tc>
          <w:tcPr>
            <w:tcW w:w="1026" w:type="dxa"/>
            <w:vAlign w:val="center"/>
            <w:hideMark/>
          </w:tcPr>
          <w:p w14:paraId="4D6F52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5" w:type="dxa"/>
            <w:vAlign w:val="center"/>
            <w:hideMark/>
          </w:tcPr>
          <w:p w14:paraId="42AD29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5" w:type="dxa"/>
            <w:vAlign w:val="center"/>
            <w:hideMark/>
          </w:tcPr>
          <w:p w14:paraId="08108D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6" w:type="dxa"/>
            <w:vAlign w:val="center"/>
            <w:hideMark/>
          </w:tcPr>
          <w:p w14:paraId="7E028A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r w:rsidR="00EB3B4C" w:rsidRPr="00DA3766" w14:paraId="168DE8D9" w14:textId="77777777" w:rsidTr="001076ED">
        <w:trPr>
          <w:trHeight w:val="397"/>
          <w:jc w:val="center"/>
        </w:trPr>
        <w:tc>
          <w:tcPr>
            <w:tcW w:w="2376" w:type="dxa"/>
            <w:vAlign w:val="center"/>
            <w:hideMark/>
          </w:tcPr>
          <w:p w14:paraId="4FC663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折旧资金用于更新性资本性支出的比例</w:t>
            </w:r>
          </w:p>
        </w:tc>
        <w:tc>
          <w:tcPr>
            <w:tcW w:w="1025" w:type="dxa"/>
            <w:vAlign w:val="center"/>
            <w:hideMark/>
          </w:tcPr>
          <w:p w14:paraId="08F538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428524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6" w:type="dxa"/>
            <w:vAlign w:val="center"/>
            <w:hideMark/>
          </w:tcPr>
          <w:p w14:paraId="08C6A3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4771DC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761532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6" w:type="dxa"/>
            <w:vAlign w:val="center"/>
            <w:hideMark/>
          </w:tcPr>
          <w:p w14:paraId="263692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0AE33BA9" w14:textId="77777777" w:rsidTr="001076ED">
        <w:trPr>
          <w:trHeight w:val="397"/>
          <w:jc w:val="center"/>
        </w:trPr>
        <w:tc>
          <w:tcPr>
            <w:tcW w:w="2376" w:type="dxa"/>
            <w:vAlign w:val="center"/>
          </w:tcPr>
          <w:p w14:paraId="5D2A84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1025" w:type="dxa"/>
            <w:vAlign w:val="center"/>
          </w:tcPr>
          <w:p w14:paraId="432741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73.97</w:t>
            </w:r>
          </w:p>
        </w:tc>
        <w:tc>
          <w:tcPr>
            <w:tcW w:w="1025" w:type="dxa"/>
            <w:vAlign w:val="center"/>
          </w:tcPr>
          <w:p w14:paraId="53FF5D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157.44</w:t>
            </w:r>
          </w:p>
        </w:tc>
        <w:tc>
          <w:tcPr>
            <w:tcW w:w="1026" w:type="dxa"/>
            <w:vAlign w:val="center"/>
          </w:tcPr>
          <w:p w14:paraId="06C1B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4F951D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269921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6" w:type="dxa"/>
            <w:vAlign w:val="center"/>
          </w:tcPr>
          <w:p w14:paraId="5BBA08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r w:rsidR="00EB3B4C" w:rsidRPr="00DA3766" w14:paraId="6A7B25AB" w14:textId="77777777" w:rsidTr="001076ED">
        <w:trPr>
          <w:trHeight w:val="397"/>
          <w:jc w:val="center"/>
        </w:trPr>
        <w:tc>
          <w:tcPr>
            <w:tcW w:w="2376" w:type="dxa"/>
            <w:vAlign w:val="center"/>
            <w:hideMark/>
          </w:tcPr>
          <w:p w14:paraId="4A747CF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扩张性资本性支出金额</w:t>
            </w:r>
          </w:p>
        </w:tc>
        <w:tc>
          <w:tcPr>
            <w:tcW w:w="1025" w:type="dxa"/>
            <w:vAlign w:val="center"/>
            <w:hideMark/>
          </w:tcPr>
          <w:p w14:paraId="71EBD1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5" w:type="dxa"/>
            <w:vAlign w:val="center"/>
            <w:hideMark/>
          </w:tcPr>
          <w:p w14:paraId="7ECD07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100.00</w:t>
            </w:r>
          </w:p>
        </w:tc>
        <w:tc>
          <w:tcPr>
            <w:tcW w:w="1026" w:type="dxa"/>
            <w:vAlign w:val="center"/>
            <w:hideMark/>
          </w:tcPr>
          <w:p w14:paraId="1AA884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100.00</w:t>
            </w:r>
          </w:p>
        </w:tc>
        <w:tc>
          <w:tcPr>
            <w:tcW w:w="1025" w:type="dxa"/>
            <w:vAlign w:val="center"/>
            <w:hideMark/>
          </w:tcPr>
          <w:p w14:paraId="4DE52E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5" w:type="dxa"/>
            <w:vAlign w:val="center"/>
            <w:hideMark/>
          </w:tcPr>
          <w:p w14:paraId="6C448C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6" w:type="dxa"/>
            <w:vAlign w:val="center"/>
            <w:hideMark/>
          </w:tcPr>
          <w:p w14:paraId="1CCC73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32278CFC" w14:textId="77777777" w:rsidTr="001076ED">
        <w:trPr>
          <w:trHeight w:val="397"/>
          <w:jc w:val="center"/>
        </w:trPr>
        <w:tc>
          <w:tcPr>
            <w:tcW w:w="2376" w:type="dxa"/>
            <w:vAlign w:val="center"/>
          </w:tcPr>
          <w:p w14:paraId="11610BB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设备类资本性支出合计</w:t>
            </w:r>
          </w:p>
        </w:tc>
        <w:tc>
          <w:tcPr>
            <w:tcW w:w="1025" w:type="dxa"/>
            <w:vAlign w:val="center"/>
          </w:tcPr>
          <w:p w14:paraId="530AD8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73.97</w:t>
            </w:r>
          </w:p>
        </w:tc>
        <w:tc>
          <w:tcPr>
            <w:tcW w:w="1025" w:type="dxa"/>
            <w:vAlign w:val="center"/>
          </w:tcPr>
          <w:p w14:paraId="622168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257.44</w:t>
            </w:r>
          </w:p>
        </w:tc>
        <w:tc>
          <w:tcPr>
            <w:tcW w:w="1026" w:type="dxa"/>
            <w:vAlign w:val="center"/>
          </w:tcPr>
          <w:p w14:paraId="36A8EB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266.94</w:t>
            </w:r>
          </w:p>
        </w:tc>
        <w:tc>
          <w:tcPr>
            <w:tcW w:w="1025" w:type="dxa"/>
            <w:vAlign w:val="center"/>
          </w:tcPr>
          <w:p w14:paraId="094CBF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606658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6" w:type="dxa"/>
            <w:vAlign w:val="center"/>
          </w:tcPr>
          <w:p w14:paraId="516BDD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bl>
    <w:p w14:paraId="32585EC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综上，上述预测基于未来业务发展需求、现有资产成新率及资产更新需求综合确定，具备合理性。</w:t>
      </w:r>
    </w:p>
    <w:p w14:paraId="03392A8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）无形资产</w:t>
      </w:r>
    </w:p>
    <w:p w14:paraId="43221B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）无形资产摊销</w:t>
      </w:r>
    </w:p>
    <w:p w14:paraId="0E82BA8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143"/>
        <w:gridCol w:w="1143"/>
        <w:gridCol w:w="1144"/>
        <w:gridCol w:w="1143"/>
        <w:gridCol w:w="1143"/>
        <w:gridCol w:w="1144"/>
      </w:tblGrid>
      <w:tr w:rsidR="00EB3B4C" w:rsidRPr="00DA3766" w14:paraId="6512636B" w14:textId="77777777" w:rsidTr="001076ED">
        <w:trPr>
          <w:trHeight w:val="397"/>
          <w:tblHeader/>
          <w:jc w:val="center"/>
        </w:trPr>
        <w:tc>
          <w:tcPr>
            <w:tcW w:w="978" w:type="pct"/>
            <w:vAlign w:val="center"/>
            <w:hideMark/>
          </w:tcPr>
          <w:p w14:paraId="483BAC8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70" w:type="pct"/>
            <w:vAlign w:val="center"/>
            <w:hideMark/>
          </w:tcPr>
          <w:p w14:paraId="3456BA2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70" w:type="pct"/>
            <w:vAlign w:val="center"/>
            <w:hideMark/>
          </w:tcPr>
          <w:p w14:paraId="7E30D8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71" w:type="pct"/>
            <w:vAlign w:val="center"/>
            <w:hideMark/>
          </w:tcPr>
          <w:p w14:paraId="32EF121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70" w:type="pct"/>
            <w:vAlign w:val="center"/>
            <w:hideMark/>
          </w:tcPr>
          <w:p w14:paraId="18953FB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70" w:type="pct"/>
            <w:vAlign w:val="center"/>
            <w:hideMark/>
          </w:tcPr>
          <w:p w14:paraId="30BB118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71" w:type="pct"/>
            <w:vAlign w:val="center"/>
            <w:hideMark/>
          </w:tcPr>
          <w:p w14:paraId="139C0F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2DC3F365" w14:textId="77777777" w:rsidTr="001076ED">
        <w:trPr>
          <w:trHeight w:val="397"/>
          <w:jc w:val="center"/>
        </w:trPr>
        <w:tc>
          <w:tcPr>
            <w:tcW w:w="978" w:type="pct"/>
            <w:vAlign w:val="center"/>
            <w:hideMark/>
          </w:tcPr>
          <w:p w14:paraId="0D7CFE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无形资产账面原值合计</w:t>
            </w:r>
          </w:p>
        </w:tc>
        <w:tc>
          <w:tcPr>
            <w:tcW w:w="670" w:type="pct"/>
            <w:vAlign w:val="center"/>
            <w:hideMark/>
          </w:tcPr>
          <w:p w14:paraId="0F3F2D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05B45C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1" w:type="pct"/>
            <w:vAlign w:val="center"/>
            <w:hideMark/>
          </w:tcPr>
          <w:p w14:paraId="735FCF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3DB82F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5E0FC0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1" w:type="pct"/>
            <w:vAlign w:val="center"/>
            <w:hideMark/>
          </w:tcPr>
          <w:p w14:paraId="1D5A56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r>
      <w:tr w:rsidR="00EB3B4C" w:rsidRPr="00DA3766" w14:paraId="0E7FF29B" w14:textId="77777777" w:rsidTr="001076ED">
        <w:trPr>
          <w:trHeight w:val="397"/>
          <w:jc w:val="center"/>
        </w:trPr>
        <w:tc>
          <w:tcPr>
            <w:tcW w:w="978" w:type="pct"/>
            <w:vAlign w:val="center"/>
            <w:hideMark/>
          </w:tcPr>
          <w:p w14:paraId="515D349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摊销年限</w:t>
            </w:r>
          </w:p>
        </w:tc>
        <w:tc>
          <w:tcPr>
            <w:tcW w:w="670" w:type="pct"/>
            <w:vAlign w:val="center"/>
            <w:hideMark/>
          </w:tcPr>
          <w:p w14:paraId="7FB883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64A5AA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1" w:type="pct"/>
            <w:vAlign w:val="center"/>
            <w:hideMark/>
          </w:tcPr>
          <w:p w14:paraId="428775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61A27E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31CA2B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1" w:type="pct"/>
            <w:vAlign w:val="center"/>
            <w:hideMark/>
          </w:tcPr>
          <w:p w14:paraId="33EC62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r>
      <w:tr w:rsidR="00EB3B4C" w:rsidRPr="00DA3766" w14:paraId="617FD137" w14:textId="77777777" w:rsidTr="001076ED">
        <w:trPr>
          <w:trHeight w:val="397"/>
          <w:jc w:val="center"/>
        </w:trPr>
        <w:tc>
          <w:tcPr>
            <w:tcW w:w="978" w:type="pct"/>
            <w:vAlign w:val="center"/>
            <w:hideMark/>
          </w:tcPr>
          <w:p w14:paraId="5D8AE1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无形资产当期摊销合计</w:t>
            </w:r>
          </w:p>
        </w:tc>
        <w:tc>
          <w:tcPr>
            <w:tcW w:w="670" w:type="pct"/>
            <w:vAlign w:val="center"/>
            <w:hideMark/>
          </w:tcPr>
          <w:p w14:paraId="33E69BC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70" w:type="pct"/>
            <w:vAlign w:val="center"/>
            <w:hideMark/>
          </w:tcPr>
          <w:p w14:paraId="30F33F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1" w:type="pct"/>
            <w:vAlign w:val="center"/>
            <w:hideMark/>
          </w:tcPr>
          <w:p w14:paraId="7ECE03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0" w:type="pct"/>
            <w:vAlign w:val="center"/>
            <w:hideMark/>
          </w:tcPr>
          <w:p w14:paraId="4067D3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0" w:type="pct"/>
            <w:vAlign w:val="center"/>
            <w:hideMark/>
          </w:tcPr>
          <w:p w14:paraId="6A1D7B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1" w:type="pct"/>
            <w:vAlign w:val="center"/>
            <w:hideMark/>
          </w:tcPr>
          <w:p w14:paraId="08207D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bl>
    <w:p w14:paraId="7F8A1B5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无形资产账面原值合计</w:t>
      </w:r>
      <w:r w:rsidRPr="00DA3766">
        <w:rPr>
          <w:rFonts w:ascii="Times New Roman" w:hAnsi="Times New Roman" w:cs="Times New Roman"/>
        </w:rPr>
        <w:t>3,044.67</w:t>
      </w:r>
      <w:r w:rsidRPr="00DA3766">
        <w:rPr>
          <w:rFonts w:ascii="Times New Roman" w:hAnsi="Times New Roman" w:cs="Times New Roman"/>
        </w:rPr>
        <w:t>万元，根据审计报告显示，无形资产摊销年限为</w:t>
      </w:r>
      <w:r w:rsidRPr="00DA3766">
        <w:rPr>
          <w:rFonts w:ascii="Times New Roman" w:hAnsi="Times New Roman" w:cs="Times New Roman"/>
        </w:rPr>
        <w:t>5</w:t>
      </w:r>
      <w:r w:rsidRPr="00DA3766">
        <w:rPr>
          <w:rFonts w:ascii="Times New Roman" w:hAnsi="Times New Roman" w:cs="Times New Roman"/>
        </w:rPr>
        <w:t>年或</w:t>
      </w:r>
      <w:r w:rsidRPr="00DA3766">
        <w:rPr>
          <w:rFonts w:ascii="Times New Roman" w:hAnsi="Times New Roman" w:cs="Times New Roman"/>
        </w:rPr>
        <w:t>10</w:t>
      </w:r>
      <w:r w:rsidRPr="00DA3766">
        <w:rPr>
          <w:rFonts w:ascii="Times New Roman" w:hAnsi="Times New Roman" w:cs="Times New Roman"/>
        </w:rPr>
        <w:t>年，对于一般软件按</w:t>
      </w:r>
      <w:r w:rsidRPr="00DA3766">
        <w:rPr>
          <w:rFonts w:ascii="Times New Roman" w:hAnsi="Times New Roman" w:cs="Times New Roman"/>
        </w:rPr>
        <w:t>5</w:t>
      </w:r>
      <w:r w:rsidRPr="00DA3766">
        <w:rPr>
          <w:rFonts w:ascii="Times New Roman" w:hAnsi="Times New Roman" w:cs="Times New Roman"/>
        </w:rPr>
        <w:t>年摊销，对于外购技术按</w:t>
      </w:r>
      <w:r w:rsidRPr="00DA3766">
        <w:rPr>
          <w:rFonts w:ascii="Times New Roman" w:hAnsi="Times New Roman" w:cs="Times New Roman"/>
        </w:rPr>
        <w:t>10</w:t>
      </w:r>
      <w:r w:rsidRPr="00DA3766">
        <w:rPr>
          <w:rFonts w:ascii="Times New Roman" w:hAnsi="Times New Roman" w:cs="Times New Roman"/>
        </w:rPr>
        <w:t>年摊销。本次评估师基于上述原则测算各类无形资产的摊销金额。</w:t>
      </w:r>
    </w:p>
    <w:p w14:paraId="7048F70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3A39E0E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对于无形资产的资本性支出，由于标的公司目前的技术储备丰富，且持续投入高额研发，故暂无购入外部技术进行补充的需要。因此本次评估仅考虑无形资产更新性资本性支出。预测期内按</w:t>
      </w:r>
      <w:r w:rsidRPr="00DA3766">
        <w:rPr>
          <w:rFonts w:ascii="Times New Roman" w:hAnsi="Times New Roman" w:cs="Times New Roman"/>
        </w:rPr>
        <w:t>100%</w:t>
      </w:r>
      <w:r w:rsidRPr="00DA3766">
        <w:rPr>
          <w:rFonts w:ascii="Times New Roman" w:hAnsi="Times New Roman" w:cs="Times New Roman"/>
        </w:rPr>
        <w:t>的当期摊销，无形资产资本性支出预测如下：</w:t>
      </w:r>
    </w:p>
    <w:p w14:paraId="597690AE"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025"/>
        <w:gridCol w:w="1027"/>
        <w:gridCol w:w="1025"/>
        <w:gridCol w:w="1027"/>
        <w:gridCol w:w="1025"/>
        <w:gridCol w:w="1025"/>
      </w:tblGrid>
      <w:tr w:rsidR="00EB3B4C" w:rsidRPr="00DA3766" w14:paraId="02AF02D9" w14:textId="77777777" w:rsidTr="001076ED">
        <w:trPr>
          <w:trHeight w:val="397"/>
          <w:tblHeader/>
          <w:jc w:val="center"/>
        </w:trPr>
        <w:tc>
          <w:tcPr>
            <w:tcW w:w="1392" w:type="pct"/>
            <w:vAlign w:val="center"/>
            <w:hideMark/>
          </w:tcPr>
          <w:p w14:paraId="34993FF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01" w:type="pct"/>
            <w:vAlign w:val="center"/>
            <w:hideMark/>
          </w:tcPr>
          <w:p w14:paraId="7638085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02" w:type="pct"/>
            <w:vAlign w:val="center"/>
            <w:hideMark/>
          </w:tcPr>
          <w:p w14:paraId="5EA536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01" w:type="pct"/>
            <w:vAlign w:val="center"/>
            <w:hideMark/>
          </w:tcPr>
          <w:p w14:paraId="0334CCC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02" w:type="pct"/>
            <w:vAlign w:val="center"/>
            <w:hideMark/>
          </w:tcPr>
          <w:p w14:paraId="1BA030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01" w:type="pct"/>
            <w:vAlign w:val="center"/>
            <w:hideMark/>
          </w:tcPr>
          <w:p w14:paraId="6B79376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02" w:type="pct"/>
            <w:vAlign w:val="center"/>
            <w:hideMark/>
          </w:tcPr>
          <w:p w14:paraId="244EEB8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56BC16FC" w14:textId="77777777" w:rsidTr="001076ED">
        <w:trPr>
          <w:trHeight w:val="397"/>
          <w:jc w:val="center"/>
        </w:trPr>
        <w:tc>
          <w:tcPr>
            <w:tcW w:w="1392" w:type="pct"/>
            <w:vAlign w:val="center"/>
            <w:hideMark/>
          </w:tcPr>
          <w:p w14:paraId="0F0D00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无形资产当期摊销</w:t>
            </w:r>
          </w:p>
        </w:tc>
        <w:tc>
          <w:tcPr>
            <w:tcW w:w="601" w:type="pct"/>
            <w:vAlign w:val="center"/>
            <w:hideMark/>
          </w:tcPr>
          <w:p w14:paraId="00C69A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02" w:type="pct"/>
            <w:vAlign w:val="center"/>
            <w:hideMark/>
          </w:tcPr>
          <w:p w14:paraId="5E29E8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hideMark/>
          </w:tcPr>
          <w:p w14:paraId="08D87C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hideMark/>
          </w:tcPr>
          <w:p w14:paraId="742EE6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hideMark/>
          </w:tcPr>
          <w:p w14:paraId="46521A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hideMark/>
          </w:tcPr>
          <w:p w14:paraId="56CECD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r w:rsidR="00EB3B4C" w:rsidRPr="00DA3766" w14:paraId="31950AC3" w14:textId="77777777" w:rsidTr="001076ED">
        <w:trPr>
          <w:trHeight w:val="397"/>
          <w:jc w:val="center"/>
        </w:trPr>
        <w:tc>
          <w:tcPr>
            <w:tcW w:w="1392" w:type="pct"/>
            <w:vAlign w:val="center"/>
            <w:hideMark/>
          </w:tcPr>
          <w:p w14:paraId="08CAA5E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摊销资金用于更新性资本性支出的比例</w:t>
            </w:r>
          </w:p>
        </w:tc>
        <w:tc>
          <w:tcPr>
            <w:tcW w:w="601" w:type="pct"/>
            <w:vAlign w:val="center"/>
            <w:hideMark/>
          </w:tcPr>
          <w:p w14:paraId="614A64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7DFF8D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4FDC78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5817C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23411A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13A4BA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47A0F923" w14:textId="77777777" w:rsidTr="001076ED">
        <w:trPr>
          <w:trHeight w:val="397"/>
          <w:jc w:val="center"/>
        </w:trPr>
        <w:tc>
          <w:tcPr>
            <w:tcW w:w="1392" w:type="pct"/>
            <w:vAlign w:val="center"/>
          </w:tcPr>
          <w:p w14:paraId="3DCAB1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601" w:type="pct"/>
            <w:vAlign w:val="center"/>
          </w:tcPr>
          <w:p w14:paraId="2403CE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02" w:type="pct"/>
            <w:vAlign w:val="center"/>
          </w:tcPr>
          <w:p w14:paraId="4118AC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tcPr>
          <w:p w14:paraId="6A96EA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tcPr>
          <w:p w14:paraId="3A9ECE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tcPr>
          <w:p w14:paraId="796582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tcPr>
          <w:p w14:paraId="464106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bl>
    <w:p w14:paraId="058296A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）长期待摊费用</w:t>
      </w:r>
    </w:p>
    <w:p w14:paraId="7DD9229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）长期待摊摊销</w:t>
      </w:r>
    </w:p>
    <w:p w14:paraId="0E119424" w14:textId="77777777" w:rsidR="00EB3B4C" w:rsidRPr="00DA3766" w:rsidRDefault="00EB3B4C" w:rsidP="00EB3B4C">
      <w:pPr>
        <w:keepNext/>
        <w:spacing w:beforeLines="0" w:before="0" w:afterLines="0" w:after="0" w:line="240" w:lineRule="auto"/>
        <w:ind w:right="10710" w:firstLineChars="0" w:firstLine="0"/>
        <w:jc w:val="right"/>
        <w:rPr>
          <w:rFonts w:ascii="Times New Roman" w:hAnsi="Times New Roman" w:cs="Times New Roman"/>
          <w:sz w:val="21"/>
        </w:rPr>
      </w:pPr>
    </w:p>
    <w:p w14:paraId="536CD80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1269"/>
        <w:gridCol w:w="951"/>
        <w:gridCol w:w="951"/>
        <w:gridCol w:w="951"/>
        <w:gridCol w:w="951"/>
        <w:gridCol w:w="1210"/>
      </w:tblGrid>
      <w:tr w:rsidR="00EB3B4C" w:rsidRPr="00DA3766" w14:paraId="69316DDB" w14:textId="77777777" w:rsidTr="00DA3766">
        <w:trPr>
          <w:trHeight w:val="397"/>
          <w:tblHeader/>
          <w:jc w:val="center"/>
        </w:trPr>
        <w:tc>
          <w:tcPr>
            <w:tcW w:w="1397" w:type="pct"/>
            <w:vAlign w:val="center"/>
            <w:hideMark/>
          </w:tcPr>
          <w:p w14:paraId="11A98D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825" w:type="pct"/>
            <w:vAlign w:val="center"/>
            <w:hideMark/>
          </w:tcPr>
          <w:p w14:paraId="3093BC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497" w:type="pct"/>
            <w:vAlign w:val="center"/>
            <w:hideMark/>
          </w:tcPr>
          <w:p w14:paraId="2EC3AE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497" w:type="pct"/>
            <w:vAlign w:val="center"/>
            <w:hideMark/>
          </w:tcPr>
          <w:p w14:paraId="23FF06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497" w:type="pct"/>
            <w:vAlign w:val="center"/>
            <w:hideMark/>
          </w:tcPr>
          <w:p w14:paraId="09A8BE1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497" w:type="pct"/>
            <w:vAlign w:val="center"/>
            <w:hideMark/>
          </w:tcPr>
          <w:p w14:paraId="2990E8D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790" w:type="pct"/>
            <w:vAlign w:val="center"/>
            <w:hideMark/>
          </w:tcPr>
          <w:p w14:paraId="37418F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1D42B0A8" w14:textId="77777777" w:rsidTr="00DA3766">
        <w:trPr>
          <w:trHeight w:val="397"/>
          <w:jc w:val="center"/>
        </w:trPr>
        <w:tc>
          <w:tcPr>
            <w:tcW w:w="1397" w:type="pct"/>
            <w:vAlign w:val="center"/>
            <w:hideMark/>
          </w:tcPr>
          <w:p w14:paraId="285069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长期待摊费用账面原值合计</w:t>
            </w:r>
          </w:p>
        </w:tc>
        <w:tc>
          <w:tcPr>
            <w:tcW w:w="825" w:type="pct"/>
            <w:vAlign w:val="center"/>
            <w:hideMark/>
          </w:tcPr>
          <w:p w14:paraId="2FEBAE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7F9A4E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5DCF55F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76219F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02F86D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790" w:type="pct"/>
            <w:vAlign w:val="center"/>
            <w:hideMark/>
          </w:tcPr>
          <w:p w14:paraId="0FA08C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r>
      <w:tr w:rsidR="00EB3B4C" w:rsidRPr="00DA3766" w14:paraId="7C092E14" w14:textId="77777777" w:rsidTr="00DA3766">
        <w:trPr>
          <w:trHeight w:val="397"/>
          <w:jc w:val="center"/>
        </w:trPr>
        <w:tc>
          <w:tcPr>
            <w:tcW w:w="1397" w:type="pct"/>
            <w:vAlign w:val="center"/>
            <w:hideMark/>
          </w:tcPr>
          <w:p w14:paraId="227FF0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摊销年限</w:t>
            </w:r>
          </w:p>
        </w:tc>
        <w:tc>
          <w:tcPr>
            <w:tcW w:w="825" w:type="pct"/>
            <w:vAlign w:val="center"/>
            <w:hideMark/>
          </w:tcPr>
          <w:p w14:paraId="2140056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301CB0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579A45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545AC0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388994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790" w:type="pct"/>
            <w:vAlign w:val="center"/>
            <w:hideMark/>
          </w:tcPr>
          <w:p w14:paraId="110807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r>
      <w:tr w:rsidR="00EB3B4C" w:rsidRPr="00DA3766" w14:paraId="551ED1A0" w14:textId="77777777" w:rsidTr="00DA3766">
        <w:trPr>
          <w:trHeight w:val="397"/>
          <w:jc w:val="center"/>
        </w:trPr>
        <w:tc>
          <w:tcPr>
            <w:tcW w:w="1397" w:type="pct"/>
            <w:vAlign w:val="center"/>
            <w:hideMark/>
          </w:tcPr>
          <w:p w14:paraId="0739AD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长期待摊费用当期摊销合计</w:t>
            </w:r>
          </w:p>
        </w:tc>
        <w:tc>
          <w:tcPr>
            <w:tcW w:w="825" w:type="pct"/>
            <w:vAlign w:val="center"/>
            <w:hideMark/>
          </w:tcPr>
          <w:p w14:paraId="4ABFFC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219.09</w:t>
            </w:r>
          </w:p>
        </w:tc>
        <w:tc>
          <w:tcPr>
            <w:tcW w:w="497" w:type="pct"/>
            <w:vAlign w:val="center"/>
            <w:hideMark/>
          </w:tcPr>
          <w:p w14:paraId="42375D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611601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243AB9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7BDF1E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790" w:type="pct"/>
            <w:vAlign w:val="center"/>
            <w:hideMark/>
          </w:tcPr>
          <w:p w14:paraId="3992F0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r>
    </w:tbl>
    <w:p w14:paraId="1A5CD84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长期待摊费用账面原值合计</w:t>
      </w:r>
      <w:r w:rsidRPr="00DA3766">
        <w:rPr>
          <w:rFonts w:ascii="Times New Roman" w:hAnsi="Times New Roman" w:cs="Times New Roman"/>
        </w:rPr>
        <w:t>2,190.78</w:t>
      </w:r>
      <w:r w:rsidRPr="00DA3766">
        <w:rPr>
          <w:rFonts w:ascii="Times New Roman" w:hAnsi="Times New Roman" w:cs="Times New Roman"/>
        </w:rPr>
        <w:t>万元，根据审计报告显示，摊销年限为</w:t>
      </w:r>
      <w:r w:rsidRPr="00DA3766">
        <w:rPr>
          <w:rFonts w:ascii="Times New Roman" w:hAnsi="Times New Roman" w:cs="Times New Roman"/>
        </w:rPr>
        <w:t>5</w:t>
      </w:r>
      <w:r w:rsidRPr="00DA3766">
        <w:rPr>
          <w:rFonts w:ascii="Times New Roman" w:hAnsi="Times New Roman" w:cs="Times New Roman"/>
        </w:rPr>
        <w:t>年，本次评估师基于上述原则测算长期待摊费用的预测期各年的摊销金额。</w:t>
      </w:r>
    </w:p>
    <w:p w14:paraId="76E18D2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45F20DC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长期待摊费用的资本性支出，由于标的公司目前的办公场所场地面积充足，可以满足未来新增人员的办公需要，因此预测期内未考虑新增办公场所以及对应装修支出。对于云服务器费用，由于目前在成本中已考虑了部分未来</w:t>
      </w:r>
      <w:r w:rsidRPr="00DA3766">
        <w:rPr>
          <w:rFonts w:ascii="Times New Roman" w:hAnsi="Times New Roman" w:cs="Times New Roman"/>
        </w:rPr>
        <w:t>SaaS</w:t>
      </w:r>
      <w:r w:rsidRPr="00DA3766">
        <w:rPr>
          <w:rFonts w:ascii="Times New Roman" w:hAnsi="Times New Roman" w:cs="Times New Roman"/>
        </w:rPr>
        <w:t>服务需要的云服务器费用，故本次预测期内考虑</w:t>
      </w:r>
      <w:r w:rsidRPr="00DA3766">
        <w:rPr>
          <w:rFonts w:ascii="Times New Roman" w:hAnsi="Times New Roman" w:cs="Times New Roman"/>
        </w:rPr>
        <w:t>50%</w:t>
      </w:r>
      <w:r w:rsidRPr="00DA3766">
        <w:rPr>
          <w:rFonts w:ascii="Times New Roman" w:hAnsi="Times New Roman" w:cs="Times New Roman"/>
        </w:rPr>
        <w:t>的摊销费用作为更新性资本性支出，永续期考虑</w:t>
      </w:r>
      <w:r w:rsidRPr="00DA3766">
        <w:rPr>
          <w:rFonts w:ascii="Times New Roman" w:hAnsi="Times New Roman" w:cs="Times New Roman"/>
        </w:rPr>
        <w:t>100%</w:t>
      </w:r>
      <w:r w:rsidRPr="00DA3766">
        <w:rPr>
          <w:rFonts w:ascii="Times New Roman" w:hAnsi="Times New Roman" w:cs="Times New Roman"/>
        </w:rPr>
        <w:t>的摊销费用作为更新性资本性支出。</w:t>
      </w:r>
    </w:p>
    <w:p w14:paraId="7208677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长期待摊费用预测期资本性支出预测如下：</w:t>
      </w:r>
    </w:p>
    <w:p w14:paraId="4776DD1C"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025"/>
        <w:gridCol w:w="1027"/>
        <w:gridCol w:w="1025"/>
        <w:gridCol w:w="1027"/>
        <w:gridCol w:w="1025"/>
        <w:gridCol w:w="1025"/>
      </w:tblGrid>
      <w:tr w:rsidR="00EB3B4C" w:rsidRPr="00DA3766" w14:paraId="12464758" w14:textId="77777777" w:rsidTr="001076ED">
        <w:trPr>
          <w:trHeight w:val="397"/>
          <w:tblHeader/>
          <w:jc w:val="center"/>
        </w:trPr>
        <w:tc>
          <w:tcPr>
            <w:tcW w:w="1392" w:type="pct"/>
            <w:vAlign w:val="center"/>
            <w:hideMark/>
          </w:tcPr>
          <w:p w14:paraId="360D45B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01" w:type="pct"/>
            <w:vAlign w:val="center"/>
            <w:hideMark/>
          </w:tcPr>
          <w:p w14:paraId="3638C0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02" w:type="pct"/>
            <w:vAlign w:val="center"/>
            <w:hideMark/>
          </w:tcPr>
          <w:p w14:paraId="3A3021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01" w:type="pct"/>
            <w:vAlign w:val="center"/>
            <w:hideMark/>
          </w:tcPr>
          <w:p w14:paraId="638353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02" w:type="pct"/>
            <w:vAlign w:val="center"/>
            <w:hideMark/>
          </w:tcPr>
          <w:p w14:paraId="401F4BD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01" w:type="pct"/>
            <w:vAlign w:val="center"/>
            <w:hideMark/>
          </w:tcPr>
          <w:p w14:paraId="0BAE8BD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02" w:type="pct"/>
            <w:vAlign w:val="center"/>
            <w:hideMark/>
          </w:tcPr>
          <w:p w14:paraId="4238A60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56E65847" w14:textId="77777777" w:rsidTr="001076ED">
        <w:trPr>
          <w:trHeight w:val="397"/>
          <w:jc w:val="center"/>
        </w:trPr>
        <w:tc>
          <w:tcPr>
            <w:tcW w:w="1392" w:type="pct"/>
            <w:vAlign w:val="center"/>
            <w:hideMark/>
          </w:tcPr>
          <w:p w14:paraId="2D2BA48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长期待摊费用当期摊销</w:t>
            </w:r>
          </w:p>
        </w:tc>
        <w:tc>
          <w:tcPr>
            <w:tcW w:w="601" w:type="pct"/>
            <w:vAlign w:val="center"/>
            <w:hideMark/>
          </w:tcPr>
          <w:p w14:paraId="7E54AE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127.01</w:t>
            </w:r>
          </w:p>
        </w:tc>
        <w:tc>
          <w:tcPr>
            <w:tcW w:w="602" w:type="pct"/>
            <w:vAlign w:val="center"/>
            <w:hideMark/>
          </w:tcPr>
          <w:p w14:paraId="11AA14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hideMark/>
          </w:tcPr>
          <w:p w14:paraId="44ED59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hideMark/>
          </w:tcPr>
          <w:p w14:paraId="60816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hideMark/>
          </w:tcPr>
          <w:p w14:paraId="5FF016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hideMark/>
          </w:tcPr>
          <w:p w14:paraId="18A6ED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438.15</w:t>
            </w:r>
          </w:p>
        </w:tc>
      </w:tr>
      <w:tr w:rsidR="00EB3B4C" w:rsidRPr="00DA3766" w14:paraId="39B8DFC7" w14:textId="77777777" w:rsidTr="001076ED">
        <w:trPr>
          <w:trHeight w:val="397"/>
          <w:jc w:val="center"/>
        </w:trPr>
        <w:tc>
          <w:tcPr>
            <w:tcW w:w="1392" w:type="pct"/>
            <w:vAlign w:val="center"/>
            <w:hideMark/>
          </w:tcPr>
          <w:p w14:paraId="5DD56FB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摊销资金用于更新性资本性支出的比例</w:t>
            </w:r>
          </w:p>
        </w:tc>
        <w:tc>
          <w:tcPr>
            <w:tcW w:w="601" w:type="pct"/>
            <w:vAlign w:val="center"/>
            <w:hideMark/>
          </w:tcPr>
          <w:p w14:paraId="602B83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0069D5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773857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478B0F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3CEA3CC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0129C0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162F13DA" w14:textId="77777777" w:rsidTr="001076ED">
        <w:trPr>
          <w:trHeight w:val="397"/>
          <w:jc w:val="center"/>
        </w:trPr>
        <w:tc>
          <w:tcPr>
            <w:tcW w:w="1392" w:type="pct"/>
            <w:vAlign w:val="center"/>
          </w:tcPr>
          <w:p w14:paraId="046DAC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601" w:type="pct"/>
            <w:vAlign w:val="center"/>
          </w:tcPr>
          <w:p w14:paraId="7E746D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127.01</w:t>
            </w:r>
          </w:p>
        </w:tc>
        <w:tc>
          <w:tcPr>
            <w:tcW w:w="602" w:type="pct"/>
            <w:vAlign w:val="center"/>
          </w:tcPr>
          <w:p w14:paraId="539AD3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tcPr>
          <w:p w14:paraId="759F48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tcPr>
          <w:p w14:paraId="7AB4F6F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tcPr>
          <w:p w14:paraId="0B72FF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tcPr>
          <w:p w14:paraId="55C589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438.15</w:t>
            </w:r>
          </w:p>
        </w:tc>
      </w:tr>
    </w:tbl>
    <w:p w14:paraId="27193D2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）折旧与摊销、资本性支出</w:t>
      </w:r>
    </w:p>
    <w:p w14:paraId="0E4AF7E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根据上述测算，预测期折旧与摊销和资本性支出金额情况如下：</w:t>
      </w:r>
    </w:p>
    <w:p w14:paraId="6D15156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048"/>
        <w:gridCol w:w="1049"/>
        <w:gridCol w:w="1049"/>
        <w:gridCol w:w="1049"/>
        <w:gridCol w:w="1049"/>
        <w:gridCol w:w="1049"/>
      </w:tblGrid>
      <w:tr w:rsidR="00EB3B4C" w:rsidRPr="00DA3766" w14:paraId="43D0AEBB" w14:textId="77777777" w:rsidTr="001076ED">
        <w:trPr>
          <w:trHeight w:val="397"/>
          <w:tblHeader/>
          <w:jc w:val="center"/>
        </w:trPr>
        <w:tc>
          <w:tcPr>
            <w:tcW w:w="1310" w:type="pct"/>
            <w:vAlign w:val="center"/>
            <w:hideMark/>
          </w:tcPr>
          <w:p w14:paraId="5CE240D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14" w:type="pct"/>
            <w:vAlign w:val="center"/>
            <w:hideMark/>
          </w:tcPr>
          <w:p w14:paraId="6EDE7C3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15" w:type="pct"/>
            <w:vAlign w:val="center"/>
            <w:hideMark/>
          </w:tcPr>
          <w:p w14:paraId="684FB9A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15" w:type="pct"/>
            <w:vAlign w:val="center"/>
            <w:hideMark/>
          </w:tcPr>
          <w:p w14:paraId="5591D85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15" w:type="pct"/>
            <w:vAlign w:val="center"/>
            <w:hideMark/>
          </w:tcPr>
          <w:p w14:paraId="5726576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15" w:type="pct"/>
            <w:vAlign w:val="center"/>
            <w:hideMark/>
          </w:tcPr>
          <w:p w14:paraId="74F4E32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15" w:type="pct"/>
            <w:vAlign w:val="center"/>
            <w:hideMark/>
          </w:tcPr>
          <w:p w14:paraId="71BB91A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6F8CB77" w14:textId="77777777" w:rsidTr="001076ED">
        <w:trPr>
          <w:trHeight w:val="397"/>
          <w:jc w:val="center"/>
        </w:trPr>
        <w:tc>
          <w:tcPr>
            <w:tcW w:w="1310" w:type="pct"/>
            <w:vAlign w:val="center"/>
            <w:hideMark/>
          </w:tcPr>
          <w:p w14:paraId="37CC12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折旧摊销金额合计</w:t>
            </w:r>
          </w:p>
        </w:tc>
        <w:tc>
          <w:tcPr>
            <w:tcW w:w="614" w:type="pct"/>
            <w:vAlign w:val="center"/>
            <w:hideMark/>
          </w:tcPr>
          <w:p w14:paraId="2AF923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534.95</w:t>
            </w:r>
          </w:p>
        </w:tc>
        <w:tc>
          <w:tcPr>
            <w:tcW w:w="615" w:type="pct"/>
            <w:vAlign w:val="center"/>
            <w:hideMark/>
          </w:tcPr>
          <w:p w14:paraId="32DE47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1,088.84</w:t>
            </w:r>
          </w:p>
        </w:tc>
        <w:tc>
          <w:tcPr>
            <w:tcW w:w="615" w:type="pct"/>
            <w:vAlign w:val="center"/>
            <w:hideMark/>
          </w:tcPr>
          <w:p w14:paraId="1471D0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6D5318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27E311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4D1202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r>
      <w:tr w:rsidR="00EB3B4C" w:rsidRPr="00DA3766" w14:paraId="404A890A" w14:textId="77777777" w:rsidTr="001076ED">
        <w:trPr>
          <w:trHeight w:val="397"/>
          <w:jc w:val="center"/>
        </w:trPr>
        <w:tc>
          <w:tcPr>
            <w:tcW w:w="1310" w:type="pct"/>
            <w:vAlign w:val="center"/>
          </w:tcPr>
          <w:p w14:paraId="51A271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资本性支出金额合计</w:t>
            </w:r>
          </w:p>
        </w:tc>
        <w:tc>
          <w:tcPr>
            <w:tcW w:w="614" w:type="pct"/>
            <w:vAlign w:val="center"/>
          </w:tcPr>
          <w:p w14:paraId="5FF533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368.90</w:t>
            </w:r>
          </w:p>
        </w:tc>
        <w:tc>
          <w:tcPr>
            <w:tcW w:w="615" w:type="pct"/>
            <w:vAlign w:val="center"/>
          </w:tcPr>
          <w:p w14:paraId="5CCEF1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847.26</w:t>
            </w:r>
          </w:p>
        </w:tc>
        <w:tc>
          <w:tcPr>
            <w:tcW w:w="615" w:type="pct"/>
            <w:vAlign w:val="center"/>
          </w:tcPr>
          <w:p w14:paraId="0A151C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856.76</w:t>
            </w:r>
          </w:p>
        </w:tc>
        <w:tc>
          <w:tcPr>
            <w:tcW w:w="615" w:type="pct"/>
            <w:vAlign w:val="center"/>
          </w:tcPr>
          <w:p w14:paraId="66E379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756.76</w:t>
            </w:r>
          </w:p>
        </w:tc>
        <w:tc>
          <w:tcPr>
            <w:tcW w:w="615" w:type="pct"/>
            <w:vAlign w:val="center"/>
          </w:tcPr>
          <w:p w14:paraId="3FC624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756.76</w:t>
            </w:r>
          </w:p>
        </w:tc>
        <w:tc>
          <w:tcPr>
            <w:tcW w:w="615" w:type="pct"/>
            <w:vAlign w:val="center"/>
          </w:tcPr>
          <w:p w14:paraId="2F85EF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r>
    </w:tbl>
    <w:p w14:paraId="06780FA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其中，资本性支出中</w:t>
      </w: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年度略高于</w:t>
      </w:r>
      <w:r w:rsidRPr="00DA3766">
        <w:rPr>
          <w:rFonts w:ascii="Times New Roman" w:hAnsi="Times New Roman" w:cs="Times New Roman"/>
        </w:rPr>
        <w:t>2028</w:t>
      </w:r>
      <w:r w:rsidRPr="00DA3766">
        <w:rPr>
          <w:rFonts w:ascii="Times New Roman" w:hAnsi="Times New Roman" w:cs="Times New Roman"/>
        </w:rPr>
        <w:t>年度及</w:t>
      </w:r>
      <w:r w:rsidRPr="00DA3766">
        <w:rPr>
          <w:rFonts w:ascii="Times New Roman" w:hAnsi="Times New Roman" w:cs="Times New Roman"/>
        </w:rPr>
        <w:t>2029</w:t>
      </w:r>
      <w:r w:rsidRPr="00DA3766">
        <w:rPr>
          <w:rFonts w:ascii="Times New Roman" w:hAnsi="Times New Roman" w:cs="Times New Roman"/>
        </w:rPr>
        <w:t>年度，主要是在</w:t>
      </w: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年年度均考虑了新增设备各</w:t>
      </w:r>
      <w:r w:rsidRPr="00DA3766">
        <w:rPr>
          <w:rFonts w:ascii="Times New Roman" w:hAnsi="Times New Roman" w:cs="Times New Roman"/>
        </w:rPr>
        <w:t>100</w:t>
      </w:r>
      <w:r w:rsidRPr="00DA3766">
        <w:rPr>
          <w:rFonts w:ascii="Times New Roman" w:hAnsi="Times New Roman" w:cs="Times New Roman"/>
        </w:rPr>
        <w:t>万</w:t>
      </w:r>
      <w:r w:rsidRPr="00DA3766">
        <w:rPr>
          <w:rFonts w:ascii="Times New Roman" w:hAnsi="Times New Roman" w:cs="Times New Roman"/>
        </w:rPr>
        <w:t>/</w:t>
      </w:r>
      <w:r w:rsidRPr="00DA3766">
        <w:rPr>
          <w:rFonts w:ascii="Times New Roman" w:hAnsi="Times New Roman" w:cs="Times New Roman"/>
        </w:rPr>
        <w:t>年以满足预测期内业务扩张新增员工及设备配置需要。永续期的折旧摊销与资本性支出金额一致，是为了保证永续期内配置的资产可以满足未来持续使用。</w:t>
      </w:r>
    </w:p>
    <w:p w14:paraId="46FCB33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综上，折旧摊销及资本性支出在预测期内的变动具备合理性。</w:t>
      </w:r>
    </w:p>
    <w:p w14:paraId="6774E886"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、营运资金、溢余资金</w:t>
      </w:r>
    </w:p>
    <w:p w14:paraId="0B0953D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）测算方式</w:t>
      </w:r>
    </w:p>
    <w:p w14:paraId="7FE14B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预测期内，标的资产的营运资金、溢余资金的测算基于以下测算逻辑：</w:t>
      </w:r>
    </w:p>
    <w:p w14:paraId="0117478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营运资本＝最佳货币资金保有量＋存货＋应收款项－应付款项</w:t>
      </w:r>
    </w:p>
    <w:p w14:paraId="7520B37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营运资本增加额＝当期营运资本－上期营运资本</w:t>
      </w:r>
    </w:p>
    <w:p w14:paraId="0292459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w:t>
      </w:r>
    </w:p>
    <w:p w14:paraId="4083561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最佳货币资金保有量＝月付现成本费用</w:t>
      </w:r>
      <w:r w:rsidRPr="00DA3766">
        <w:rPr>
          <w:rFonts w:ascii="Times New Roman" w:hAnsi="Times New Roman" w:cs="Times New Roman"/>
        </w:rPr>
        <w:t>×</w:t>
      </w:r>
      <w:r w:rsidRPr="00DA3766">
        <w:rPr>
          <w:rFonts w:ascii="Times New Roman" w:hAnsi="Times New Roman" w:cs="Times New Roman"/>
        </w:rPr>
        <w:t>最佳货币资金保有量月数</w:t>
      </w:r>
    </w:p>
    <w:p w14:paraId="098A93B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w:t>
      </w:r>
    </w:p>
    <w:p w14:paraId="245198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月付现成本费用＝营业成本＋税金＋期间费用－折旧和摊销</w:t>
      </w:r>
    </w:p>
    <w:p w14:paraId="6950F88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最佳货币资金保有量月数本次参考企业历史年度现金周转情况，历史年度标的公司的应收款项、存货、应付款项周转情况如下：</w:t>
      </w:r>
    </w:p>
    <w:p w14:paraId="625BC4C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w:t>
      </w:r>
      <w:r w:rsidRPr="00DA3766">
        <w:rPr>
          <w:rFonts w:ascii="Times New Roman" w:hAnsi="Times New Roman" w:cs="Times New Roman"/>
          <w:sz w:val="21"/>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661"/>
        <w:gridCol w:w="2361"/>
        <w:gridCol w:w="1753"/>
        <w:gridCol w:w="1753"/>
      </w:tblGrid>
      <w:tr w:rsidR="00EB3B4C" w:rsidRPr="00DA3766" w14:paraId="060D1D76" w14:textId="77777777" w:rsidTr="00DA3766">
        <w:trPr>
          <w:trHeight w:val="397"/>
          <w:tblHeader/>
          <w:jc w:val="center"/>
        </w:trPr>
        <w:tc>
          <w:tcPr>
            <w:tcW w:w="1560" w:type="pct"/>
            <w:vAlign w:val="center"/>
          </w:tcPr>
          <w:p w14:paraId="759845A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384" w:type="pct"/>
            <w:vAlign w:val="center"/>
          </w:tcPr>
          <w:p w14:paraId="6DB414B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c>
          <w:tcPr>
            <w:tcW w:w="1028" w:type="pct"/>
            <w:vAlign w:val="center"/>
          </w:tcPr>
          <w:p w14:paraId="308AB70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1028" w:type="pct"/>
            <w:vAlign w:val="center"/>
          </w:tcPr>
          <w:p w14:paraId="549C2A3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r>
      <w:tr w:rsidR="00EB3B4C" w:rsidRPr="00DA3766" w14:paraId="5279B922" w14:textId="77777777" w:rsidTr="00DA3766">
        <w:trPr>
          <w:trHeight w:val="397"/>
          <w:jc w:val="center"/>
        </w:trPr>
        <w:tc>
          <w:tcPr>
            <w:tcW w:w="1560" w:type="pct"/>
            <w:vAlign w:val="center"/>
            <w:hideMark/>
          </w:tcPr>
          <w:p w14:paraId="402FED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存货周转率</w:t>
            </w:r>
          </w:p>
        </w:tc>
        <w:tc>
          <w:tcPr>
            <w:tcW w:w="1384" w:type="pct"/>
            <w:vAlign w:val="center"/>
          </w:tcPr>
          <w:p w14:paraId="09AF1D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12.30</w:t>
            </w:r>
          </w:p>
        </w:tc>
        <w:tc>
          <w:tcPr>
            <w:tcW w:w="1028" w:type="pct"/>
            <w:vAlign w:val="center"/>
            <w:hideMark/>
          </w:tcPr>
          <w:p w14:paraId="1E030E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14.40</w:t>
            </w:r>
          </w:p>
        </w:tc>
        <w:tc>
          <w:tcPr>
            <w:tcW w:w="1028" w:type="pct"/>
            <w:vAlign w:val="center"/>
          </w:tcPr>
          <w:p w14:paraId="7641B9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12.40</w:t>
            </w:r>
          </w:p>
        </w:tc>
      </w:tr>
      <w:tr w:rsidR="00EB3B4C" w:rsidRPr="00DA3766" w14:paraId="5AFC1A5F" w14:textId="77777777" w:rsidTr="00DA3766">
        <w:trPr>
          <w:trHeight w:val="397"/>
          <w:jc w:val="center"/>
        </w:trPr>
        <w:tc>
          <w:tcPr>
            <w:tcW w:w="1560" w:type="pct"/>
            <w:vAlign w:val="center"/>
            <w:hideMark/>
          </w:tcPr>
          <w:p w14:paraId="22C0411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应收款项周转率</w:t>
            </w:r>
          </w:p>
        </w:tc>
        <w:tc>
          <w:tcPr>
            <w:tcW w:w="1384" w:type="pct"/>
            <w:vAlign w:val="center"/>
          </w:tcPr>
          <w:p w14:paraId="448EE7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45.90</w:t>
            </w:r>
          </w:p>
        </w:tc>
        <w:tc>
          <w:tcPr>
            <w:tcW w:w="1028" w:type="pct"/>
            <w:vAlign w:val="center"/>
            <w:hideMark/>
          </w:tcPr>
          <w:p w14:paraId="395C9D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27.30</w:t>
            </w:r>
          </w:p>
        </w:tc>
        <w:tc>
          <w:tcPr>
            <w:tcW w:w="1028" w:type="pct"/>
            <w:vAlign w:val="center"/>
          </w:tcPr>
          <w:p w14:paraId="3113AD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44.50</w:t>
            </w:r>
          </w:p>
        </w:tc>
      </w:tr>
      <w:tr w:rsidR="00EB3B4C" w:rsidRPr="00DA3766" w14:paraId="3129ABD6" w14:textId="77777777" w:rsidTr="00DA3766">
        <w:trPr>
          <w:trHeight w:val="397"/>
          <w:jc w:val="center"/>
        </w:trPr>
        <w:tc>
          <w:tcPr>
            <w:tcW w:w="1560" w:type="pct"/>
            <w:vAlign w:val="center"/>
            <w:hideMark/>
          </w:tcPr>
          <w:p w14:paraId="148CA7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应付款项周转率</w:t>
            </w:r>
          </w:p>
        </w:tc>
        <w:tc>
          <w:tcPr>
            <w:tcW w:w="1384" w:type="pct"/>
            <w:vAlign w:val="center"/>
          </w:tcPr>
          <w:p w14:paraId="72EF61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w:t>
            </w:r>
          </w:p>
        </w:tc>
        <w:tc>
          <w:tcPr>
            <w:tcW w:w="1028" w:type="pct"/>
            <w:vAlign w:val="center"/>
            <w:hideMark/>
          </w:tcPr>
          <w:p w14:paraId="647B3A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2.20</w:t>
            </w:r>
          </w:p>
        </w:tc>
        <w:tc>
          <w:tcPr>
            <w:tcW w:w="1028" w:type="pct"/>
            <w:vAlign w:val="center"/>
          </w:tcPr>
          <w:p w14:paraId="668C5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2.00</w:t>
            </w:r>
          </w:p>
        </w:tc>
      </w:tr>
    </w:tbl>
    <w:p w14:paraId="26B200D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数据显示历史年度标的公司的应收款项周转天数在</w:t>
      </w:r>
      <w:r w:rsidRPr="00DA3766">
        <w:rPr>
          <w:rFonts w:ascii="Times New Roman" w:hAnsi="Times New Roman" w:cs="Times New Roman"/>
        </w:rPr>
        <w:t>8-13</w:t>
      </w:r>
      <w:r w:rsidRPr="00DA3766">
        <w:rPr>
          <w:rFonts w:ascii="Times New Roman" w:hAnsi="Times New Roman" w:cs="Times New Roman"/>
        </w:rPr>
        <w:t>天，应付款项平均支付时间约为</w:t>
      </w:r>
      <w:r w:rsidRPr="00DA3766">
        <w:rPr>
          <w:rFonts w:ascii="Times New Roman" w:hAnsi="Times New Roman" w:cs="Times New Roman"/>
        </w:rPr>
        <w:t>180</w:t>
      </w:r>
      <w:r w:rsidRPr="00DA3766">
        <w:rPr>
          <w:rFonts w:ascii="Times New Roman" w:hAnsi="Times New Roman" w:cs="Times New Roman"/>
        </w:rPr>
        <w:t>天左右，存货周转天数约为</w:t>
      </w:r>
      <w:r w:rsidRPr="00DA3766">
        <w:rPr>
          <w:rFonts w:ascii="Times New Roman" w:hAnsi="Times New Roman" w:cs="Times New Roman"/>
        </w:rPr>
        <w:t>25-30</w:t>
      </w:r>
      <w:r w:rsidRPr="00DA3766">
        <w:rPr>
          <w:rFonts w:ascii="Times New Roman" w:hAnsi="Times New Roman" w:cs="Times New Roman"/>
        </w:rPr>
        <w:t>天左右，显示现金流状态良好。结合上述主要影响营运资金的项目来看，标的公司保有的最佳货币资金水平</w:t>
      </w:r>
      <w:r w:rsidRPr="00DA3766">
        <w:rPr>
          <w:rFonts w:ascii="Times New Roman" w:hAnsi="Times New Roman" w:cs="Times New Roman"/>
        </w:rPr>
        <w:lastRenderedPageBreak/>
        <w:t>在</w:t>
      </w:r>
      <w:r w:rsidRPr="00DA3766">
        <w:rPr>
          <w:rFonts w:ascii="Times New Roman" w:hAnsi="Times New Roman" w:cs="Times New Roman"/>
        </w:rPr>
        <w:t>1</w:t>
      </w:r>
      <w:r w:rsidRPr="00DA3766">
        <w:rPr>
          <w:rFonts w:ascii="Times New Roman" w:hAnsi="Times New Roman" w:cs="Times New Roman"/>
        </w:rPr>
        <w:t>个月以内，基于谨慎性考虑，本次按</w:t>
      </w:r>
      <w:r w:rsidRPr="00DA3766">
        <w:rPr>
          <w:rFonts w:ascii="Times New Roman" w:hAnsi="Times New Roman" w:cs="Times New Roman"/>
        </w:rPr>
        <w:t>1</w:t>
      </w:r>
      <w:r w:rsidRPr="00DA3766">
        <w:rPr>
          <w:rFonts w:ascii="Times New Roman" w:hAnsi="Times New Roman" w:cs="Times New Roman"/>
        </w:rPr>
        <w:t>个月作为最佳货币资金保有量，具备合理性。</w:t>
      </w:r>
    </w:p>
    <w:p w14:paraId="15D7189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预测期内根据各期的成本费用预测值，计算月付现成本费用，并按</w:t>
      </w:r>
      <w:r w:rsidRPr="00DA3766">
        <w:rPr>
          <w:rFonts w:ascii="Times New Roman" w:hAnsi="Times New Roman" w:cs="Times New Roman"/>
        </w:rPr>
        <w:t>1</w:t>
      </w:r>
      <w:r w:rsidRPr="00DA3766">
        <w:rPr>
          <w:rFonts w:ascii="Times New Roman" w:hAnsi="Times New Roman" w:cs="Times New Roman"/>
        </w:rPr>
        <w:t>个月的月付现成本费用作为的最佳货币资金保有量。</w:t>
      </w:r>
    </w:p>
    <w:p w14:paraId="77D81713"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预测期最佳货币资金保有量具体测算过程及预测数据如下：</w:t>
      </w:r>
    </w:p>
    <w:p w14:paraId="37FA1E2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975"/>
        <w:gridCol w:w="976"/>
        <w:gridCol w:w="976"/>
        <w:gridCol w:w="976"/>
        <w:gridCol w:w="976"/>
        <w:gridCol w:w="1416"/>
      </w:tblGrid>
      <w:tr w:rsidR="00EB3B4C" w:rsidRPr="00DA3766" w14:paraId="548BA87C" w14:textId="77777777" w:rsidTr="001076ED">
        <w:trPr>
          <w:trHeight w:val="397"/>
          <w:tblHeader/>
          <w:jc w:val="center"/>
        </w:trPr>
        <w:tc>
          <w:tcPr>
            <w:tcW w:w="1310" w:type="pct"/>
            <w:vAlign w:val="center"/>
            <w:hideMark/>
          </w:tcPr>
          <w:p w14:paraId="116387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p>
        </w:tc>
        <w:tc>
          <w:tcPr>
            <w:tcW w:w="572" w:type="pct"/>
            <w:vAlign w:val="center"/>
            <w:hideMark/>
          </w:tcPr>
          <w:p w14:paraId="3252F2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全年</w:t>
            </w:r>
          </w:p>
        </w:tc>
        <w:tc>
          <w:tcPr>
            <w:tcW w:w="572" w:type="pct"/>
            <w:vAlign w:val="center"/>
            <w:hideMark/>
          </w:tcPr>
          <w:p w14:paraId="333B608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w:t>
            </w:r>
          </w:p>
        </w:tc>
        <w:tc>
          <w:tcPr>
            <w:tcW w:w="572" w:type="pct"/>
            <w:vAlign w:val="center"/>
            <w:hideMark/>
          </w:tcPr>
          <w:p w14:paraId="07F1D70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w:t>
            </w:r>
          </w:p>
        </w:tc>
        <w:tc>
          <w:tcPr>
            <w:tcW w:w="572" w:type="pct"/>
            <w:vAlign w:val="center"/>
            <w:hideMark/>
          </w:tcPr>
          <w:p w14:paraId="63D3212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w:t>
            </w:r>
          </w:p>
        </w:tc>
        <w:tc>
          <w:tcPr>
            <w:tcW w:w="572" w:type="pct"/>
            <w:vAlign w:val="center"/>
            <w:hideMark/>
          </w:tcPr>
          <w:p w14:paraId="35ABA77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w:t>
            </w:r>
          </w:p>
        </w:tc>
        <w:tc>
          <w:tcPr>
            <w:tcW w:w="830" w:type="pct"/>
            <w:vAlign w:val="center"/>
            <w:hideMark/>
          </w:tcPr>
          <w:p w14:paraId="15435E7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r w:rsidRPr="00DA3766">
              <w:rPr>
                <w:rFonts w:ascii="Times New Roman" w:hAnsi="Times New Roman" w:cs="Times New Roman"/>
                <w:b/>
                <w:color w:val="000000"/>
                <w:sz w:val="18"/>
                <w:szCs w:val="21"/>
              </w:rPr>
              <w:t>年及以后</w:t>
            </w:r>
          </w:p>
        </w:tc>
      </w:tr>
      <w:tr w:rsidR="00EB3B4C" w:rsidRPr="00DA3766" w14:paraId="3DBE925A" w14:textId="77777777" w:rsidTr="001076ED">
        <w:trPr>
          <w:trHeight w:val="397"/>
          <w:jc w:val="center"/>
        </w:trPr>
        <w:tc>
          <w:tcPr>
            <w:tcW w:w="1310" w:type="pct"/>
            <w:vAlign w:val="center"/>
            <w:hideMark/>
          </w:tcPr>
          <w:p w14:paraId="0CCB92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付现成本及费用合计</w:t>
            </w:r>
          </w:p>
        </w:tc>
        <w:tc>
          <w:tcPr>
            <w:tcW w:w="572" w:type="pct"/>
            <w:vAlign w:val="center"/>
            <w:hideMark/>
          </w:tcPr>
          <w:p w14:paraId="78B305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39,723.89</w:t>
            </w:r>
          </w:p>
        </w:tc>
        <w:tc>
          <w:tcPr>
            <w:tcW w:w="572" w:type="pct"/>
            <w:vAlign w:val="center"/>
            <w:hideMark/>
          </w:tcPr>
          <w:p w14:paraId="06D60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42,786.64</w:t>
            </w:r>
          </w:p>
        </w:tc>
        <w:tc>
          <w:tcPr>
            <w:tcW w:w="572" w:type="pct"/>
            <w:vAlign w:val="center"/>
            <w:hideMark/>
          </w:tcPr>
          <w:p w14:paraId="5CA2EF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45,702.25</w:t>
            </w:r>
          </w:p>
        </w:tc>
        <w:tc>
          <w:tcPr>
            <w:tcW w:w="572" w:type="pct"/>
            <w:vAlign w:val="center"/>
            <w:hideMark/>
          </w:tcPr>
          <w:p w14:paraId="71DACD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48,282.92</w:t>
            </w:r>
          </w:p>
        </w:tc>
        <w:tc>
          <w:tcPr>
            <w:tcW w:w="572" w:type="pct"/>
            <w:vAlign w:val="center"/>
            <w:hideMark/>
          </w:tcPr>
          <w:p w14:paraId="71FF44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50,069.32</w:t>
            </w:r>
          </w:p>
        </w:tc>
        <w:tc>
          <w:tcPr>
            <w:tcW w:w="830" w:type="pct"/>
            <w:vAlign w:val="center"/>
            <w:hideMark/>
          </w:tcPr>
          <w:p w14:paraId="69069C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50,069.32</w:t>
            </w:r>
          </w:p>
        </w:tc>
      </w:tr>
      <w:tr w:rsidR="00EB3B4C" w:rsidRPr="00DA3766" w14:paraId="14D9DF08" w14:textId="77777777" w:rsidTr="001076ED">
        <w:trPr>
          <w:trHeight w:val="397"/>
          <w:jc w:val="center"/>
        </w:trPr>
        <w:tc>
          <w:tcPr>
            <w:tcW w:w="1310" w:type="pct"/>
            <w:vAlign w:val="center"/>
            <w:hideMark/>
          </w:tcPr>
          <w:p w14:paraId="53015C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平均每月付现成本费用</w:t>
            </w:r>
          </w:p>
        </w:tc>
        <w:tc>
          <w:tcPr>
            <w:tcW w:w="572" w:type="pct"/>
            <w:vAlign w:val="center"/>
            <w:hideMark/>
          </w:tcPr>
          <w:p w14:paraId="763D60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3,310.32</w:t>
            </w:r>
          </w:p>
        </w:tc>
        <w:tc>
          <w:tcPr>
            <w:tcW w:w="572" w:type="pct"/>
            <w:vAlign w:val="center"/>
            <w:hideMark/>
          </w:tcPr>
          <w:p w14:paraId="2BB7E9A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3,565.55</w:t>
            </w:r>
          </w:p>
        </w:tc>
        <w:tc>
          <w:tcPr>
            <w:tcW w:w="572" w:type="pct"/>
            <w:vAlign w:val="center"/>
            <w:hideMark/>
          </w:tcPr>
          <w:p w14:paraId="498C4A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3,808.52</w:t>
            </w:r>
          </w:p>
        </w:tc>
        <w:tc>
          <w:tcPr>
            <w:tcW w:w="572" w:type="pct"/>
            <w:vAlign w:val="center"/>
            <w:hideMark/>
          </w:tcPr>
          <w:p w14:paraId="261B49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4,023.58</w:t>
            </w:r>
          </w:p>
        </w:tc>
        <w:tc>
          <w:tcPr>
            <w:tcW w:w="572" w:type="pct"/>
            <w:vAlign w:val="center"/>
            <w:hideMark/>
          </w:tcPr>
          <w:p w14:paraId="7FE00A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c>
          <w:tcPr>
            <w:tcW w:w="830" w:type="pct"/>
            <w:vAlign w:val="center"/>
            <w:hideMark/>
          </w:tcPr>
          <w:p w14:paraId="50F2FC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r>
      <w:tr w:rsidR="00EB3B4C" w:rsidRPr="00DA3766" w14:paraId="3B4F14C1" w14:textId="77777777" w:rsidTr="001076ED">
        <w:trPr>
          <w:trHeight w:val="397"/>
          <w:jc w:val="center"/>
        </w:trPr>
        <w:tc>
          <w:tcPr>
            <w:tcW w:w="1310" w:type="pct"/>
            <w:vAlign w:val="center"/>
            <w:hideMark/>
          </w:tcPr>
          <w:p w14:paraId="054DE81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最佳货币资金保有量月数</w:t>
            </w:r>
          </w:p>
        </w:tc>
        <w:tc>
          <w:tcPr>
            <w:tcW w:w="572" w:type="pct"/>
            <w:vAlign w:val="center"/>
            <w:hideMark/>
          </w:tcPr>
          <w:p w14:paraId="18CE48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3CBF1C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0ABC07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6A67F8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31B28B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830" w:type="pct"/>
            <w:vAlign w:val="center"/>
            <w:hideMark/>
          </w:tcPr>
          <w:p w14:paraId="2997B0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r>
      <w:tr w:rsidR="00EB3B4C" w:rsidRPr="00DA3766" w14:paraId="2ECAE757" w14:textId="77777777" w:rsidTr="001076ED">
        <w:trPr>
          <w:trHeight w:val="397"/>
          <w:jc w:val="center"/>
        </w:trPr>
        <w:tc>
          <w:tcPr>
            <w:tcW w:w="1310" w:type="pct"/>
            <w:vAlign w:val="center"/>
            <w:hideMark/>
          </w:tcPr>
          <w:p w14:paraId="63DBF87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不可作为溢余资产的受限货币资金</w:t>
            </w:r>
          </w:p>
        </w:tc>
        <w:tc>
          <w:tcPr>
            <w:tcW w:w="572" w:type="pct"/>
            <w:vAlign w:val="center"/>
            <w:hideMark/>
          </w:tcPr>
          <w:p w14:paraId="08D8E5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03E720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54E70E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3F1595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3A2576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830" w:type="pct"/>
            <w:vAlign w:val="center"/>
            <w:hideMark/>
          </w:tcPr>
          <w:p w14:paraId="4A475D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r>
      <w:tr w:rsidR="00EB3B4C" w:rsidRPr="00DA3766" w14:paraId="63F1EC99" w14:textId="77777777" w:rsidTr="001076ED">
        <w:trPr>
          <w:trHeight w:val="397"/>
          <w:jc w:val="center"/>
        </w:trPr>
        <w:tc>
          <w:tcPr>
            <w:tcW w:w="1310" w:type="pct"/>
            <w:vAlign w:val="center"/>
            <w:hideMark/>
          </w:tcPr>
          <w:p w14:paraId="3919BF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最佳货币资金保有量</w:t>
            </w:r>
          </w:p>
        </w:tc>
        <w:tc>
          <w:tcPr>
            <w:tcW w:w="572" w:type="pct"/>
            <w:vAlign w:val="center"/>
            <w:hideMark/>
          </w:tcPr>
          <w:p w14:paraId="2BE6F6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3,310.32</w:t>
            </w:r>
          </w:p>
        </w:tc>
        <w:tc>
          <w:tcPr>
            <w:tcW w:w="572" w:type="pct"/>
            <w:vAlign w:val="center"/>
            <w:hideMark/>
          </w:tcPr>
          <w:p w14:paraId="5679F97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3,565.55</w:t>
            </w:r>
          </w:p>
        </w:tc>
        <w:tc>
          <w:tcPr>
            <w:tcW w:w="572" w:type="pct"/>
            <w:vAlign w:val="center"/>
            <w:hideMark/>
          </w:tcPr>
          <w:p w14:paraId="2064DC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3,808.52</w:t>
            </w:r>
          </w:p>
        </w:tc>
        <w:tc>
          <w:tcPr>
            <w:tcW w:w="572" w:type="pct"/>
            <w:vAlign w:val="center"/>
            <w:hideMark/>
          </w:tcPr>
          <w:p w14:paraId="587359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4,023.58</w:t>
            </w:r>
          </w:p>
        </w:tc>
        <w:tc>
          <w:tcPr>
            <w:tcW w:w="572" w:type="pct"/>
            <w:vAlign w:val="center"/>
            <w:hideMark/>
          </w:tcPr>
          <w:p w14:paraId="5C3F5B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c>
          <w:tcPr>
            <w:tcW w:w="830" w:type="pct"/>
            <w:vAlign w:val="center"/>
            <w:hideMark/>
          </w:tcPr>
          <w:p w14:paraId="05A9F3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r>
    </w:tbl>
    <w:p w14:paraId="530E8B2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）溢余资金</w:t>
      </w:r>
    </w:p>
    <w:p w14:paraId="6FFCAA9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基准日溢余资金测算过程如下：</w:t>
      </w:r>
    </w:p>
    <w:p w14:paraId="4B29136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5903"/>
        <w:gridCol w:w="2625"/>
      </w:tblGrid>
      <w:tr w:rsidR="00EB3B4C" w:rsidRPr="00DA3766" w14:paraId="4ADBDB5B" w14:textId="77777777" w:rsidTr="00DA3766">
        <w:trPr>
          <w:trHeight w:val="397"/>
          <w:tblHeader/>
          <w:jc w:val="center"/>
        </w:trPr>
        <w:tc>
          <w:tcPr>
            <w:tcW w:w="3461" w:type="pct"/>
            <w:vAlign w:val="center"/>
            <w:hideMark/>
          </w:tcPr>
          <w:p w14:paraId="01DA719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539" w:type="pct"/>
            <w:vAlign w:val="center"/>
          </w:tcPr>
          <w:p w14:paraId="3444B4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396BFD1B" w14:textId="77777777" w:rsidTr="00DA3766">
        <w:trPr>
          <w:trHeight w:val="397"/>
          <w:jc w:val="center"/>
        </w:trPr>
        <w:tc>
          <w:tcPr>
            <w:tcW w:w="3461" w:type="pct"/>
            <w:vAlign w:val="center"/>
            <w:hideMark/>
          </w:tcPr>
          <w:p w14:paraId="6F7B04B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付现成本及费用合计</w:t>
            </w:r>
          </w:p>
        </w:tc>
        <w:tc>
          <w:tcPr>
            <w:tcW w:w="1539" w:type="pct"/>
            <w:vAlign w:val="center"/>
          </w:tcPr>
          <w:p w14:paraId="5D7054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18,160.62</w:t>
            </w:r>
          </w:p>
        </w:tc>
      </w:tr>
      <w:tr w:rsidR="00EB3B4C" w:rsidRPr="00DA3766" w14:paraId="4B966A65" w14:textId="77777777" w:rsidTr="00DA3766">
        <w:trPr>
          <w:trHeight w:val="397"/>
          <w:jc w:val="center"/>
        </w:trPr>
        <w:tc>
          <w:tcPr>
            <w:tcW w:w="3461" w:type="pct"/>
            <w:vAlign w:val="center"/>
            <w:hideMark/>
          </w:tcPr>
          <w:p w14:paraId="7ED9D3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平均每月付现成本费用</w:t>
            </w:r>
          </w:p>
        </w:tc>
        <w:tc>
          <w:tcPr>
            <w:tcW w:w="1539" w:type="pct"/>
            <w:vAlign w:val="center"/>
          </w:tcPr>
          <w:p w14:paraId="058E9F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3,026.77</w:t>
            </w:r>
          </w:p>
        </w:tc>
      </w:tr>
      <w:tr w:rsidR="00EB3B4C" w:rsidRPr="00DA3766" w14:paraId="300CF3FF" w14:textId="77777777" w:rsidTr="00DA3766">
        <w:trPr>
          <w:trHeight w:val="397"/>
          <w:jc w:val="center"/>
        </w:trPr>
        <w:tc>
          <w:tcPr>
            <w:tcW w:w="3461" w:type="pct"/>
            <w:vAlign w:val="center"/>
            <w:hideMark/>
          </w:tcPr>
          <w:p w14:paraId="647C91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最佳货币资金保有量月数</w:t>
            </w:r>
          </w:p>
        </w:tc>
        <w:tc>
          <w:tcPr>
            <w:tcW w:w="1539" w:type="pct"/>
            <w:vAlign w:val="center"/>
          </w:tcPr>
          <w:p w14:paraId="19E638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1.00</w:t>
            </w:r>
          </w:p>
        </w:tc>
      </w:tr>
      <w:tr w:rsidR="00EB3B4C" w:rsidRPr="00DA3766" w14:paraId="6709183D" w14:textId="77777777" w:rsidTr="00DA3766">
        <w:trPr>
          <w:trHeight w:val="397"/>
          <w:jc w:val="center"/>
        </w:trPr>
        <w:tc>
          <w:tcPr>
            <w:tcW w:w="3461" w:type="pct"/>
            <w:vAlign w:val="center"/>
            <w:hideMark/>
          </w:tcPr>
          <w:p w14:paraId="7BF9378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不可作为溢余资产的受限货币资金</w:t>
            </w:r>
          </w:p>
        </w:tc>
        <w:tc>
          <w:tcPr>
            <w:tcW w:w="1539" w:type="pct"/>
            <w:vAlign w:val="center"/>
          </w:tcPr>
          <w:p w14:paraId="22D52C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343032CF" w14:textId="77777777" w:rsidTr="00DA3766">
        <w:trPr>
          <w:trHeight w:val="397"/>
          <w:jc w:val="center"/>
        </w:trPr>
        <w:tc>
          <w:tcPr>
            <w:tcW w:w="3461" w:type="pct"/>
            <w:vAlign w:val="center"/>
            <w:hideMark/>
          </w:tcPr>
          <w:p w14:paraId="62F3CA9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最佳货币资金保有量</w:t>
            </w:r>
          </w:p>
        </w:tc>
        <w:tc>
          <w:tcPr>
            <w:tcW w:w="1539" w:type="pct"/>
            <w:vAlign w:val="center"/>
          </w:tcPr>
          <w:p w14:paraId="3DB06C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3,026.77</w:t>
            </w:r>
          </w:p>
        </w:tc>
      </w:tr>
      <w:tr w:rsidR="00EB3B4C" w:rsidRPr="00DA3766" w14:paraId="6C7D5246" w14:textId="77777777" w:rsidTr="00DA3766">
        <w:trPr>
          <w:trHeight w:val="397"/>
          <w:jc w:val="center"/>
        </w:trPr>
        <w:tc>
          <w:tcPr>
            <w:tcW w:w="3461" w:type="pct"/>
            <w:vAlign w:val="center"/>
            <w:hideMark/>
          </w:tcPr>
          <w:p w14:paraId="3819F1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基准日货币资金</w:t>
            </w:r>
          </w:p>
        </w:tc>
        <w:tc>
          <w:tcPr>
            <w:tcW w:w="1539" w:type="pct"/>
            <w:vAlign w:val="center"/>
          </w:tcPr>
          <w:p w14:paraId="564D3F2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4,470.16</w:t>
            </w:r>
          </w:p>
        </w:tc>
      </w:tr>
      <w:tr w:rsidR="00EB3B4C" w:rsidRPr="00DA3766" w14:paraId="3CAB14D4" w14:textId="77777777" w:rsidTr="00DA3766">
        <w:trPr>
          <w:trHeight w:val="397"/>
          <w:jc w:val="center"/>
        </w:trPr>
        <w:tc>
          <w:tcPr>
            <w:tcW w:w="3461" w:type="pct"/>
            <w:vAlign w:val="center"/>
            <w:hideMark/>
          </w:tcPr>
          <w:p w14:paraId="1ECA38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溢余资金</w:t>
            </w:r>
          </w:p>
        </w:tc>
        <w:tc>
          <w:tcPr>
            <w:tcW w:w="1539" w:type="pct"/>
            <w:vAlign w:val="center"/>
          </w:tcPr>
          <w:p w14:paraId="4EEEDD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1,443.39</w:t>
            </w:r>
          </w:p>
        </w:tc>
      </w:tr>
    </w:tbl>
    <w:p w14:paraId="0A4AD96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基准日标的公司付现成本及费用合计为</w:t>
      </w:r>
      <w:r w:rsidRPr="00DA3766">
        <w:rPr>
          <w:rFonts w:ascii="Times New Roman" w:hAnsi="Times New Roman" w:cs="Times New Roman"/>
        </w:rPr>
        <w:t>18,160.62</w:t>
      </w:r>
      <w:r w:rsidRPr="00DA3766">
        <w:rPr>
          <w:rFonts w:ascii="Times New Roman" w:hAnsi="Times New Roman" w:cs="Times New Roman"/>
        </w:rPr>
        <w:t>万元，货币资金</w:t>
      </w:r>
      <w:r w:rsidRPr="00DA3766">
        <w:rPr>
          <w:rFonts w:ascii="Times New Roman" w:hAnsi="Times New Roman" w:cs="Times New Roman"/>
        </w:rPr>
        <w:t>4,470.16</w:t>
      </w:r>
      <w:r w:rsidRPr="00DA3766">
        <w:rPr>
          <w:rFonts w:ascii="Times New Roman" w:hAnsi="Times New Roman" w:cs="Times New Roman"/>
        </w:rPr>
        <w:t>万元，月付现成本费用合计</w:t>
      </w:r>
      <w:r w:rsidRPr="00DA3766">
        <w:rPr>
          <w:rFonts w:ascii="Times New Roman" w:hAnsi="Times New Roman" w:cs="Times New Roman"/>
        </w:rPr>
        <w:t>3,026.77</w:t>
      </w:r>
      <w:r w:rsidRPr="00DA3766">
        <w:rPr>
          <w:rFonts w:ascii="Times New Roman" w:hAnsi="Times New Roman" w:cs="Times New Roman"/>
        </w:rPr>
        <w:t>万元，则按</w:t>
      </w:r>
      <w:r w:rsidRPr="00DA3766">
        <w:rPr>
          <w:rFonts w:ascii="Times New Roman" w:hAnsi="Times New Roman" w:cs="Times New Roman"/>
        </w:rPr>
        <w:t>1</w:t>
      </w:r>
      <w:r w:rsidRPr="00DA3766">
        <w:rPr>
          <w:rFonts w:ascii="Times New Roman" w:hAnsi="Times New Roman" w:cs="Times New Roman"/>
        </w:rPr>
        <w:t>个月确认的最佳货币资金保有量为</w:t>
      </w:r>
      <w:r w:rsidRPr="00DA3766">
        <w:rPr>
          <w:rFonts w:ascii="Times New Roman" w:hAnsi="Times New Roman" w:cs="Times New Roman"/>
        </w:rPr>
        <w:t>3,026.77</w:t>
      </w:r>
      <w:r w:rsidRPr="00DA3766">
        <w:rPr>
          <w:rFonts w:ascii="Times New Roman" w:hAnsi="Times New Roman" w:cs="Times New Roman"/>
        </w:rPr>
        <w:t>万元，得到溢余资金合计</w:t>
      </w:r>
      <w:r w:rsidRPr="00DA3766">
        <w:rPr>
          <w:rFonts w:ascii="Times New Roman" w:hAnsi="Times New Roman" w:cs="Times New Roman"/>
        </w:rPr>
        <w:t>1,443.39</w:t>
      </w:r>
      <w:r w:rsidRPr="00DA3766">
        <w:rPr>
          <w:rFonts w:ascii="Times New Roman" w:hAnsi="Times New Roman" w:cs="Times New Roman"/>
        </w:rPr>
        <w:t>万元。</w:t>
      </w:r>
    </w:p>
    <w:p w14:paraId="74838D86"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）营运资金</w:t>
      </w:r>
    </w:p>
    <w:p w14:paraId="75D93B9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对于预测期内各期营运资本主要基于周转率预测。历史年度存货周转率、应收款项周转率、应付款项周转率的测算基于报告期的各年收入成本、应收款项余额测算得出。具体测算过程及测算依据如下：</w:t>
      </w:r>
    </w:p>
    <w:p w14:paraId="29D04868"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637"/>
        <w:gridCol w:w="1370"/>
        <w:gridCol w:w="1370"/>
        <w:gridCol w:w="2151"/>
      </w:tblGrid>
      <w:tr w:rsidR="00EB3B4C" w:rsidRPr="00DA3766" w14:paraId="4B0017C6" w14:textId="77777777" w:rsidTr="00DA3766">
        <w:trPr>
          <w:trHeight w:val="397"/>
          <w:tblHeader/>
          <w:jc w:val="center"/>
        </w:trPr>
        <w:tc>
          <w:tcPr>
            <w:tcW w:w="2133" w:type="pct"/>
            <w:vAlign w:val="center"/>
            <w:hideMark/>
          </w:tcPr>
          <w:p w14:paraId="36767FF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年份</w:t>
            </w:r>
          </w:p>
        </w:tc>
        <w:tc>
          <w:tcPr>
            <w:tcW w:w="803" w:type="pct"/>
            <w:vAlign w:val="center"/>
            <w:hideMark/>
          </w:tcPr>
          <w:p w14:paraId="7B17294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03" w:type="pct"/>
            <w:vAlign w:val="center"/>
            <w:hideMark/>
          </w:tcPr>
          <w:p w14:paraId="429846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1261" w:type="pct"/>
            <w:vAlign w:val="center"/>
            <w:hideMark/>
          </w:tcPr>
          <w:p w14:paraId="66CC69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09E61F3E" w14:textId="77777777" w:rsidTr="00DA3766">
        <w:trPr>
          <w:trHeight w:val="397"/>
          <w:jc w:val="center"/>
        </w:trPr>
        <w:tc>
          <w:tcPr>
            <w:tcW w:w="2133" w:type="pct"/>
            <w:vAlign w:val="center"/>
            <w:hideMark/>
          </w:tcPr>
          <w:p w14:paraId="5D9CEAA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w:t>
            </w:r>
          </w:p>
        </w:tc>
        <w:tc>
          <w:tcPr>
            <w:tcW w:w="803" w:type="pct"/>
            <w:vAlign w:val="center"/>
            <w:hideMark/>
          </w:tcPr>
          <w:p w14:paraId="67E326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1,238.06</w:t>
            </w:r>
          </w:p>
        </w:tc>
        <w:tc>
          <w:tcPr>
            <w:tcW w:w="803" w:type="pct"/>
            <w:vAlign w:val="center"/>
            <w:hideMark/>
          </w:tcPr>
          <w:p w14:paraId="103C12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1,152.11</w:t>
            </w:r>
          </w:p>
        </w:tc>
        <w:tc>
          <w:tcPr>
            <w:tcW w:w="1261" w:type="pct"/>
            <w:vAlign w:val="center"/>
            <w:hideMark/>
          </w:tcPr>
          <w:p w14:paraId="6B8FE23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1,526.99</w:t>
            </w:r>
          </w:p>
        </w:tc>
      </w:tr>
      <w:tr w:rsidR="00EB3B4C" w:rsidRPr="00DA3766" w14:paraId="265D32DE" w14:textId="77777777" w:rsidTr="00DA3766">
        <w:trPr>
          <w:trHeight w:val="397"/>
          <w:jc w:val="center"/>
        </w:trPr>
        <w:tc>
          <w:tcPr>
            <w:tcW w:w="2133" w:type="pct"/>
            <w:vAlign w:val="center"/>
            <w:hideMark/>
          </w:tcPr>
          <w:p w14:paraId="5C4937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应收款项合计</w:t>
            </w:r>
          </w:p>
        </w:tc>
        <w:tc>
          <w:tcPr>
            <w:tcW w:w="803" w:type="pct"/>
            <w:vAlign w:val="center"/>
            <w:hideMark/>
          </w:tcPr>
          <w:p w14:paraId="7FD3FF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866.16</w:t>
            </w:r>
          </w:p>
        </w:tc>
        <w:tc>
          <w:tcPr>
            <w:tcW w:w="803" w:type="pct"/>
            <w:vAlign w:val="center"/>
            <w:hideMark/>
          </w:tcPr>
          <w:p w14:paraId="0306F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3,185.86</w:t>
            </w:r>
          </w:p>
        </w:tc>
        <w:tc>
          <w:tcPr>
            <w:tcW w:w="1261" w:type="pct"/>
            <w:vAlign w:val="center"/>
            <w:hideMark/>
          </w:tcPr>
          <w:p w14:paraId="3E0A25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3,553.50</w:t>
            </w:r>
          </w:p>
        </w:tc>
      </w:tr>
      <w:tr w:rsidR="00EB3B4C" w:rsidRPr="00DA3766" w14:paraId="381CA95C" w14:textId="77777777" w:rsidTr="00DA3766">
        <w:trPr>
          <w:trHeight w:val="397"/>
          <w:jc w:val="center"/>
        </w:trPr>
        <w:tc>
          <w:tcPr>
            <w:tcW w:w="2133" w:type="pct"/>
            <w:vAlign w:val="center"/>
            <w:hideMark/>
          </w:tcPr>
          <w:p w14:paraId="607523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应付款项合计</w:t>
            </w:r>
          </w:p>
        </w:tc>
        <w:tc>
          <w:tcPr>
            <w:tcW w:w="803" w:type="pct"/>
            <w:vAlign w:val="center"/>
            <w:hideMark/>
          </w:tcPr>
          <w:p w14:paraId="08D615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8,078.19</w:t>
            </w:r>
          </w:p>
        </w:tc>
        <w:tc>
          <w:tcPr>
            <w:tcW w:w="803" w:type="pct"/>
            <w:vAlign w:val="center"/>
            <w:hideMark/>
          </w:tcPr>
          <w:p w14:paraId="17FE2C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7,932.30</w:t>
            </w:r>
          </w:p>
        </w:tc>
        <w:tc>
          <w:tcPr>
            <w:tcW w:w="1261" w:type="pct"/>
            <w:vAlign w:val="center"/>
            <w:hideMark/>
          </w:tcPr>
          <w:p w14:paraId="0CF899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8,042.93</w:t>
            </w:r>
          </w:p>
        </w:tc>
      </w:tr>
      <w:tr w:rsidR="00EB3B4C" w:rsidRPr="00DA3766" w14:paraId="1CD3F996" w14:textId="77777777" w:rsidTr="00DA3766">
        <w:trPr>
          <w:trHeight w:val="397"/>
          <w:jc w:val="center"/>
        </w:trPr>
        <w:tc>
          <w:tcPr>
            <w:tcW w:w="2133" w:type="pct"/>
            <w:vAlign w:val="center"/>
            <w:hideMark/>
          </w:tcPr>
          <w:p w14:paraId="3E99F83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33D49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12.40</w:t>
            </w:r>
          </w:p>
        </w:tc>
        <w:tc>
          <w:tcPr>
            <w:tcW w:w="803" w:type="pct"/>
            <w:vAlign w:val="center"/>
            <w:hideMark/>
          </w:tcPr>
          <w:p w14:paraId="7EFEFB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14.40</w:t>
            </w:r>
          </w:p>
        </w:tc>
        <w:tc>
          <w:tcPr>
            <w:tcW w:w="1261" w:type="pct"/>
            <w:vAlign w:val="center"/>
            <w:hideMark/>
          </w:tcPr>
          <w:p w14:paraId="1711B1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12.30</w:t>
            </w:r>
          </w:p>
        </w:tc>
      </w:tr>
      <w:tr w:rsidR="00EB3B4C" w:rsidRPr="00DA3766" w14:paraId="436CBD77" w14:textId="77777777" w:rsidTr="00DA3766">
        <w:trPr>
          <w:trHeight w:val="397"/>
          <w:jc w:val="center"/>
        </w:trPr>
        <w:tc>
          <w:tcPr>
            <w:tcW w:w="2133" w:type="pct"/>
            <w:vAlign w:val="center"/>
            <w:hideMark/>
          </w:tcPr>
          <w:p w14:paraId="0B1AA0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179779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44.50</w:t>
            </w:r>
          </w:p>
        </w:tc>
        <w:tc>
          <w:tcPr>
            <w:tcW w:w="803" w:type="pct"/>
            <w:vAlign w:val="center"/>
            <w:hideMark/>
          </w:tcPr>
          <w:p w14:paraId="291D9A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27.30</w:t>
            </w:r>
          </w:p>
        </w:tc>
        <w:tc>
          <w:tcPr>
            <w:tcW w:w="1261" w:type="pct"/>
            <w:vAlign w:val="center"/>
            <w:hideMark/>
          </w:tcPr>
          <w:p w14:paraId="6FC714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45.90</w:t>
            </w:r>
          </w:p>
        </w:tc>
      </w:tr>
      <w:tr w:rsidR="00EB3B4C" w:rsidRPr="00DA3766" w14:paraId="5AE6ACB8" w14:textId="77777777" w:rsidTr="00DA3766">
        <w:trPr>
          <w:trHeight w:val="397"/>
          <w:jc w:val="center"/>
        </w:trPr>
        <w:tc>
          <w:tcPr>
            <w:tcW w:w="2133" w:type="pct"/>
            <w:vAlign w:val="center"/>
            <w:hideMark/>
          </w:tcPr>
          <w:p w14:paraId="3DAD60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3F5A6D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2.00</w:t>
            </w:r>
          </w:p>
        </w:tc>
        <w:tc>
          <w:tcPr>
            <w:tcW w:w="803" w:type="pct"/>
            <w:vAlign w:val="center"/>
            <w:hideMark/>
          </w:tcPr>
          <w:p w14:paraId="0B3050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2.20</w:t>
            </w:r>
          </w:p>
        </w:tc>
        <w:tc>
          <w:tcPr>
            <w:tcW w:w="1261" w:type="pct"/>
            <w:vAlign w:val="center"/>
            <w:hideMark/>
          </w:tcPr>
          <w:p w14:paraId="57971A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w:t>
            </w:r>
          </w:p>
        </w:tc>
      </w:tr>
    </w:tbl>
    <w:p w14:paraId="5E7CFB3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）应收款项的预测</w:t>
      </w:r>
    </w:p>
    <w:p w14:paraId="7BBD534D" w14:textId="1C755010"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预测期内应收款项测算基于应收款项的业务模式，分别采用了营业收入总额和应收款项度周转率以及按金额预测的模式进行测算。</w:t>
      </w:r>
    </w:p>
    <w:p w14:paraId="29319C46"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对于代运营类的业务涉及的应收款项，本次基于业务模式，在预测期由于业务规模稳定，本次按一定金额预测。</w:t>
      </w:r>
    </w:p>
    <w:p w14:paraId="6F44E11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对于其他的应收款项，则基于下列公式测算：</w:t>
      </w:r>
    </w:p>
    <w:p w14:paraId="407C7AB6"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应收款项＝营业收入总额</w:t>
      </w:r>
      <w:r w:rsidRPr="00DA3766">
        <w:rPr>
          <w:rFonts w:ascii="Times New Roman" w:hAnsi="Times New Roman" w:cs="Times New Roman"/>
        </w:rPr>
        <w:t>÷</w:t>
      </w:r>
      <w:r w:rsidRPr="00DA3766">
        <w:rPr>
          <w:rFonts w:ascii="Times New Roman" w:hAnsi="Times New Roman" w:cs="Times New Roman"/>
        </w:rPr>
        <w:t>应收款项周转率</w:t>
      </w:r>
    </w:p>
    <w:p w14:paraId="027C711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其中，应收款项主要包括应收账款、与经营业务相关的其他应收账款等诸项（合同负债作为应收款项的减项处理）。</w:t>
      </w:r>
    </w:p>
    <w:p w14:paraId="7B0A173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本次预测采用的历史年度周转率选取了</w:t>
      </w:r>
      <w:r w:rsidRPr="00DA3766">
        <w:rPr>
          <w:rFonts w:ascii="Times New Roman" w:hAnsi="Times New Roman" w:cs="Times New Roman"/>
        </w:rPr>
        <w:t>2023-2024</w:t>
      </w:r>
      <w:r w:rsidRPr="00DA3766">
        <w:rPr>
          <w:rFonts w:ascii="Times New Roman" w:hAnsi="Times New Roman" w:cs="Times New Roman"/>
        </w:rPr>
        <w:t>两年均值</w:t>
      </w:r>
      <w:r w:rsidRPr="00DA3766">
        <w:rPr>
          <w:rFonts w:ascii="Times New Roman" w:hAnsi="Times New Roman" w:cs="Times New Roman"/>
        </w:rPr>
        <w:t>35.90%</w:t>
      </w:r>
      <w:r w:rsidRPr="00DA3766">
        <w:rPr>
          <w:rFonts w:ascii="Times New Roman" w:hAnsi="Times New Roman" w:cs="Times New Roman"/>
        </w:rPr>
        <w:t>，主要考虑到报告期内其各期存在一定波动，按均值周转更为谨慎。</w:t>
      </w:r>
    </w:p>
    <w:p w14:paraId="4D29F08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预测期内应收款项预测如下：</w:t>
      </w:r>
    </w:p>
    <w:p w14:paraId="5CFE31F4"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2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70"/>
        <w:gridCol w:w="1270"/>
        <w:gridCol w:w="1089"/>
        <w:gridCol w:w="1089"/>
        <w:gridCol w:w="1088"/>
        <w:gridCol w:w="1088"/>
        <w:gridCol w:w="1740"/>
      </w:tblGrid>
      <w:tr w:rsidR="00EB3B4C" w:rsidRPr="00DA3766" w14:paraId="082ECEC3" w14:textId="77777777" w:rsidTr="004C2193">
        <w:trPr>
          <w:trHeight w:val="397"/>
          <w:tblHeader/>
          <w:jc w:val="center"/>
        </w:trPr>
        <w:tc>
          <w:tcPr>
            <w:tcW w:w="878" w:type="pct"/>
            <w:vAlign w:val="center"/>
            <w:hideMark/>
          </w:tcPr>
          <w:p w14:paraId="1ECF4A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710" w:type="pct"/>
            <w:vAlign w:val="center"/>
            <w:hideMark/>
          </w:tcPr>
          <w:p w14:paraId="116D3A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年度</w:t>
            </w:r>
          </w:p>
        </w:tc>
        <w:tc>
          <w:tcPr>
            <w:tcW w:w="609" w:type="pct"/>
            <w:vAlign w:val="center"/>
            <w:hideMark/>
          </w:tcPr>
          <w:p w14:paraId="2665659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609" w:type="pct"/>
            <w:vAlign w:val="center"/>
            <w:hideMark/>
          </w:tcPr>
          <w:p w14:paraId="1AF64CB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609" w:type="pct"/>
            <w:vAlign w:val="center"/>
            <w:hideMark/>
          </w:tcPr>
          <w:p w14:paraId="75E99E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609" w:type="pct"/>
            <w:vAlign w:val="center"/>
            <w:hideMark/>
          </w:tcPr>
          <w:p w14:paraId="1E674B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c>
          <w:tcPr>
            <w:tcW w:w="974" w:type="pct"/>
            <w:vAlign w:val="center"/>
            <w:hideMark/>
          </w:tcPr>
          <w:p w14:paraId="7BB5CAB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36126549" w14:textId="77777777" w:rsidTr="004C2193">
        <w:trPr>
          <w:trHeight w:val="397"/>
          <w:jc w:val="center"/>
        </w:trPr>
        <w:tc>
          <w:tcPr>
            <w:tcW w:w="878" w:type="pct"/>
            <w:vAlign w:val="center"/>
            <w:hideMark/>
          </w:tcPr>
          <w:p w14:paraId="06BEC1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应收款项合计</w:t>
            </w:r>
          </w:p>
        </w:tc>
        <w:tc>
          <w:tcPr>
            <w:tcW w:w="710" w:type="pct"/>
            <w:vAlign w:val="center"/>
            <w:hideMark/>
          </w:tcPr>
          <w:p w14:paraId="5F0371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4,434.18</w:t>
            </w:r>
          </w:p>
        </w:tc>
        <w:tc>
          <w:tcPr>
            <w:tcW w:w="609" w:type="pct"/>
            <w:vAlign w:val="center"/>
            <w:hideMark/>
          </w:tcPr>
          <w:p w14:paraId="22194D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4,551.27</w:t>
            </w:r>
          </w:p>
        </w:tc>
        <w:tc>
          <w:tcPr>
            <w:tcW w:w="609" w:type="pct"/>
            <w:vAlign w:val="center"/>
            <w:hideMark/>
          </w:tcPr>
          <w:p w14:paraId="3FB44B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4,657.79</w:t>
            </w:r>
          </w:p>
        </w:tc>
        <w:tc>
          <w:tcPr>
            <w:tcW w:w="609" w:type="pct"/>
            <w:vAlign w:val="center"/>
            <w:hideMark/>
          </w:tcPr>
          <w:p w14:paraId="02D213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4,750.02</w:t>
            </w:r>
          </w:p>
        </w:tc>
        <w:tc>
          <w:tcPr>
            <w:tcW w:w="609" w:type="pct"/>
            <w:vAlign w:val="center"/>
            <w:hideMark/>
          </w:tcPr>
          <w:p w14:paraId="505327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4,830.54</w:t>
            </w:r>
          </w:p>
        </w:tc>
        <w:tc>
          <w:tcPr>
            <w:tcW w:w="974" w:type="pct"/>
            <w:vAlign w:val="center"/>
            <w:hideMark/>
          </w:tcPr>
          <w:p w14:paraId="211EC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4,830.54</w:t>
            </w:r>
          </w:p>
        </w:tc>
      </w:tr>
    </w:tbl>
    <w:p w14:paraId="7AC46CE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）应付款项的预测</w:t>
      </w:r>
    </w:p>
    <w:p w14:paraId="5C92830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应付款项＝营业成本总额</w:t>
      </w:r>
      <w:r w:rsidRPr="00DA3766">
        <w:rPr>
          <w:rFonts w:ascii="Times New Roman" w:hAnsi="Times New Roman" w:cs="Times New Roman"/>
        </w:rPr>
        <w:t>÷</w:t>
      </w:r>
      <w:r w:rsidRPr="00DA3766">
        <w:rPr>
          <w:rFonts w:ascii="Times New Roman" w:hAnsi="Times New Roman" w:cs="Times New Roman"/>
        </w:rPr>
        <w:t>应付款项周转率</w:t>
      </w:r>
    </w:p>
    <w:p w14:paraId="7BBA7F4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其中，应付款项主要包括应付账款、应付票据以及与经营业务相关的其他应付账款等诸项（预付款项作为应付款项的减项处理）。其中应交税费的测算根据各年测算的应交增值税</w:t>
      </w:r>
      <w:r w:rsidRPr="00DA3766">
        <w:rPr>
          <w:rFonts w:ascii="Times New Roman" w:hAnsi="Times New Roman" w:cs="Times New Roman"/>
        </w:rPr>
        <w:t>-</w:t>
      </w:r>
      <w:r w:rsidRPr="00DA3766">
        <w:rPr>
          <w:rFonts w:ascii="Times New Roman" w:hAnsi="Times New Roman" w:cs="Times New Roman"/>
        </w:rPr>
        <w:t>销项税净额、附加税费金额以及企业所得税费用，分别考虑按月或者按季度缴纳。</w:t>
      </w:r>
    </w:p>
    <w:p w14:paraId="3CB1ED2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192"/>
        <w:gridCol w:w="952"/>
        <w:gridCol w:w="1056"/>
        <w:gridCol w:w="1056"/>
        <w:gridCol w:w="1056"/>
        <w:gridCol w:w="1266"/>
      </w:tblGrid>
      <w:tr w:rsidR="00EB3B4C" w:rsidRPr="00DA3766" w14:paraId="24092177" w14:textId="77777777" w:rsidTr="001076ED">
        <w:trPr>
          <w:trHeight w:val="397"/>
          <w:tblHeader/>
          <w:jc w:val="center"/>
        </w:trPr>
        <w:tc>
          <w:tcPr>
            <w:tcW w:w="1144" w:type="pct"/>
            <w:vAlign w:val="center"/>
            <w:hideMark/>
          </w:tcPr>
          <w:p w14:paraId="10E314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699" w:type="pct"/>
            <w:vAlign w:val="center"/>
            <w:hideMark/>
          </w:tcPr>
          <w:p w14:paraId="7295986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58" w:type="pct"/>
            <w:vAlign w:val="center"/>
            <w:hideMark/>
          </w:tcPr>
          <w:p w14:paraId="7005CDC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19" w:type="pct"/>
            <w:vAlign w:val="center"/>
            <w:hideMark/>
          </w:tcPr>
          <w:p w14:paraId="29B494C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19" w:type="pct"/>
            <w:vAlign w:val="center"/>
            <w:hideMark/>
          </w:tcPr>
          <w:p w14:paraId="0FBC5A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19" w:type="pct"/>
            <w:vAlign w:val="center"/>
            <w:hideMark/>
          </w:tcPr>
          <w:p w14:paraId="47E4FF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742" w:type="pct"/>
            <w:vAlign w:val="center"/>
            <w:hideMark/>
          </w:tcPr>
          <w:p w14:paraId="372BBD4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BACD042" w14:textId="77777777" w:rsidTr="001076ED">
        <w:trPr>
          <w:trHeight w:val="397"/>
          <w:jc w:val="center"/>
        </w:trPr>
        <w:tc>
          <w:tcPr>
            <w:tcW w:w="1144" w:type="pct"/>
            <w:vAlign w:val="center"/>
            <w:hideMark/>
          </w:tcPr>
          <w:p w14:paraId="0D558F73" w14:textId="60728E17" w:rsidR="00EB3B4C" w:rsidRPr="00DA3766" w:rsidRDefault="0028435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hint="eastAsia"/>
                <w:color w:val="000000"/>
                <w:sz w:val="21"/>
                <w:szCs w:val="21"/>
              </w:rPr>
              <w:t>应付</w:t>
            </w:r>
            <w:r w:rsidR="00EB3B4C" w:rsidRPr="00DA3766">
              <w:rPr>
                <w:rFonts w:ascii="Times New Roman" w:hAnsi="Times New Roman" w:cs="Times New Roman"/>
                <w:color w:val="000000"/>
                <w:sz w:val="21"/>
                <w:szCs w:val="21"/>
              </w:rPr>
              <w:t>款项合计</w:t>
            </w:r>
          </w:p>
        </w:tc>
        <w:tc>
          <w:tcPr>
            <w:tcW w:w="699" w:type="pct"/>
            <w:vAlign w:val="center"/>
            <w:hideMark/>
          </w:tcPr>
          <w:p w14:paraId="266CF1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9,008.99</w:t>
            </w:r>
          </w:p>
        </w:tc>
        <w:tc>
          <w:tcPr>
            <w:tcW w:w="558" w:type="pct"/>
            <w:vAlign w:val="center"/>
            <w:hideMark/>
          </w:tcPr>
          <w:p w14:paraId="3C7DEE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9,714.38</w:t>
            </w:r>
          </w:p>
        </w:tc>
        <w:tc>
          <w:tcPr>
            <w:tcW w:w="619" w:type="pct"/>
            <w:vAlign w:val="center"/>
            <w:hideMark/>
          </w:tcPr>
          <w:p w14:paraId="463DFA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10,271.99</w:t>
            </w:r>
          </w:p>
        </w:tc>
        <w:tc>
          <w:tcPr>
            <w:tcW w:w="619" w:type="pct"/>
            <w:vAlign w:val="center"/>
            <w:hideMark/>
          </w:tcPr>
          <w:p w14:paraId="52BFA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10,734.36</w:t>
            </w:r>
          </w:p>
        </w:tc>
        <w:tc>
          <w:tcPr>
            <w:tcW w:w="619" w:type="pct"/>
            <w:vAlign w:val="center"/>
            <w:hideMark/>
          </w:tcPr>
          <w:p w14:paraId="1DADA3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11,130.66</w:t>
            </w:r>
          </w:p>
        </w:tc>
        <w:tc>
          <w:tcPr>
            <w:tcW w:w="742" w:type="pct"/>
            <w:vAlign w:val="center"/>
            <w:hideMark/>
          </w:tcPr>
          <w:p w14:paraId="2962BB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11,130.66</w:t>
            </w:r>
          </w:p>
        </w:tc>
      </w:tr>
    </w:tbl>
    <w:p w14:paraId="3FBE44F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3</w:t>
      </w:r>
      <w:r w:rsidRPr="00DA3766">
        <w:rPr>
          <w:rFonts w:ascii="Times New Roman" w:hAnsi="Times New Roman" w:cs="Times New Roman"/>
        </w:rPr>
        <w:t>）存货的预测</w:t>
      </w:r>
    </w:p>
    <w:p w14:paraId="0168EBD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存货＝营业成本总额</w:t>
      </w:r>
      <w:r w:rsidRPr="00DA3766">
        <w:rPr>
          <w:rFonts w:ascii="Times New Roman" w:hAnsi="Times New Roman" w:cs="Times New Roman"/>
        </w:rPr>
        <w:t>÷</w:t>
      </w:r>
      <w:r w:rsidRPr="00DA3766">
        <w:rPr>
          <w:rFonts w:ascii="Times New Roman" w:hAnsi="Times New Roman" w:cs="Times New Roman"/>
        </w:rPr>
        <w:t>存货周转率</w:t>
      </w:r>
    </w:p>
    <w:p w14:paraId="312D23E0"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1338"/>
        <w:gridCol w:w="1144"/>
        <w:gridCol w:w="1144"/>
        <w:gridCol w:w="1144"/>
        <w:gridCol w:w="1144"/>
        <w:gridCol w:w="1844"/>
      </w:tblGrid>
      <w:tr w:rsidR="00EB3B4C" w:rsidRPr="00DA3766" w14:paraId="789C5DEE" w14:textId="77777777" w:rsidTr="00DA3766">
        <w:trPr>
          <w:trHeight w:val="397"/>
          <w:tblHeader/>
          <w:jc w:val="center"/>
        </w:trPr>
        <w:tc>
          <w:tcPr>
            <w:tcW w:w="451" w:type="pct"/>
            <w:vAlign w:val="center"/>
            <w:hideMark/>
          </w:tcPr>
          <w:p w14:paraId="2BC610C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784" w:type="pct"/>
            <w:vAlign w:val="center"/>
            <w:hideMark/>
          </w:tcPr>
          <w:p w14:paraId="687DB34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71" w:type="pct"/>
            <w:vAlign w:val="center"/>
            <w:hideMark/>
          </w:tcPr>
          <w:p w14:paraId="3953E0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71" w:type="pct"/>
            <w:vAlign w:val="center"/>
            <w:hideMark/>
          </w:tcPr>
          <w:p w14:paraId="61DF5D9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71" w:type="pct"/>
            <w:vAlign w:val="center"/>
            <w:hideMark/>
          </w:tcPr>
          <w:p w14:paraId="511700D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71" w:type="pct"/>
            <w:vAlign w:val="center"/>
            <w:hideMark/>
          </w:tcPr>
          <w:p w14:paraId="7A870EE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1081" w:type="pct"/>
            <w:vAlign w:val="center"/>
            <w:hideMark/>
          </w:tcPr>
          <w:p w14:paraId="2A5421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292354AA" w14:textId="77777777" w:rsidTr="00DA3766">
        <w:trPr>
          <w:trHeight w:val="397"/>
          <w:jc w:val="center"/>
        </w:trPr>
        <w:tc>
          <w:tcPr>
            <w:tcW w:w="451" w:type="pct"/>
            <w:vAlign w:val="center"/>
            <w:hideMark/>
          </w:tcPr>
          <w:p w14:paraId="21CC78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存货</w:t>
            </w:r>
          </w:p>
        </w:tc>
        <w:tc>
          <w:tcPr>
            <w:tcW w:w="784" w:type="pct"/>
            <w:vAlign w:val="center"/>
            <w:hideMark/>
          </w:tcPr>
          <w:p w14:paraId="3C2D6A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1,376.37</w:t>
            </w:r>
          </w:p>
        </w:tc>
        <w:tc>
          <w:tcPr>
            <w:tcW w:w="671" w:type="pct"/>
            <w:vAlign w:val="center"/>
            <w:hideMark/>
          </w:tcPr>
          <w:p w14:paraId="355D1A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1,484.14</w:t>
            </w:r>
          </w:p>
        </w:tc>
        <w:tc>
          <w:tcPr>
            <w:tcW w:w="671" w:type="pct"/>
            <w:vAlign w:val="center"/>
            <w:hideMark/>
          </w:tcPr>
          <w:p w14:paraId="4FD56A4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1,569.33</w:t>
            </w:r>
          </w:p>
        </w:tc>
        <w:tc>
          <w:tcPr>
            <w:tcW w:w="671" w:type="pct"/>
            <w:vAlign w:val="center"/>
            <w:hideMark/>
          </w:tcPr>
          <w:p w14:paraId="495B73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1,639.97</w:t>
            </w:r>
          </w:p>
        </w:tc>
        <w:tc>
          <w:tcPr>
            <w:tcW w:w="671" w:type="pct"/>
            <w:vAlign w:val="center"/>
            <w:hideMark/>
          </w:tcPr>
          <w:p w14:paraId="547DD2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1,700.52</w:t>
            </w:r>
          </w:p>
        </w:tc>
        <w:tc>
          <w:tcPr>
            <w:tcW w:w="1081" w:type="pct"/>
            <w:vAlign w:val="center"/>
            <w:hideMark/>
          </w:tcPr>
          <w:p w14:paraId="7A083D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1,700.52</w:t>
            </w:r>
          </w:p>
        </w:tc>
      </w:tr>
    </w:tbl>
    <w:p w14:paraId="4B73B41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综上得出预测期内各期末营运资本金额。根据上述预测数据，测算得到预测期内各期末营运资本金额如下：</w:t>
      </w:r>
    </w:p>
    <w:p w14:paraId="30D0578E"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5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969"/>
        <w:gridCol w:w="971"/>
        <w:gridCol w:w="846"/>
        <w:gridCol w:w="937"/>
        <w:gridCol w:w="937"/>
        <w:gridCol w:w="937"/>
        <w:gridCol w:w="1028"/>
      </w:tblGrid>
      <w:tr w:rsidR="00EB3B4C" w:rsidRPr="00DA3766" w14:paraId="119226AF" w14:textId="77777777" w:rsidTr="001076ED">
        <w:trPr>
          <w:trHeight w:val="397"/>
          <w:tblHeader/>
          <w:jc w:val="center"/>
        </w:trPr>
        <w:tc>
          <w:tcPr>
            <w:tcW w:w="1159" w:type="pct"/>
            <w:vAlign w:val="center"/>
            <w:hideMark/>
          </w:tcPr>
          <w:p w14:paraId="43BBB8D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562" w:type="pct"/>
            <w:vAlign w:val="center"/>
            <w:hideMark/>
          </w:tcPr>
          <w:p w14:paraId="13AE79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563" w:type="pct"/>
            <w:vAlign w:val="center"/>
            <w:hideMark/>
          </w:tcPr>
          <w:p w14:paraId="27771CB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全年</w:t>
            </w:r>
          </w:p>
        </w:tc>
        <w:tc>
          <w:tcPr>
            <w:tcW w:w="490" w:type="pct"/>
            <w:vAlign w:val="center"/>
            <w:hideMark/>
          </w:tcPr>
          <w:p w14:paraId="1F95080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w:t>
            </w:r>
          </w:p>
        </w:tc>
        <w:tc>
          <w:tcPr>
            <w:tcW w:w="543" w:type="pct"/>
            <w:vAlign w:val="center"/>
            <w:hideMark/>
          </w:tcPr>
          <w:p w14:paraId="33609C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w:t>
            </w:r>
          </w:p>
        </w:tc>
        <w:tc>
          <w:tcPr>
            <w:tcW w:w="543" w:type="pct"/>
            <w:vAlign w:val="center"/>
            <w:hideMark/>
          </w:tcPr>
          <w:p w14:paraId="1C72E6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w:t>
            </w:r>
          </w:p>
        </w:tc>
        <w:tc>
          <w:tcPr>
            <w:tcW w:w="543" w:type="pct"/>
            <w:vAlign w:val="center"/>
            <w:hideMark/>
          </w:tcPr>
          <w:p w14:paraId="7EFDF7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w:t>
            </w:r>
          </w:p>
        </w:tc>
        <w:tc>
          <w:tcPr>
            <w:tcW w:w="596" w:type="pct"/>
            <w:vAlign w:val="center"/>
            <w:hideMark/>
          </w:tcPr>
          <w:p w14:paraId="700BD90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r w:rsidRPr="00DA3766">
              <w:rPr>
                <w:rFonts w:ascii="Times New Roman" w:hAnsi="Times New Roman" w:cs="Times New Roman"/>
                <w:b/>
                <w:color w:val="000000"/>
                <w:sz w:val="18"/>
                <w:szCs w:val="21"/>
              </w:rPr>
              <w:t>年及以后</w:t>
            </w:r>
          </w:p>
        </w:tc>
      </w:tr>
      <w:tr w:rsidR="00EB3B4C" w:rsidRPr="00DA3766" w14:paraId="63681950" w14:textId="77777777" w:rsidTr="001076ED">
        <w:trPr>
          <w:trHeight w:val="397"/>
          <w:jc w:val="center"/>
        </w:trPr>
        <w:tc>
          <w:tcPr>
            <w:tcW w:w="1159" w:type="pct"/>
            <w:vAlign w:val="center"/>
            <w:hideMark/>
          </w:tcPr>
          <w:p w14:paraId="2EE2B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最佳货币资金保有量</w:t>
            </w:r>
          </w:p>
        </w:tc>
        <w:tc>
          <w:tcPr>
            <w:tcW w:w="562" w:type="pct"/>
            <w:vAlign w:val="center"/>
            <w:hideMark/>
          </w:tcPr>
          <w:p w14:paraId="4A993A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3,026.77</w:t>
            </w:r>
          </w:p>
        </w:tc>
        <w:tc>
          <w:tcPr>
            <w:tcW w:w="563" w:type="pct"/>
            <w:vAlign w:val="center"/>
            <w:hideMark/>
          </w:tcPr>
          <w:p w14:paraId="735780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3,310.32</w:t>
            </w:r>
          </w:p>
        </w:tc>
        <w:tc>
          <w:tcPr>
            <w:tcW w:w="490" w:type="pct"/>
            <w:vAlign w:val="center"/>
            <w:hideMark/>
          </w:tcPr>
          <w:p w14:paraId="7EF3C0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3,565.55</w:t>
            </w:r>
          </w:p>
        </w:tc>
        <w:tc>
          <w:tcPr>
            <w:tcW w:w="543" w:type="pct"/>
            <w:vAlign w:val="center"/>
            <w:hideMark/>
          </w:tcPr>
          <w:p w14:paraId="682580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3,808.52</w:t>
            </w:r>
          </w:p>
        </w:tc>
        <w:tc>
          <w:tcPr>
            <w:tcW w:w="543" w:type="pct"/>
            <w:vAlign w:val="center"/>
            <w:hideMark/>
          </w:tcPr>
          <w:p w14:paraId="01B114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4,023.58</w:t>
            </w:r>
          </w:p>
        </w:tc>
        <w:tc>
          <w:tcPr>
            <w:tcW w:w="543" w:type="pct"/>
            <w:vAlign w:val="center"/>
            <w:hideMark/>
          </w:tcPr>
          <w:p w14:paraId="017EB4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4,172.44</w:t>
            </w:r>
          </w:p>
        </w:tc>
        <w:tc>
          <w:tcPr>
            <w:tcW w:w="596" w:type="pct"/>
            <w:vAlign w:val="center"/>
            <w:hideMark/>
          </w:tcPr>
          <w:p w14:paraId="74D9D2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4,172.44</w:t>
            </w:r>
          </w:p>
        </w:tc>
      </w:tr>
      <w:tr w:rsidR="00EB3B4C" w:rsidRPr="00DA3766" w14:paraId="071A8553" w14:textId="77777777" w:rsidTr="001076ED">
        <w:trPr>
          <w:trHeight w:val="397"/>
          <w:jc w:val="center"/>
        </w:trPr>
        <w:tc>
          <w:tcPr>
            <w:tcW w:w="1159" w:type="pct"/>
            <w:vAlign w:val="center"/>
            <w:hideMark/>
          </w:tcPr>
          <w:p w14:paraId="2B9FE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存货</w:t>
            </w:r>
          </w:p>
        </w:tc>
        <w:tc>
          <w:tcPr>
            <w:tcW w:w="562" w:type="pct"/>
            <w:vAlign w:val="center"/>
            <w:hideMark/>
          </w:tcPr>
          <w:p w14:paraId="31B3C8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1,526.99</w:t>
            </w:r>
          </w:p>
        </w:tc>
        <w:tc>
          <w:tcPr>
            <w:tcW w:w="563" w:type="pct"/>
            <w:vAlign w:val="center"/>
            <w:hideMark/>
          </w:tcPr>
          <w:p w14:paraId="591B2A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1,376.37</w:t>
            </w:r>
          </w:p>
        </w:tc>
        <w:tc>
          <w:tcPr>
            <w:tcW w:w="490" w:type="pct"/>
            <w:vAlign w:val="center"/>
            <w:hideMark/>
          </w:tcPr>
          <w:p w14:paraId="024D58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1,484.14</w:t>
            </w:r>
          </w:p>
        </w:tc>
        <w:tc>
          <w:tcPr>
            <w:tcW w:w="543" w:type="pct"/>
            <w:vAlign w:val="center"/>
            <w:hideMark/>
          </w:tcPr>
          <w:p w14:paraId="6C5638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1,569.33</w:t>
            </w:r>
          </w:p>
        </w:tc>
        <w:tc>
          <w:tcPr>
            <w:tcW w:w="543" w:type="pct"/>
            <w:vAlign w:val="center"/>
            <w:hideMark/>
          </w:tcPr>
          <w:p w14:paraId="42D589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1,639.97</w:t>
            </w:r>
          </w:p>
        </w:tc>
        <w:tc>
          <w:tcPr>
            <w:tcW w:w="543" w:type="pct"/>
            <w:vAlign w:val="center"/>
            <w:hideMark/>
          </w:tcPr>
          <w:p w14:paraId="1503E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1,700.52</w:t>
            </w:r>
          </w:p>
        </w:tc>
        <w:tc>
          <w:tcPr>
            <w:tcW w:w="596" w:type="pct"/>
            <w:vAlign w:val="center"/>
            <w:hideMark/>
          </w:tcPr>
          <w:p w14:paraId="50C094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1,700.52</w:t>
            </w:r>
          </w:p>
        </w:tc>
      </w:tr>
      <w:tr w:rsidR="00EB3B4C" w:rsidRPr="00DA3766" w14:paraId="664F0C5F" w14:textId="77777777" w:rsidTr="001076ED">
        <w:trPr>
          <w:trHeight w:val="397"/>
          <w:jc w:val="center"/>
        </w:trPr>
        <w:tc>
          <w:tcPr>
            <w:tcW w:w="1159" w:type="pct"/>
            <w:vAlign w:val="center"/>
            <w:hideMark/>
          </w:tcPr>
          <w:p w14:paraId="1F7981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应收款项合计</w:t>
            </w:r>
          </w:p>
        </w:tc>
        <w:tc>
          <w:tcPr>
            <w:tcW w:w="562" w:type="pct"/>
            <w:vAlign w:val="center"/>
            <w:hideMark/>
          </w:tcPr>
          <w:p w14:paraId="13731F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3,553.50</w:t>
            </w:r>
          </w:p>
        </w:tc>
        <w:tc>
          <w:tcPr>
            <w:tcW w:w="563" w:type="pct"/>
            <w:vAlign w:val="center"/>
            <w:hideMark/>
          </w:tcPr>
          <w:p w14:paraId="428D5F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4,434.18</w:t>
            </w:r>
          </w:p>
        </w:tc>
        <w:tc>
          <w:tcPr>
            <w:tcW w:w="490" w:type="pct"/>
            <w:vAlign w:val="center"/>
            <w:hideMark/>
          </w:tcPr>
          <w:p w14:paraId="44881E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4,551.27</w:t>
            </w:r>
          </w:p>
        </w:tc>
        <w:tc>
          <w:tcPr>
            <w:tcW w:w="543" w:type="pct"/>
            <w:vAlign w:val="center"/>
            <w:hideMark/>
          </w:tcPr>
          <w:p w14:paraId="34FC86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4,657.79</w:t>
            </w:r>
          </w:p>
        </w:tc>
        <w:tc>
          <w:tcPr>
            <w:tcW w:w="543" w:type="pct"/>
            <w:vAlign w:val="center"/>
            <w:hideMark/>
          </w:tcPr>
          <w:p w14:paraId="56C8E6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4,750.02</w:t>
            </w:r>
          </w:p>
        </w:tc>
        <w:tc>
          <w:tcPr>
            <w:tcW w:w="543" w:type="pct"/>
            <w:vAlign w:val="center"/>
            <w:hideMark/>
          </w:tcPr>
          <w:p w14:paraId="744696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4,830.54</w:t>
            </w:r>
          </w:p>
        </w:tc>
        <w:tc>
          <w:tcPr>
            <w:tcW w:w="596" w:type="pct"/>
            <w:vAlign w:val="center"/>
            <w:hideMark/>
          </w:tcPr>
          <w:p w14:paraId="531BA32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4,830.54</w:t>
            </w:r>
          </w:p>
        </w:tc>
      </w:tr>
      <w:tr w:rsidR="00EB3B4C" w:rsidRPr="00DA3766" w14:paraId="7BD35106" w14:textId="77777777" w:rsidTr="001076ED">
        <w:trPr>
          <w:trHeight w:val="397"/>
          <w:jc w:val="center"/>
        </w:trPr>
        <w:tc>
          <w:tcPr>
            <w:tcW w:w="1159" w:type="pct"/>
            <w:vAlign w:val="center"/>
            <w:hideMark/>
          </w:tcPr>
          <w:p w14:paraId="019A86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应付款项合计</w:t>
            </w:r>
          </w:p>
        </w:tc>
        <w:tc>
          <w:tcPr>
            <w:tcW w:w="562" w:type="pct"/>
            <w:vAlign w:val="center"/>
            <w:hideMark/>
          </w:tcPr>
          <w:p w14:paraId="202135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8,042.93</w:t>
            </w:r>
          </w:p>
        </w:tc>
        <w:tc>
          <w:tcPr>
            <w:tcW w:w="563" w:type="pct"/>
            <w:vAlign w:val="center"/>
            <w:hideMark/>
          </w:tcPr>
          <w:p w14:paraId="351B38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9,182.13</w:t>
            </w:r>
          </w:p>
        </w:tc>
        <w:tc>
          <w:tcPr>
            <w:tcW w:w="490" w:type="pct"/>
            <w:vAlign w:val="center"/>
            <w:hideMark/>
          </w:tcPr>
          <w:p w14:paraId="704D78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9,928.02</w:t>
            </w:r>
          </w:p>
        </w:tc>
        <w:tc>
          <w:tcPr>
            <w:tcW w:w="543" w:type="pct"/>
            <w:vAlign w:val="center"/>
            <w:hideMark/>
          </w:tcPr>
          <w:p w14:paraId="6727BB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10,643.40</w:t>
            </w:r>
          </w:p>
        </w:tc>
        <w:tc>
          <w:tcPr>
            <w:tcW w:w="543" w:type="pct"/>
            <w:vAlign w:val="center"/>
            <w:hideMark/>
          </w:tcPr>
          <w:p w14:paraId="7A5E30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11,267.43</w:t>
            </w:r>
          </w:p>
        </w:tc>
        <w:tc>
          <w:tcPr>
            <w:tcW w:w="543" w:type="pct"/>
            <w:vAlign w:val="center"/>
            <w:hideMark/>
          </w:tcPr>
          <w:p w14:paraId="0A7B435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11,714.73</w:t>
            </w:r>
          </w:p>
        </w:tc>
        <w:tc>
          <w:tcPr>
            <w:tcW w:w="596" w:type="pct"/>
            <w:vAlign w:val="center"/>
            <w:hideMark/>
          </w:tcPr>
          <w:p w14:paraId="35D307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11,714.73</w:t>
            </w:r>
          </w:p>
        </w:tc>
      </w:tr>
      <w:tr w:rsidR="00EB3B4C" w:rsidRPr="00DA3766" w14:paraId="48307A7F" w14:textId="77777777" w:rsidTr="001076ED">
        <w:trPr>
          <w:trHeight w:val="397"/>
          <w:jc w:val="center"/>
        </w:trPr>
        <w:tc>
          <w:tcPr>
            <w:tcW w:w="1159" w:type="pct"/>
            <w:vAlign w:val="center"/>
            <w:hideMark/>
          </w:tcPr>
          <w:p w14:paraId="74D854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期末经营性营运资本</w:t>
            </w:r>
          </w:p>
        </w:tc>
        <w:tc>
          <w:tcPr>
            <w:tcW w:w="562" w:type="pct"/>
            <w:vAlign w:val="center"/>
            <w:hideMark/>
          </w:tcPr>
          <w:p w14:paraId="2A37660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216.65</w:t>
            </w:r>
          </w:p>
        </w:tc>
        <w:tc>
          <w:tcPr>
            <w:tcW w:w="563" w:type="pct"/>
            <w:vAlign w:val="center"/>
            <w:hideMark/>
          </w:tcPr>
          <w:p w14:paraId="2A51B0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-61.25</w:t>
            </w:r>
          </w:p>
        </w:tc>
        <w:tc>
          <w:tcPr>
            <w:tcW w:w="490" w:type="pct"/>
            <w:vAlign w:val="center"/>
            <w:hideMark/>
          </w:tcPr>
          <w:p w14:paraId="1AF859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-327.05</w:t>
            </w:r>
          </w:p>
        </w:tc>
        <w:tc>
          <w:tcPr>
            <w:tcW w:w="543" w:type="pct"/>
            <w:vAlign w:val="center"/>
            <w:hideMark/>
          </w:tcPr>
          <w:p w14:paraId="449EAE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-607.76</w:t>
            </w:r>
          </w:p>
        </w:tc>
        <w:tc>
          <w:tcPr>
            <w:tcW w:w="543" w:type="pct"/>
            <w:vAlign w:val="center"/>
            <w:hideMark/>
          </w:tcPr>
          <w:p w14:paraId="1696FA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-853.86</w:t>
            </w:r>
          </w:p>
        </w:tc>
        <w:tc>
          <w:tcPr>
            <w:tcW w:w="543" w:type="pct"/>
            <w:vAlign w:val="center"/>
            <w:hideMark/>
          </w:tcPr>
          <w:p w14:paraId="391969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-1,011.22</w:t>
            </w:r>
          </w:p>
        </w:tc>
        <w:tc>
          <w:tcPr>
            <w:tcW w:w="596" w:type="pct"/>
            <w:vAlign w:val="center"/>
            <w:hideMark/>
          </w:tcPr>
          <w:p w14:paraId="1EFF6E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-1,011.22</w:t>
            </w:r>
          </w:p>
        </w:tc>
      </w:tr>
      <w:tr w:rsidR="00EB3B4C" w:rsidRPr="00DA3766" w14:paraId="6EBE7499" w14:textId="77777777" w:rsidTr="001076ED">
        <w:trPr>
          <w:trHeight w:val="397"/>
          <w:jc w:val="center"/>
        </w:trPr>
        <w:tc>
          <w:tcPr>
            <w:tcW w:w="1159" w:type="pct"/>
            <w:vAlign w:val="center"/>
            <w:hideMark/>
          </w:tcPr>
          <w:p w14:paraId="06D82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营运资本增加额</w:t>
            </w:r>
          </w:p>
        </w:tc>
        <w:tc>
          <w:tcPr>
            <w:tcW w:w="562" w:type="pct"/>
            <w:vAlign w:val="center"/>
            <w:hideMark/>
          </w:tcPr>
          <w:p w14:paraId="2E8878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p>
        </w:tc>
        <w:tc>
          <w:tcPr>
            <w:tcW w:w="563" w:type="pct"/>
            <w:vAlign w:val="center"/>
            <w:hideMark/>
          </w:tcPr>
          <w:p w14:paraId="448063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-277.90</w:t>
            </w:r>
          </w:p>
        </w:tc>
        <w:tc>
          <w:tcPr>
            <w:tcW w:w="490" w:type="pct"/>
            <w:vAlign w:val="center"/>
            <w:hideMark/>
          </w:tcPr>
          <w:p w14:paraId="0C7DF1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-265.80</w:t>
            </w:r>
          </w:p>
        </w:tc>
        <w:tc>
          <w:tcPr>
            <w:tcW w:w="543" w:type="pct"/>
            <w:vAlign w:val="center"/>
            <w:hideMark/>
          </w:tcPr>
          <w:p w14:paraId="56A6475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-280.71</w:t>
            </w:r>
          </w:p>
        </w:tc>
        <w:tc>
          <w:tcPr>
            <w:tcW w:w="543" w:type="pct"/>
            <w:vAlign w:val="center"/>
            <w:hideMark/>
          </w:tcPr>
          <w:p w14:paraId="440BA2E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-246.10</w:t>
            </w:r>
          </w:p>
        </w:tc>
        <w:tc>
          <w:tcPr>
            <w:tcW w:w="543" w:type="pct"/>
            <w:vAlign w:val="center"/>
            <w:hideMark/>
          </w:tcPr>
          <w:p w14:paraId="0D7571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-157.36</w:t>
            </w:r>
          </w:p>
        </w:tc>
        <w:tc>
          <w:tcPr>
            <w:tcW w:w="596" w:type="pct"/>
            <w:vAlign w:val="center"/>
            <w:hideMark/>
          </w:tcPr>
          <w:p w14:paraId="6D7CFB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0.00</w:t>
            </w:r>
          </w:p>
        </w:tc>
      </w:tr>
    </w:tbl>
    <w:p w14:paraId="1B8C0918" w14:textId="69F42CB8" w:rsidR="00EB3B4C" w:rsidRPr="00DA3766" w:rsidRDefault="00EB3B4C" w:rsidP="000A4D6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sidR="00F066C7">
        <w:rPr>
          <w:rFonts w:ascii="Times New Roman" w:hAnsi="Times New Roman" w:cs="Times New Roman" w:hint="eastAsia"/>
          <w:b/>
          <w:bCs/>
          <w:kern w:val="2"/>
          <w:szCs w:val="28"/>
        </w:rPr>
        <w:t>二</w:t>
      </w:r>
      <w:r w:rsidRPr="00DA3766">
        <w:rPr>
          <w:rFonts w:ascii="Times New Roman" w:hAnsi="Times New Roman" w:cs="Times New Roman"/>
          <w:b/>
          <w:bCs/>
          <w:kern w:val="2"/>
          <w:szCs w:val="28"/>
        </w:rPr>
        <w:t>）折旧与摊销、资本性支出金额呈下降趋势的合理性</w:t>
      </w:r>
    </w:p>
    <w:p w14:paraId="6645ACC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）折旧与摊销</w:t>
      </w:r>
    </w:p>
    <w:p w14:paraId="1A01CD3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本次预测期内各期的折旧摊销金额如下：</w:t>
      </w:r>
    </w:p>
    <w:p w14:paraId="522BAEE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1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06"/>
        <w:gridCol w:w="1648"/>
        <w:gridCol w:w="986"/>
        <w:gridCol w:w="987"/>
        <w:gridCol w:w="986"/>
        <w:gridCol w:w="987"/>
        <w:gridCol w:w="1553"/>
      </w:tblGrid>
      <w:tr w:rsidR="00EB3B4C" w:rsidRPr="00DA3766" w14:paraId="6DE48382" w14:textId="77777777" w:rsidTr="001076ED">
        <w:trPr>
          <w:trHeight w:val="397"/>
          <w:tblHeader/>
          <w:jc w:val="center"/>
        </w:trPr>
        <w:tc>
          <w:tcPr>
            <w:tcW w:w="917" w:type="pct"/>
            <w:vAlign w:val="center"/>
            <w:hideMark/>
          </w:tcPr>
          <w:p w14:paraId="70E16C3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941" w:type="pct"/>
            <w:vAlign w:val="center"/>
            <w:hideMark/>
          </w:tcPr>
          <w:p w14:paraId="13008E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563" w:type="pct"/>
            <w:vAlign w:val="center"/>
            <w:hideMark/>
          </w:tcPr>
          <w:p w14:paraId="176045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564" w:type="pct"/>
            <w:vAlign w:val="center"/>
            <w:hideMark/>
          </w:tcPr>
          <w:p w14:paraId="6367EE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563" w:type="pct"/>
            <w:vAlign w:val="center"/>
            <w:hideMark/>
          </w:tcPr>
          <w:p w14:paraId="2542821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564" w:type="pct"/>
            <w:vAlign w:val="center"/>
            <w:hideMark/>
          </w:tcPr>
          <w:p w14:paraId="0385EAA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887" w:type="pct"/>
            <w:vAlign w:val="center"/>
            <w:hideMark/>
          </w:tcPr>
          <w:p w14:paraId="4388B06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0C88FAAB" w14:textId="77777777" w:rsidTr="001076ED">
        <w:trPr>
          <w:trHeight w:val="397"/>
          <w:jc w:val="center"/>
        </w:trPr>
        <w:tc>
          <w:tcPr>
            <w:tcW w:w="917" w:type="pct"/>
            <w:vAlign w:val="center"/>
            <w:hideMark/>
          </w:tcPr>
          <w:p w14:paraId="72960A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折旧与摊销金额合计</w:t>
            </w:r>
          </w:p>
        </w:tc>
        <w:tc>
          <w:tcPr>
            <w:tcW w:w="941" w:type="pct"/>
            <w:vAlign w:val="center"/>
            <w:hideMark/>
          </w:tcPr>
          <w:p w14:paraId="011D25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534.95</w:t>
            </w:r>
          </w:p>
        </w:tc>
        <w:tc>
          <w:tcPr>
            <w:tcW w:w="563" w:type="pct"/>
            <w:vAlign w:val="center"/>
            <w:hideMark/>
          </w:tcPr>
          <w:p w14:paraId="563142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1,088.84</w:t>
            </w:r>
          </w:p>
        </w:tc>
        <w:tc>
          <w:tcPr>
            <w:tcW w:w="564" w:type="pct"/>
            <w:vAlign w:val="center"/>
            <w:hideMark/>
          </w:tcPr>
          <w:p w14:paraId="3ADB9C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563" w:type="pct"/>
            <w:vAlign w:val="center"/>
            <w:hideMark/>
          </w:tcPr>
          <w:p w14:paraId="15FD34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564" w:type="pct"/>
            <w:vAlign w:val="center"/>
            <w:hideMark/>
          </w:tcPr>
          <w:p w14:paraId="2DE50C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887" w:type="pct"/>
            <w:vAlign w:val="center"/>
            <w:hideMark/>
          </w:tcPr>
          <w:p w14:paraId="471F08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r>
    </w:tbl>
    <w:p w14:paraId="7E0529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年度折旧与摊销金额有所波动，主要系由于本次评估预测期内增加了部分扩张性设备投入导致原值增加进而折旧有所增长所致，</w:t>
      </w:r>
      <w:r w:rsidRPr="00DA3766">
        <w:rPr>
          <w:rFonts w:ascii="Times New Roman" w:hAnsi="Times New Roman" w:cs="Times New Roman"/>
        </w:rPr>
        <w:t>2027</w:t>
      </w:r>
      <w:r w:rsidRPr="00DA3766">
        <w:rPr>
          <w:rFonts w:ascii="Times New Roman" w:hAnsi="Times New Roman" w:cs="Times New Roman"/>
        </w:rPr>
        <w:t>年及以后年度均保持同样的水平未发生金额下降，因此预测期内折旧与摊销金额呈下降趋势具备合理性。</w:t>
      </w:r>
    </w:p>
    <w:p w14:paraId="2718896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）资本性支出</w:t>
      </w:r>
    </w:p>
    <w:p w14:paraId="735BF34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本次预测期内各期的资本性支出金额如下：</w:t>
      </w:r>
    </w:p>
    <w:p w14:paraId="2990FA3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558"/>
        <w:gridCol w:w="972"/>
        <w:gridCol w:w="974"/>
        <w:gridCol w:w="972"/>
        <w:gridCol w:w="974"/>
        <w:gridCol w:w="1549"/>
      </w:tblGrid>
      <w:tr w:rsidR="00EB3B4C" w:rsidRPr="00DA3766" w14:paraId="422CB3A4" w14:textId="77777777" w:rsidTr="001076ED">
        <w:trPr>
          <w:trHeight w:val="397"/>
          <w:tblHeader/>
          <w:jc w:val="center"/>
        </w:trPr>
        <w:tc>
          <w:tcPr>
            <w:tcW w:w="896" w:type="pct"/>
            <w:vAlign w:val="center"/>
            <w:hideMark/>
          </w:tcPr>
          <w:p w14:paraId="39DB90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913" w:type="pct"/>
            <w:vAlign w:val="center"/>
            <w:hideMark/>
          </w:tcPr>
          <w:p w14:paraId="373809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570" w:type="pct"/>
            <w:vAlign w:val="center"/>
            <w:hideMark/>
          </w:tcPr>
          <w:p w14:paraId="7BD6778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571" w:type="pct"/>
            <w:vAlign w:val="center"/>
            <w:hideMark/>
          </w:tcPr>
          <w:p w14:paraId="6DB42A3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570" w:type="pct"/>
            <w:vAlign w:val="center"/>
            <w:hideMark/>
          </w:tcPr>
          <w:p w14:paraId="33C383D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571" w:type="pct"/>
            <w:vAlign w:val="center"/>
            <w:hideMark/>
          </w:tcPr>
          <w:p w14:paraId="6EA5106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908" w:type="pct"/>
            <w:vAlign w:val="center"/>
            <w:hideMark/>
          </w:tcPr>
          <w:p w14:paraId="4D72A4E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3B498764" w14:textId="77777777" w:rsidTr="001076ED">
        <w:trPr>
          <w:trHeight w:val="397"/>
          <w:jc w:val="center"/>
        </w:trPr>
        <w:tc>
          <w:tcPr>
            <w:tcW w:w="896" w:type="pct"/>
            <w:vAlign w:val="center"/>
          </w:tcPr>
          <w:p w14:paraId="47F47B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资本性支出金额合计</w:t>
            </w:r>
          </w:p>
        </w:tc>
        <w:tc>
          <w:tcPr>
            <w:tcW w:w="913" w:type="pct"/>
            <w:vAlign w:val="center"/>
          </w:tcPr>
          <w:p w14:paraId="092892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368.90</w:t>
            </w:r>
          </w:p>
        </w:tc>
        <w:tc>
          <w:tcPr>
            <w:tcW w:w="570" w:type="pct"/>
            <w:vAlign w:val="center"/>
          </w:tcPr>
          <w:p w14:paraId="749397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847.26</w:t>
            </w:r>
          </w:p>
        </w:tc>
        <w:tc>
          <w:tcPr>
            <w:tcW w:w="571" w:type="pct"/>
            <w:vAlign w:val="center"/>
          </w:tcPr>
          <w:p w14:paraId="5D389C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856.76</w:t>
            </w:r>
          </w:p>
        </w:tc>
        <w:tc>
          <w:tcPr>
            <w:tcW w:w="570" w:type="pct"/>
            <w:vAlign w:val="center"/>
          </w:tcPr>
          <w:p w14:paraId="5FCAF5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756.76</w:t>
            </w:r>
          </w:p>
        </w:tc>
        <w:tc>
          <w:tcPr>
            <w:tcW w:w="571" w:type="pct"/>
            <w:vAlign w:val="center"/>
          </w:tcPr>
          <w:p w14:paraId="0840F8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756.76</w:t>
            </w:r>
          </w:p>
        </w:tc>
        <w:tc>
          <w:tcPr>
            <w:tcW w:w="908" w:type="pct"/>
            <w:vAlign w:val="center"/>
          </w:tcPr>
          <w:p w14:paraId="3F870E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r>
    </w:tbl>
    <w:p w14:paraId="0EDBCAB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年度资本性支出金额在</w:t>
      </w:r>
      <w:r w:rsidRPr="00DA3766">
        <w:rPr>
          <w:rFonts w:ascii="Times New Roman" w:hAnsi="Times New Roman" w:cs="Times New Roman"/>
        </w:rPr>
        <w:t>850</w:t>
      </w:r>
      <w:r w:rsidRPr="00DA3766">
        <w:rPr>
          <w:rFonts w:ascii="Times New Roman" w:hAnsi="Times New Roman" w:cs="Times New Roman"/>
        </w:rPr>
        <w:t>万元</w:t>
      </w:r>
      <w:r w:rsidRPr="00DA3766">
        <w:rPr>
          <w:rFonts w:ascii="Times New Roman" w:hAnsi="Times New Roman" w:cs="Times New Roman"/>
        </w:rPr>
        <w:t>/</w:t>
      </w:r>
      <w:r w:rsidRPr="00DA3766">
        <w:rPr>
          <w:rFonts w:ascii="Times New Roman" w:hAnsi="Times New Roman" w:cs="Times New Roman"/>
        </w:rPr>
        <w:t>年左右，其中</w:t>
      </w:r>
      <w:r w:rsidRPr="00DA3766">
        <w:rPr>
          <w:rFonts w:ascii="Times New Roman" w:hAnsi="Times New Roman" w:cs="Times New Roman"/>
        </w:rPr>
        <w:t>100</w:t>
      </w:r>
      <w:r w:rsidRPr="00DA3766">
        <w:rPr>
          <w:rFonts w:ascii="Times New Roman" w:hAnsi="Times New Roman" w:cs="Times New Roman"/>
        </w:rPr>
        <w:t>万元是预测的</w:t>
      </w:r>
      <w:r w:rsidRPr="00DA3766">
        <w:rPr>
          <w:rFonts w:ascii="Times New Roman" w:hAnsi="Times New Roman" w:cs="Times New Roman"/>
        </w:rPr>
        <w:t>2026</w:t>
      </w:r>
      <w:r w:rsidRPr="00DA3766">
        <w:rPr>
          <w:rFonts w:ascii="Times New Roman" w:hAnsi="Times New Roman" w:cs="Times New Roman"/>
        </w:rPr>
        <w:t>度和</w:t>
      </w:r>
      <w:r w:rsidRPr="00DA3766">
        <w:rPr>
          <w:rFonts w:ascii="Times New Roman" w:hAnsi="Times New Roman" w:cs="Times New Roman"/>
        </w:rPr>
        <w:t>2027</w:t>
      </w:r>
      <w:r w:rsidRPr="00DA3766">
        <w:rPr>
          <w:rFonts w:ascii="Times New Roman" w:hAnsi="Times New Roman" w:cs="Times New Roman"/>
        </w:rPr>
        <w:t>年的扩张性资本性支出，用于新增员工和经营规模扩大增购的电子设备需要，属于非持续性影响。永续期全额按折旧摊销金额预测资本性支出是为了考虑持续经营假设下，未来会需要一次性更换大量长期资产的需要，以资本性支出金额覆盖折旧，即可保证长期资产在永续期内可靠持续的按预测期最后一年的状况持续运营，以满足持续经营假设，因此预测期内资本性支出金额呈下降趋势具备合理性。</w:t>
      </w:r>
    </w:p>
    <w:p w14:paraId="20FBA71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综上，折旧与摊销、资本性支出金额呈下降趋势具备合理性。</w:t>
      </w:r>
    </w:p>
    <w:p w14:paraId="7145FF6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（三）营运资本增加额均为负值的合理性，与预测销售规模是否匹配</w:t>
      </w:r>
    </w:p>
    <w:p w14:paraId="25653C9D" w14:textId="1A2C0978"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在预测期及各历史年度末，</w:t>
      </w:r>
      <w:r w:rsidR="00506CB2" w:rsidRPr="00DA3766">
        <w:rPr>
          <w:rFonts w:ascii="Times New Roman" w:hAnsi="Times New Roman" w:cs="Times New Roman"/>
          <w:kern w:val="2"/>
          <w:szCs w:val="22"/>
        </w:rPr>
        <w:t>标的</w:t>
      </w:r>
      <w:r w:rsidRPr="00DA3766">
        <w:rPr>
          <w:rFonts w:ascii="Times New Roman" w:hAnsi="Times New Roman" w:cs="Times New Roman"/>
        </w:rPr>
        <w:t>公司营运资本均为负值，主要源于其业务模式具有较快的应收款项周转效率，现金流状况良好。随着业务规模的持续扩大，各预测期末营运资本的负值会逐年增大。根据</w:t>
      </w:r>
      <w:r w:rsidRPr="00DA3766">
        <w:rPr>
          <w:rFonts w:cs="Times New Roman"/>
        </w:rPr>
        <w:t>“</w:t>
      </w:r>
      <w:r w:rsidRPr="00DA3766">
        <w:rPr>
          <w:rFonts w:ascii="Times New Roman" w:hAnsi="Times New Roman" w:cs="Times New Roman"/>
        </w:rPr>
        <w:t>营运资本增加额</w:t>
      </w:r>
      <w:r w:rsidRPr="00DA3766">
        <w:rPr>
          <w:rFonts w:ascii="Times New Roman" w:hAnsi="Times New Roman" w:cs="Times New Roman"/>
        </w:rPr>
        <w:t>=</w:t>
      </w:r>
      <w:r w:rsidRPr="00DA3766">
        <w:rPr>
          <w:rFonts w:ascii="Times New Roman" w:hAnsi="Times New Roman" w:cs="Times New Roman"/>
        </w:rPr>
        <w:t>当期营运资本－上期营运资本</w:t>
      </w:r>
      <w:r w:rsidRPr="00DA3766">
        <w:rPr>
          <w:rFonts w:cs="Times New Roman"/>
        </w:rPr>
        <w:t>”</w:t>
      </w:r>
      <w:r w:rsidRPr="00DA3766">
        <w:rPr>
          <w:rFonts w:ascii="Times New Roman" w:hAnsi="Times New Roman" w:cs="Times New Roman"/>
        </w:rPr>
        <w:t>的计算方式，预测期内各年度营运资本增加额亦将呈现负值，符合</w:t>
      </w:r>
      <w:r w:rsidR="00506CB2" w:rsidRPr="00DA3766">
        <w:rPr>
          <w:rFonts w:ascii="Times New Roman" w:hAnsi="Times New Roman" w:cs="Times New Roman"/>
          <w:kern w:val="2"/>
          <w:szCs w:val="22"/>
        </w:rPr>
        <w:t>标的</w:t>
      </w:r>
      <w:r w:rsidRPr="00DA3766">
        <w:rPr>
          <w:rFonts w:ascii="Times New Roman" w:hAnsi="Times New Roman" w:cs="Times New Roman"/>
        </w:rPr>
        <w:t>公司业务发展趋势与财务结构特点。</w:t>
      </w:r>
    </w:p>
    <w:p w14:paraId="37D30D1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综上，结合标的公司的预测、周转率和企业经营特点，营运资本增加额为负值与企业实际经营情况相符。结合企业的经营特点，企业整体未来销售规模增长对配套营运资金增加的依赖很小，且其在营运资本现金优势下产生负增加，测算具备合理性。</w:t>
      </w:r>
    </w:p>
    <w:p w14:paraId="36AA95E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4944C71B"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七、补充披露折现率确定过程中可比上市公司的选取情况及合理性，贝塔系数的具体确定过程，折现率的预测是否合理、谨慎</w:t>
      </w:r>
    </w:p>
    <w:p w14:paraId="6E974600"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（一）可比上市公司的选取情况及合理性</w:t>
      </w:r>
    </w:p>
    <w:p w14:paraId="3C655D1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本次折现率选取方式主要通过公开信息查询</w:t>
      </w:r>
      <w:r w:rsidRPr="00DA3766">
        <w:rPr>
          <w:rFonts w:ascii="Times New Roman" w:hAnsi="Times New Roman" w:cs="Times New Roman"/>
        </w:rPr>
        <w:t>SaaS</w:t>
      </w:r>
      <w:r w:rsidRPr="00DA3766">
        <w:rPr>
          <w:rFonts w:ascii="Times New Roman" w:hAnsi="Times New Roman" w:cs="Times New Roman"/>
        </w:rPr>
        <w:t>行业相关的上市公司，其次筛选业务类型包含</w:t>
      </w:r>
      <w:r w:rsidRPr="00DA3766">
        <w:rPr>
          <w:rFonts w:cs="Times New Roman"/>
        </w:rPr>
        <w:t>“</w:t>
      </w:r>
      <w:r w:rsidRPr="00DA3766">
        <w:rPr>
          <w:rFonts w:ascii="Times New Roman" w:hAnsi="Times New Roman" w:cs="Times New Roman"/>
        </w:rPr>
        <w:t>IoT+SaaS</w:t>
      </w:r>
      <w:r w:rsidRPr="00DA3766">
        <w:rPr>
          <w:rFonts w:cs="Times New Roman"/>
        </w:rPr>
        <w:t>”</w:t>
      </w:r>
      <w:r w:rsidRPr="00DA3766">
        <w:rPr>
          <w:rFonts w:ascii="Times New Roman" w:hAnsi="Times New Roman" w:cs="Times New Roman"/>
        </w:rPr>
        <w:t>模式的上市公司，最终得到</w:t>
      </w:r>
      <w:r w:rsidRPr="00DA3766">
        <w:rPr>
          <w:rFonts w:ascii="Times New Roman" w:hAnsi="Times New Roman" w:cs="Times New Roman"/>
        </w:rPr>
        <w:t>26</w:t>
      </w:r>
      <w:r w:rsidRPr="00DA3766">
        <w:rPr>
          <w:rFonts w:ascii="Times New Roman" w:hAnsi="Times New Roman" w:cs="Times New Roman"/>
        </w:rPr>
        <w:t>家可比上市公司，选取方式具备合理性。</w:t>
      </w:r>
      <w:r w:rsidRPr="00DA3766">
        <w:rPr>
          <w:rFonts w:ascii="Times New Roman" w:hAnsi="Times New Roman" w:cs="Times New Roman"/>
        </w:rPr>
        <w:t>26</w:t>
      </w:r>
      <w:r w:rsidRPr="00DA3766">
        <w:rPr>
          <w:rFonts w:ascii="Times New Roman" w:hAnsi="Times New Roman" w:cs="Times New Roman"/>
        </w:rPr>
        <w:t>家可比上市公司情况如下：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3474"/>
        <w:gridCol w:w="3155"/>
      </w:tblGrid>
      <w:tr w:rsidR="00EB3B4C" w:rsidRPr="00DA3766" w14:paraId="1B06B33A" w14:textId="77777777" w:rsidTr="00DA3766">
        <w:trPr>
          <w:trHeight w:val="397"/>
          <w:tblHeader/>
          <w:jc w:val="center"/>
        </w:trPr>
        <w:tc>
          <w:tcPr>
            <w:tcW w:w="1113" w:type="pct"/>
            <w:vAlign w:val="center"/>
          </w:tcPr>
          <w:p w14:paraId="17B230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序号</w:t>
            </w:r>
          </w:p>
        </w:tc>
        <w:tc>
          <w:tcPr>
            <w:tcW w:w="2037" w:type="pct"/>
            <w:vAlign w:val="center"/>
            <w:hideMark/>
          </w:tcPr>
          <w:p w14:paraId="29ED088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1850" w:type="pct"/>
            <w:vAlign w:val="center"/>
            <w:hideMark/>
          </w:tcPr>
          <w:p w14:paraId="056BFE4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证券简称</w:t>
            </w:r>
          </w:p>
        </w:tc>
      </w:tr>
      <w:tr w:rsidR="00EB3B4C" w:rsidRPr="00DA3766" w14:paraId="333DB5E3" w14:textId="77777777" w:rsidTr="00DA3766">
        <w:trPr>
          <w:trHeight w:val="397"/>
          <w:jc w:val="center"/>
        </w:trPr>
        <w:tc>
          <w:tcPr>
            <w:tcW w:w="1113" w:type="pct"/>
            <w:vAlign w:val="center"/>
          </w:tcPr>
          <w:p w14:paraId="6B166BD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2037" w:type="pct"/>
            <w:vAlign w:val="center"/>
            <w:hideMark/>
          </w:tcPr>
          <w:p w14:paraId="56342B0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002063.SZ</w:t>
            </w:r>
          </w:p>
        </w:tc>
        <w:tc>
          <w:tcPr>
            <w:tcW w:w="1850" w:type="pct"/>
            <w:vAlign w:val="center"/>
            <w:hideMark/>
          </w:tcPr>
          <w:p w14:paraId="2A6301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远光软件</w:t>
            </w:r>
          </w:p>
        </w:tc>
      </w:tr>
      <w:tr w:rsidR="00EB3B4C" w:rsidRPr="00DA3766" w14:paraId="7D026D64" w14:textId="77777777" w:rsidTr="00DA3766">
        <w:trPr>
          <w:trHeight w:val="397"/>
          <w:jc w:val="center"/>
        </w:trPr>
        <w:tc>
          <w:tcPr>
            <w:tcW w:w="1113" w:type="pct"/>
            <w:vAlign w:val="center"/>
          </w:tcPr>
          <w:p w14:paraId="6177A1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2037" w:type="pct"/>
            <w:vAlign w:val="center"/>
            <w:hideMark/>
          </w:tcPr>
          <w:p w14:paraId="457201A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002153.SZ</w:t>
            </w:r>
          </w:p>
        </w:tc>
        <w:tc>
          <w:tcPr>
            <w:tcW w:w="1850" w:type="pct"/>
            <w:vAlign w:val="center"/>
            <w:hideMark/>
          </w:tcPr>
          <w:p w14:paraId="41B5F84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石基信息</w:t>
            </w:r>
          </w:p>
        </w:tc>
      </w:tr>
      <w:tr w:rsidR="00EB3B4C" w:rsidRPr="00DA3766" w14:paraId="75C74AB1" w14:textId="77777777" w:rsidTr="00DA3766">
        <w:trPr>
          <w:trHeight w:val="397"/>
          <w:jc w:val="center"/>
        </w:trPr>
        <w:tc>
          <w:tcPr>
            <w:tcW w:w="1113" w:type="pct"/>
            <w:vAlign w:val="center"/>
          </w:tcPr>
          <w:p w14:paraId="612B9EF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2037" w:type="pct"/>
            <w:vAlign w:val="center"/>
            <w:hideMark/>
          </w:tcPr>
          <w:p w14:paraId="617E83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002331.SZ</w:t>
            </w:r>
          </w:p>
        </w:tc>
        <w:tc>
          <w:tcPr>
            <w:tcW w:w="1850" w:type="pct"/>
            <w:vAlign w:val="center"/>
            <w:hideMark/>
          </w:tcPr>
          <w:p w14:paraId="4D955AC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皖通科技</w:t>
            </w:r>
          </w:p>
        </w:tc>
      </w:tr>
      <w:tr w:rsidR="00EB3B4C" w:rsidRPr="00DA3766" w14:paraId="1B03F9AF" w14:textId="77777777" w:rsidTr="00DA3766">
        <w:trPr>
          <w:trHeight w:val="397"/>
          <w:jc w:val="center"/>
        </w:trPr>
        <w:tc>
          <w:tcPr>
            <w:tcW w:w="1113" w:type="pct"/>
            <w:vAlign w:val="center"/>
          </w:tcPr>
          <w:p w14:paraId="79896B6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2037" w:type="pct"/>
            <w:vAlign w:val="center"/>
            <w:hideMark/>
          </w:tcPr>
          <w:p w14:paraId="27EB09A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002410.SZ</w:t>
            </w:r>
          </w:p>
        </w:tc>
        <w:tc>
          <w:tcPr>
            <w:tcW w:w="1850" w:type="pct"/>
            <w:vAlign w:val="center"/>
            <w:hideMark/>
          </w:tcPr>
          <w:p w14:paraId="7EDDB8B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广联达</w:t>
            </w:r>
          </w:p>
        </w:tc>
      </w:tr>
      <w:tr w:rsidR="00EB3B4C" w:rsidRPr="00DA3766" w14:paraId="5781619D" w14:textId="77777777" w:rsidTr="00DA3766">
        <w:trPr>
          <w:trHeight w:val="397"/>
          <w:jc w:val="center"/>
        </w:trPr>
        <w:tc>
          <w:tcPr>
            <w:tcW w:w="1113" w:type="pct"/>
            <w:vAlign w:val="center"/>
          </w:tcPr>
          <w:p w14:paraId="028E60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2037" w:type="pct"/>
            <w:vAlign w:val="center"/>
            <w:hideMark/>
          </w:tcPr>
          <w:p w14:paraId="2B26607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002467.SZ</w:t>
            </w:r>
          </w:p>
        </w:tc>
        <w:tc>
          <w:tcPr>
            <w:tcW w:w="1850" w:type="pct"/>
            <w:vAlign w:val="center"/>
            <w:hideMark/>
          </w:tcPr>
          <w:p w14:paraId="7A4F83D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二六三</w:t>
            </w:r>
          </w:p>
        </w:tc>
      </w:tr>
      <w:tr w:rsidR="00EB3B4C" w:rsidRPr="00DA3766" w14:paraId="60940343" w14:textId="77777777" w:rsidTr="00DA3766">
        <w:trPr>
          <w:trHeight w:val="397"/>
          <w:jc w:val="center"/>
        </w:trPr>
        <w:tc>
          <w:tcPr>
            <w:tcW w:w="1113" w:type="pct"/>
            <w:vAlign w:val="center"/>
          </w:tcPr>
          <w:p w14:paraId="198A98C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w:t>
            </w:r>
          </w:p>
        </w:tc>
        <w:tc>
          <w:tcPr>
            <w:tcW w:w="2037" w:type="pct"/>
            <w:vAlign w:val="center"/>
            <w:hideMark/>
          </w:tcPr>
          <w:p w14:paraId="7513F4D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002995.SZ</w:t>
            </w:r>
          </w:p>
        </w:tc>
        <w:tc>
          <w:tcPr>
            <w:tcW w:w="1850" w:type="pct"/>
            <w:vAlign w:val="center"/>
            <w:hideMark/>
          </w:tcPr>
          <w:p w14:paraId="19A4C1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天地在线</w:t>
            </w:r>
          </w:p>
        </w:tc>
      </w:tr>
      <w:tr w:rsidR="00EB3B4C" w:rsidRPr="00DA3766" w14:paraId="1F7E2962" w14:textId="77777777" w:rsidTr="00DA3766">
        <w:trPr>
          <w:trHeight w:val="397"/>
          <w:jc w:val="center"/>
        </w:trPr>
        <w:tc>
          <w:tcPr>
            <w:tcW w:w="1113" w:type="pct"/>
            <w:vAlign w:val="center"/>
          </w:tcPr>
          <w:p w14:paraId="294DFD5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7</w:t>
            </w:r>
          </w:p>
        </w:tc>
        <w:tc>
          <w:tcPr>
            <w:tcW w:w="2037" w:type="pct"/>
            <w:vAlign w:val="center"/>
            <w:hideMark/>
          </w:tcPr>
          <w:p w14:paraId="2FFD41A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003007.SZ</w:t>
            </w:r>
          </w:p>
        </w:tc>
        <w:tc>
          <w:tcPr>
            <w:tcW w:w="1850" w:type="pct"/>
            <w:vAlign w:val="center"/>
            <w:hideMark/>
          </w:tcPr>
          <w:p w14:paraId="21CBB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直真科技</w:t>
            </w:r>
          </w:p>
        </w:tc>
      </w:tr>
      <w:tr w:rsidR="00EB3B4C" w:rsidRPr="00DA3766" w14:paraId="439F9119" w14:textId="77777777" w:rsidTr="00DA3766">
        <w:trPr>
          <w:trHeight w:val="397"/>
          <w:jc w:val="center"/>
        </w:trPr>
        <w:tc>
          <w:tcPr>
            <w:tcW w:w="1113" w:type="pct"/>
            <w:vAlign w:val="center"/>
          </w:tcPr>
          <w:p w14:paraId="460646F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8</w:t>
            </w:r>
          </w:p>
        </w:tc>
        <w:tc>
          <w:tcPr>
            <w:tcW w:w="2037" w:type="pct"/>
            <w:vAlign w:val="center"/>
            <w:hideMark/>
          </w:tcPr>
          <w:p w14:paraId="79DCDAE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300271.SZ</w:t>
            </w:r>
          </w:p>
        </w:tc>
        <w:tc>
          <w:tcPr>
            <w:tcW w:w="1850" w:type="pct"/>
            <w:vAlign w:val="center"/>
            <w:hideMark/>
          </w:tcPr>
          <w:p w14:paraId="28C5B4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华宇软件</w:t>
            </w:r>
          </w:p>
        </w:tc>
      </w:tr>
      <w:tr w:rsidR="00EB3B4C" w:rsidRPr="00DA3766" w14:paraId="6E08CFEF" w14:textId="77777777" w:rsidTr="00DA3766">
        <w:trPr>
          <w:trHeight w:val="397"/>
          <w:jc w:val="center"/>
        </w:trPr>
        <w:tc>
          <w:tcPr>
            <w:tcW w:w="1113" w:type="pct"/>
            <w:vAlign w:val="center"/>
          </w:tcPr>
          <w:p w14:paraId="5B8E543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9</w:t>
            </w:r>
          </w:p>
        </w:tc>
        <w:tc>
          <w:tcPr>
            <w:tcW w:w="2037" w:type="pct"/>
            <w:vAlign w:val="center"/>
            <w:hideMark/>
          </w:tcPr>
          <w:p w14:paraId="7E4247B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300339.SZ</w:t>
            </w:r>
          </w:p>
        </w:tc>
        <w:tc>
          <w:tcPr>
            <w:tcW w:w="1850" w:type="pct"/>
            <w:vAlign w:val="center"/>
            <w:hideMark/>
          </w:tcPr>
          <w:p w14:paraId="4FC5B04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润和软件</w:t>
            </w:r>
          </w:p>
        </w:tc>
      </w:tr>
      <w:tr w:rsidR="00EB3B4C" w:rsidRPr="00DA3766" w14:paraId="636E95DC" w14:textId="77777777" w:rsidTr="00DA3766">
        <w:trPr>
          <w:trHeight w:val="397"/>
          <w:jc w:val="center"/>
        </w:trPr>
        <w:tc>
          <w:tcPr>
            <w:tcW w:w="1113" w:type="pct"/>
            <w:vAlign w:val="center"/>
          </w:tcPr>
          <w:p w14:paraId="631E07D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10</w:t>
            </w:r>
          </w:p>
        </w:tc>
        <w:tc>
          <w:tcPr>
            <w:tcW w:w="2037" w:type="pct"/>
            <w:vAlign w:val="center"/>
            <w:hideMark/>
          </w:tcPr>
          <w:p w14:paraId="121FEBC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300378.SZ</w:t>
            </w:r>
          </w:p>
        </w:tc>
        <w:tc>
          <w:tcPr>
            <w:tcW w:w="1850" w:type="pct"/>
            <w:vAlign w:val="center"/>
            <w:hideMark/>
          </w:tcPr>
          <w:p w14:paraId="6DA4B9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鼎捷数智</w:t>
            </w:r>
          </w:p>
        </w:tc>
      </w:tr>
      <w:tr w:rsidR="00EB3B4C" w:rsidRPr="00DA3766" w14:paraId="4EB9EE92" w14:textId="77777777" w:rsidTr="00DA3766">
        <w:trPr>
          <w:trHeight w:val="397"/>
          <w:jc w:val="center"/>
        </w:trPr>
        <w:tc>
          <w:tcPr>
            <w:tcW w:w="1113" w:type="pct"/>
            <w:vAlign w:val="center"/>
          </w:tcPr>
          <w:p w14:paraId="2477F1B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11</w:t>
            </w:r>
          </w:p>
        </w:tc>
        <w:tc>
          <w:tcPr>
            <w:tcW w:w="2037" w:type="pct"/>
            <w:vAlign w:val="center"/>
            <w:hideMark/>
          </w:tcPr>
          <w:p w14:paraId="2880B6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300578.SZ</w:t>
            </w:r>
          </w:p>
        </w:tc>
        <w:tc>
          <w:tcPr>
            <w:tcW w:w="1850" w:type="pct"/>
            <w:vAlign w:val="center"/>
            <w:hideMark/>
          </w:tcPr>
          <w:p w14:paraId="6CDF548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会畅通讯</w:t>
            </w:r>
          </w:p>
        </w:tc>
      </w:tr>
      <w:tr w:rsidR="00EB3B4C" w:rsidRPr="00DA3766" w14:paraId="63EE6FE2" w14:textId="77777777" w:rsidTr="00DA3766">
        <w:trPr>
          <w:trHeight w:val="397"/>
          <w:jc w:val="center"/>
        </w:trPr>
        <w:tc>
          <w:tcPr>
            <w:tcW w:w="1113" w:type="pct"/>
            <w:vAlign w:val="center"/>
          </w:tcPr>
          <w:p w14:paraId="4E022DE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12</w:t>
            </w:r>
          </w:p>
        </w:tc>
        <w:tc>
          <w:tcPr>
            <w:tcW w:w="2037" w:type="pct"/>
            <w:vAlign w:val="center"/>
            <w:hideMark/>
          </w:tcPr>
          <w:p w14:paraId="44A6FE9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300773.SZ</w:t>
            </w:r>
          </w:p>
        </w:tc>
        <w:tc>
          <w:tcPr>
            <w:tcW w:w="1850" w:type="pct"/>
            <w:vAlign w:val="center"/>
            <w:hideMark/>
          </w:tcPr>
          <w:p w14:paraId="55817EE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拉卡拉</w:t>
            </w:r>
          </w:p>
        </w:tc>
      </w:tr>
      <w:tr w:rsidR="00EB3B4C" w:rsidRPr="00DA3766" w14:paraId="2C4099F1" w14:textId="77777777" w:rsidTr="00DA3766">
        <w:trPr>
          <w:trHeight w:val="397"/>
          <w:jc w:val="center"/>
        </w:trPr>
        <w:tc>
          <w:tcPr>
            <w:tcW w:w="1113" w:type="pct"/>
            <w:vAlign w:val="center"/>
          </w:tcPr>
          <w:p w14:paraId="4D4716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2037" w:type="pct"/>
            <w:vAlign w:val="center"/>
            <w:hideMark/>
          </w:tcPr>
          <w:p w14:paraId="3B3BFD0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301185.SZ</w:t>
            </w:r>
          </w:p>
        </w:tc>
        <w:tc>
          <w:tcPr>
            <w:tcW w:w="1850" w:type="pct"/>
            <w:vAlign w:val="center"/>
            <w:hideMark/>
          </w:tcPr>
          <w:p w14:paraId="076798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鸥玛软件</w:t>
            </w:r>
          </w:p>
        </w:tc>
      </w:tr>
      <w:tr w:rsidR="00EB3B4C" w:rsidRPr="00DA3766" w14:paraId="6C31D22D" w14:textId="77777777" w:rsidTr="00DA3766">
        <w:trPr>
          <w:trHeight w:val="397"/>
          <w:jc w:val="center"/>
        </w:trPr>
        <w:tc>
          <w:tcPr>
            <w:tcW w:w="1113" w:type="pct"/>
            <w:vAlign w:val="center"/>
          </w:tcPr>
          <w:p w14:paraId="455E720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14</w:t>
            </w:r>
          </w:p>
        </w:tc>
        <w:tc>
          <w:tcPr>
            <w:tcW w:w="2037" w:type="pct"/>
            <w:vAlign w:val="center"/>
            <w:hideMark/>
          </w:tcPr>
          <w:p w14:paraId="5348D78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600588.SH</w:t>
            </w:r>
          </w:p>
        </w:tc>
        <w:tc>
          <w:tcPr>
            <w:tcW w:w="1850" w:type="pct"/>
            <w:vAlign w:val="center"/>
            <w:hideMark/>
          </w:tcPr>
          <w:p w14:paraId="2C8101E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用友网络</w:t>
            </w:r>
          </w:p>
        </w:tc>
      </w:tr>
      <w:tr w:rsidR="00EB3B4C" w:rsidRPr="00DA3766" w14:paraId="26BD3292" w14:textId="77777777" w:rsidTr="00DA3766">
        <w:trPr>
          <w:trHeight w:val="397"/>
          <w:jc w:val="center"/>
        </w:trPr>
        <w:tc>
          <w:tcPr>
            <w:tcW w:w="1113" w:type="pct"/>
            <w:vAlign w:val="center"/>
          </w:tcPr>
          <w:p w14:paraId="4E5906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15</w:t>
            </w:r>
          </w:p>
        </w:tc>
        <w:tc>
          <w:tcPr>
            <w:tcW w:w="2037" w:type="pct"/>
            <w:vAlign w:val="center"/>
            <w:hideMark/>
          </w:tcPr>
          <w:p w14:paraId="48595E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600756.SH</w:t>
            </w:r>
          </w:p>
        </w:tc>
        <w:tc>
          <w:tcPr>
            <w:tcW w:w="1850" w:type="pct"/>
            <w:vAlign w:val="center"/>
            <w:hideMark/>
          </w:tcPr>
          <w:p w14:paraId="278EA7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浪潮软件</w:t>
            </w:r>
          </w:p>
        </w:tc>
      </w:tr>
      <w:tr w:rsidR="00EB3B4C" w:rsidRPr="00DA3766" w14:paraId="61BF3A48" w14:textId="77777777" w:rsidTr="00DA3766">
        <w:trPr>
          <w:trHeight w:val="397"/>
          <w:jc w:val="center"/>
        </w:trPr>
        <w:tc>
          <w:tcPr>
            <w:tcW w:w="1113" w:type="pct"/>
            <w:vAlign w:val="center"/>
          </w:tcPr>
          <w:p w14:paraId="4349C6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16</w:t>
            </w:r>
          </w:p>
        </w:tc>
        <w:tc>
          <w:tcPr>
            <w:tcW w:w="2037" w:type="pct"/>
            <w:vAlign w:val="center"/>
            <w:hideMark/>
          </w:tcPr>
          <w:p w14:paraId="0057F1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601360.SH</w:t>
            </w:r>
          </w:p>
        </w:tc>
        <w:tc>
          <w:tcPr>
            <w:tcW w:w="1850" w:type="pct"/>
            <w:vAlign w:val="center"/>
            <w:hideMark/>
          </w:tcPr>
          <w:p w14:paraId="48D9AC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三六零</w:t>
            </w:r>
          </w:p>
        </w:tc>
      </w:tr>
      <w:tr w:rsidR="00EB3B4C" w:rsidRPr="00DA3766" w14:paraId="75B0602B" w14:textId="77777777" w:rsidTr="00DA3766">
        <w:trPr>
          <w:trHeight w:val="397"/>
          <w:jc w:val="center"/>
        </w:trPr>
        <w:tc>
          <w:tcPr>
            <w:tcW w:w="1113" w:type="pct"/>
            <w:vAlign w:val="center"/>
          </w:tcPr>
          <w:p w14:paraId="002BB61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lastRenderedPageBreak/>
              <w:t>17</w:t>
            </w:r>
          </w:p>
        </w:tc>
        <w:tc>
          <w:tcPr>
            <w:tcW w:w="2037" w:type="pct"/>
            <w:vAlign w:val="center"/>
            <w:hideMark/>
          </w:tcPr>
          <w:p w14:paraId="27F4A9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603039.SH</w:t>
            </w:r>
          </w:p>
        </w:tc>
        <w:tc>
          <w:tcPr>
            <w:tcW w:w="1850" w:type="pct"/>
            <w:vAlign w:val="center"/>
            <w:hideMark/>
          </w:tcPr>
          <w:p w14:paraId="700B1E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泛微网络</w:t>
            </w:r>
          </w:p>
        </w:tc>
      </w:tr>
      <w:tr w:rsidR="00EB3B4C" w:rsidRPr="00DA3766" w14:paraId="6673BA2F" w14:textId="77777777" w:rsidTr="00DA3766">
        <w:trPr>
          <w:trHeight w:val="397"/>
          <w:jc w:val="center"/>
        </w:trPr>
        <w:tc>
          <w:tcPr>
            <w:tcW w:w="1113" w:type="pct"/>
            <w:vAlign w:val="center"/>
          </w:tcPr>
          <w:p w14:paraId="0A663B8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18</w:t>
            </w:r>
          </w:p>
        </w:tc>
        <w:tc>
          <w:tcPr>
            <w:tcW w:w="2037" w:type="pct"/>
            <w:vAlign w:val="center"/>
            <w:hideMark/>
          </w:tcPr>
          <w:p w14:paraId="0F0543F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603106.SH</w:t>
            </w:r>
          </w:p>
        </w:tc>
        <w:tc>
          <w:tcPr>
            <w:tcW w:w="1850" w:type="pct"/>
            <w:vAlign w:val="center"/>
            <w:hideMark/>
          </w:tcPr>
          <w:p w14:paraId="580C2EF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恒银科技</w:t>
            </w:r>
          </w:p>
        </w:tc>
      </w:tr>
      <w:tr w:rsidR="00EB3B4C" w:rsidRPr="00DA3766" w14:paraId="16EA814A" w14:textId="77777777" w:rsidTr="00DA3766">
        <w:trPr>
          <w:trHeight w:val="397"/>
          <w:jc w:val="center"/>
        </w:trPr>
        <w:tc>
          <w:tcPr>
            <w:tcW w:w="1113" w:type="pct"/>
            <w:vAlign w:val="center"/>
          </w:tcPr>
          <w:p w14:paraId="00BA9D3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19</w:t>
            </w:r>
          </w:p>
        </w:tc>
        <w:tc>
          <w:tcPr>
            <w:tcW w:w="2037" w:type="pct"/>
            <w:vAlign w:val="center"/>
            <w:hideMark/>
          </w:tcPr>
          <w:p w14:paraId="122D9E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603171.SH</w:t>
            </w:r>
          </w:p>
        </w:tc>
        <w:tc>
          <w:tcPr>
            <w:tcW w:w="1850" w:type="pct"/>
            <w:vAlign w:val="center"/>
            <w:hideMark/>
          </w:tcPr>
          <w:p w14:paraId="7B2A0AB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税友股份</w:t>
            </w:r>
          </w:p>
        </w:tc>
      </w:tr>
      <w:tr w:rsidR="00EB3B4C" w:rsidRPr="00DA3766" w14:paraId="759BEBC0" w14:textId="77777777" w:rsidTr="00DA3766">
        <w:trPr>
          <w:trHeight w:val="397"/>
          <w:jc w:val="center"/>
        </w:trPr>
        <w:tc>
          <w:tcPr>
            <w:tcW w:w="1113" w:type="pct"/>
            <w:vAlign w:val="center"/>
          </w:tcPr>
          <w:p w14:paraId="3D6EAB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20</w:t>
            </w:r>
          </w:p>
        </w:tc>
        <w:tc>
          <w:tcPr>
            <w:tcW w:w="2037" w:type="pct"/>
            <w:vAlign w:val="center"/>
            <w:hideMark/>
          </w:tcPr>
          <w:p w14:paraId="59B83E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603189.SH</w:t>
            </w:r>
          </w:p>
        </w:tc>
        <w:tc>
          <w:tcPr>
            <w:tcW w:w="1850" w:type="pct"/>
            <w:vAlign w:val="center"/>
            <w:hideMark/>
          </w:tcPr>
          <w:p w14:paraId="0C5009F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网达软件</w:t>
            </w:r>
          </w:p>
        </w:tc>
      </w:tr>
      <w:tr w:rsidR="00EB3B4C" w:rsidRPr="00DA3766" w14:paraId="4D60697B" w14:textId="77777777" w:rsidTr="00DA3766">
        <w:trPr>
          <w:trHeight w:val="397"/>
          <w:jc w:val="center"/>
        </w:trPr>
        <w:tc>
          <w:tcPr>
            <w:tcW w:w="1113" w:type="pct"/>
            <w:vAlign w:val="center"/>
          </w:tcPr>
          <w:p w14:paraId="79B011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21</w:t>
            </w:r>
          </w:p>
        </w:tc>
        <w:tc>
          <w:tcPr>
            <w:tcW w:w="2037" w:type="pct"/>
            <w:vAlign w:val="center"/>
            <w:hideMark/>
          </w:tcPr>
          <w:p w14:paraId="729B180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688095.SH</w:t>
            </w:r>
          </w:p>
        </w:tc>
        <w:tc>
          <w:tcPr>
            <w:tcW w:w="1850" w:type="pct"/>
            <w:vAlign w:val="center"/>
            <w:hideMark/>
          </w:tcPr>
          <w:p w14:paraId="42F50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福昕软件</w:t>
            </w:r>
          </w:p>
        </w:tc>
      </w:tr>
      <w:tr w:rsidR="00EB3B4C" w:rsidRPr="00DA3766" w14:paraId="4CFABBD8" w14:textId="77777777" w:rsidTr="00DA3766">
        <w:trPr>
          <w:trHeight w:val="397"/>
          <w:jc w:val="center"/>
        </w:trPr>
        <w:tc>
          <w:tcPr>
            <w:tcW w:w="1113" w:type="pct"/>
            <w:vAlign w:val="center"/>
          </w:tcPr>
          <w:p w14:paraId="06BB83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22</w:t>
            </w:r>
          </w:p>
        </w:tc>
        <w:tc>
          <w:tcPr>
            <w:tcW w:w="2037" w:type="pct"/>
            <w:vAlign w:val="center"/>
            <w:hideMark/>
          </w:tcPr>
          <w:p w14:paraId="62C0F8A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688111.SH</w:t>
            </w:r>
          </w:p>
        </w:tc>
        <w:tc>
          <w:tcPr>
            <w:tcW w:w="1850" w:type="pct"/>
            <w:vAlign w:val="center"/>
            <w:hideMark/>
          </w:tcPr>
          <w:p w14:paraId="2011266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金山办公</w:t>
            </w:r>
          </w:p>
        </w:tc>
      </w:tr>
      <w:tr w:rsidR="00EB3B4C" w:rsidRPr="00DA3766" w14:paraId="226B7B68" w14:textId="77777777" w:rsidTr="00DA3766">
        <w:trPr>
          <w:trHeight w:val="397"/>
          <w:jc w:val="center"/>
        </w:trPr>
        <w:tc>
          <w:tcPr>
            <w:tcW w:w="1113" w:type="pct"/>
            <w:vAlign w:val="center"/>
          </w:tcPr>
          <w:p w14:paraId="4A052E6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23</w:t>
            </w:r>
          </w:p>
        </w:tc>
        <w:tc>
          <w:tcPr>
            <w:tcW w:w="2037" w:type="pct"/>
            <w:vAlign w:val="center"/>
            <w:hideMark/>
          </w:tcPr>
          <w:p w14:paraId="43D2E7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688316.SH</w:t>
            </w:r>
          </w:p>
        </w:tc>
        <w:tc>
          <w:tcPr>
            <w:tcW w:w="1850" w:type="pct"/>
            <w:vAlign w:val="center"/>
            <w:hideMark/>
          </w:tcPr>
          <w:p w14:paraId="0CF8088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青云科技</w:t>
            </w:r>
          </w:p>
        </w:tc>
      </w:tr>
      <w:tr w:rsidR="00EB3B4C" w:rsidRPr="00DA3766" w14:paraId="2CCEF395" w14:textId="77777777" w:rsidTr="00DA3766">
        <w:trPr>
          <w:trHeight w:val="397"/>
          <w:jc w:val="center"/>
        </w:trPr>
        <w:tc>
          <w:tcPr>
            <w:tcW w:w="1113" w:type="pct"/>
            <w:vAlign w:val="center"/>
          </w:tcPr>
          <w:p w14:paraId="106A1B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24</w:t>
            </w:r>
          </w:p>
        </w:tc>
        <w:tc>
          <w:tcPr>
            <w:tcW w:w="2037" w:type="pct"/>
            <w:vAlign w:val="center"/>
            <w:hideMark/>
          </w:tcPr>
          <w:p w14:paraId="51A4314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688365.SH</w:t>
            </w:r>
          </w:p>
        </w:tc>
        <w:tc>
          <w:tcPr>
            <w:tcW w:w="1850" w:type="pct"/>
            <w:vAlign w:val="center"/>
            <w:hideMark/>
          </w:tcPr>
          <w:p w14:paraId="23025D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光云科技</w:t>
            </w:r>
          </w:p>
        </w:tc>
      </w:tr>
      <w:tr w:rsidR="00EB3B4C" w:rsidRPr="00DA3766" w14:paraId="06D65BEA" w14:textId="77777777" w:rsidTr="00DA3766">
        <w:trPr>
          <w:trHeight w:val="397"/>
          <w:jc w:val="center"/>
        </w:trPr>
        <w:tc>
          <w:tcPr>
            <w:tcW w:w="1113" w:type="pct"/>
            <w:vAlign w:val="center"/>
          </w:tcPr>
          <w:p w14:paraId="1A636BE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25</w:t>
            </w:r>
          </w:p>
        </w:tc>
        <w:tc>
          <w:tcPr>
            <w:tcW w:w="2037" w:type="pct"/>
            <w:vAlign w:val="center"/>
            <w:hideMark/>
          </w:tcPr>
          <w:p w14:paraId="732F4F6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688369.SH</w:t>
            </w:r>
          </w:p>
        </w:tc>
        <w:tc>
          <w:tcPr>
            <w:tcW w:w="1850" w:type="pct"/>
            <w:vAlign w:val="center"/>
            <w:hideMark/>
          </w:tcPr>
          <w:p w14:paraId="79066ED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致远互联</w:t>
            </w:r>
          </w:p>
        </w:tc>
      </w:tr>
      <w:tr w:rsidR="00EB3B4C" w:rsidRPr="00DA3766" w14:paraId="7214E241" w14:textId="77777777" w:rsidTr="00DA3766">
        <w:trPr>
          <w:trHeight w:val="397"/>
          <w:jc w:val="center"/>
        </w:trPr>
        <w:tc>
          <w:tcPr>
            <w:tcW w:w="1113" w:type="pct"/>
            <w:vAlign w:val="center"/>
          </w:tcPr>
          <w:p w14:paraId="6890C9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2037" w:type="pct"/>
            <w:vAlign w:val="center"/>
            <w:hideMark/>
          </w:tcPr>
          <w:p w14:paraId="15929EC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688080.SH</w:t>
            </w:r>
          </w:p>
        </w:tc>
        <w:tc>
          <w:tcPr>
            <w:tcW w:w="1850" w:type="pct"/>
            <w:vAlign w:val="center"/>
            <w:hideMark/>
          </w:tcPr>
          <w:p w14:paraId="34E28BA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映翰通</w:t>
            </w:r>
          </w:p>
        </w:tc>
      </w:tr>
    </w:tbl>
    <w:p w14:paraId="2638CE3A"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（二）贝塔系数的具体确定过程，折现率的预测是否合理、谨慎</w:t>
      </w:r>
    </w:p>
    <w:p w14:paraId="6C4C4F3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本次贝塔系数（</w:t>
      </w:r>
      <w:r w:rsidRPr="00DA3766">
        <w:rPr>
          <w:rFonts w:ascii="Times New Roman" w:hAnsi="Times New Roman" w:cs="Times New Roman"/>
          <w:kern w:val="2"/>
          <w14:ligatures w14:val="standardContextual"/>
        </w:rPr>
        <w:t>β</w:t>
      </w:r>
      <w:r w:rsidRPr="00DA3766">
        <w:rPr>
          <w:rFonts w:ascii="Times New Roman" w:hAnsi="Times New Roman" w:cs="Times New Roman"/>
        </w:rPr>
        <w:t>系数）确定过程如下：</w:t>
      </w:r>
    </w:p>
    <w:p w14:paraId="46883AD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首先通过公开信息查询了上述</w:t>
      </w:r>
      <w:r w:rsidRPr="00DA3766">
        <w:rPr>
          <w:rFonts w:ascii="Times New Roman" w:hAnsi="Times New Roman" w:cs="Times New Roman"/>
        </w:rPr>
        <w:t>26</w:t>
      </w:r>
      <w:r w:rsidRPr="00DA3766">
        <w:rPr>
          <w:rFonts w:ascii="Times New Roman" w:hAnsi="Times New Roman" w:cs="Times New Roman"/>
        </w:rPr>
        <w:t>家可比上市公司的含财务杠杆</w:t>
      </w:r>
      <w:r w:rsidRPr="00DA3766">
        <w:rPr>
          <w:rFonts w:ascii="Times New Roman" w:hAnsi="Times New Roman" w:cs="Times New Roman"/>
        </w:rPr>
        <w:t>beta</w:t>
      </w:r>
      <w:r w:rsidRPr="00DA3766">
        <w:rPr>
          <w:rFonts w:ascii="Times New Roman" w:hAnsi="Times New Roman" w:cs="Times New Roman"/>
        </w:rPr>
        <w:t>数据。时间范围自</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月共计</w:t>
      </w:r>
      <w:r w:rsidRPr="00DA3766">
        <w:rPr>
          <w:rFonts w:ascii="Times New Roman" w:hAnsi="Times New Roman" w:cs="Times New Roman"/>
        </w:rPr>
        <w:t>48</w:t>
      </w:r>
      <w:r w:rsidRPr="00DA3766">
        <w:rPr>
          <w:rFonts w:ascii="Times New Roman" w:hAnsi="Times New Roman" w:cs="Times New Roman"/>
        </w:rPr>
        <w:t>个月。</w:t>
      </w:r>
    </w:p>
    <w:p w14:paraId="73460AC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将可比上市公司带财务杠杆的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rPr>
        <w:t>系数（</w:t>
      </w:r>
      <w:r w:rsidRPr="00DA3766">
        <w:rPr>
          <w:rFonts w:ascii="Cambria Math" w:hAnsi="Cambria Math" w:cs="Cambria Math"/>
        </w:rPr>
        <w:t>𝛽𝐿</w:t>
      </w:r>
      <w:r w:rsidRPr="00DA3766">
        <w:rPr>
          <w:rFonts w:ascii="Times New Roman" w:hAnsi="Times New Roman" w:cs="Times New Roman"/>
        </w:rPr>
        <w:t>）调整为不带财务杠杆</w:t>
      </w:r>
      <w:r w:rsidRPr="00DA3766">
        <w:rPr>
          <w:rFonts w:ascii="Times New Roman" w:hAnsi="Times New Roman" w:cs="Times New Roman"/>
          <w:kern w:val="2"/>
          <w14:ligatures w14:val="standardContextual"/>
        </w:rPr>
        <w:t>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w:t>
      </w:r>
      <w:r w:rsidRPr="00DA3766">
        <w:rPr>
          <w:rFonts w:ascii="Times New Roman" w:hAnsi="Times New Roman" w:cs="Times New Roman"/>
          <w:kern w:val="2"/>
          <w14:ligatures w14:val="standardContextual"/>
        </w:rPr>
        <w:t>U</w:t>
      </w:r>
      <w:r w:rsidRPr="00DA3766">
        <w:rPr>
          <w:rFonts w:ascii="Times New Roman" w:hAnsi="Times New Roman" w:cs="Times New Roman"/>
          <w:kern w:val="2"/>
          <w14:ligatures w14:val="standardContextual"/>
        </w:rPr>
        <w:t>），在此基础上通过取平均值等方法得到评估对象不带财务杠杆的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w:t>
      </w:r>
      <w:r w:rsidRPr="00DA3766">
        <w:rPr>
          <w:rFonts w:ascii="Times New Roman" w:hAnsi="Times New Roman" w:cs="Times New Roman"/>
          <w:kern w:val="2"/>
          <w14:ligatures w14:val="standardContextual"/>
        </w:rPr>
        <w:t>U</w:t>
      </w:r>
      <w:r w:rsidRPr="00DA3766">
        <w:rPr>
          <w:rFonts w:ascii="Times New Roman" w:hAnsi="Times New Roman" w:cs="Times New Roman"/>
          <w:kern w:val="2"/>
          <w14:ligatures w14:val="standardContextual"/>
        </w:rPr>
        <w:t>），最后考虑评估对象适用的资本结构得到其带财务杠杆的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𝛽𝐿</w:t>
      </w:r>
      <w:r w:rsidRPr="00DA3766">
        <w:rPr>
          <w:rFonts w:ascii="Times New Roman" w:hAnsi="Times New Roman" w:cs="Times New Roman"/>
          <w:kern w:val="2"/>
          <w14:ligatures w14:val="standardContextual"/>
        </w:rPr>
        <w:t>），计算公式如下：</w:t>
      </w:r>
    </w:p>
    <w:p w14:paraId="6117F80A" w14:textId="500A83C8" w:rsidR="00EB3B4C" w:rsidRPr="00DA3766" w:rsidRDefault="00000000" w:rsidP="00DA3766">
      <w:pPr>
        <w:spacing w:before="120" w:after="120"/>
        <w:ind w:firstLine="480"/>
        <w:jc w:val="both"/>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L</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U</m:t>
              </m:r>
            </m:sub>
          </m:sSub>
          <m:r>
            <m:rPr>
              <m:sty m:val="p"/>
            </m:rPr>
            <w:rPr>
              <w:rFonts w:ascii="Cambria Math" w:hAnsi="Cambria Math" w:cs="Times New Roman"/>
            </w:rPr>
            <m:t>×</m:t>
          </m:r>
          <m:d>
            <m:dPr>
              <m:begChr m:val="["/>
              <m:endChr m:val="]"/>
              <m:ctrlPr>
                <w:rPr>
                  <w:rFonts w:ascii="Cambria Math" w:hAnsi="Cambria Math" w:cs="Times New Roman"/>
                </w:rPr>
              </m:ctrlPr>
            </m:dPr>
            <m:e>
              <m:r>
                <m:rPr>
                  <m:sty m:val="p"/>
                </m:rPr>
                <w:rPr>
                  <w:rFonts w:ascii="Cambria Math" w:hAnsi="Cambria Math" w:cs="Times New Roman"/>
                </w:rPr>
                <m:t>1+</m:t>
              </m:r>
              <m:r>
                <m:rPr>
                  <m:sty m:val="p"/>
                </m:rPr>
                <w:rPr>
                  <w:rFonts w:ascii="Cambria Math" w:hAnsi="Cambria Math" w:cs="Times New Roman"/>
                </w:rPr>
                <m:t>（</m:t>
              </m:r>
              <m:r>
                <m:rPr>
                  <m:sty m:val="p"/>
                </m:rPr>
                <w:rPr>
                  <w:rFonts w:ascii="Cambria Math" w:hAnsi="Cambria Math" w:cs="Times New Roman"/>
                </w:rPr>
                <m:t>1-</m:t>
              </m:r>
              <m:r>
                <w:rPr>
                  <w:rFonts w:ascii="Cambria Math" w:hAnsi="Cambria Math" w:cs="Times New Roman"/>
                </w:rPr>
                <m:t>T</m:t>
              </m:r>
              <m:r>
                <m:rPr>
                  <m:sty m:val="p"/>
                </m:rPr>
                <w:rPr>
                  <w:rFonts w:ascii="Cambria Math" w:hAnsi="Cambria Math" w:cs="Times New Roman"/>
                </w:rPr>
                <m:t>）</m:t>
              </m:r>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D</m:t>
                  </m:r>
                </m:num>
                <m:den>
                  <m:r>
                    <w:rPr>
                      <w:rFonts w:ascii="Cambria Math" w:hAnsi="Cambria Math" w:cs="Times New Roman"/>
                    </w:rPr>
                    <m:t>E</m:t>
                  </m:r>
                </m:den>
              </m:f>
            </m:e>
          </m:d>
        </m:oMath>
      </m:oMathPara>
    </w:p>
    <w:p w14:paraId="6F9374C4"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rPr>
        <w:t>式中</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βL—</w:t>
      </w:r>
      <w:r w:rsidRPr="00DA3766">
        <w:rPr>
          <w:rFonts w:ascii="Times New Roman" w:hAnsi="Times New Roman" w:cs="Times New Roman"/>
          <w:kern w:val="2"/>
          <w14:ligatures w14:val="standardContextual"/>
        </w:rPr>
        <w:t>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p>
    <w:p w14:paraId="06F37AF1"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βU—</w:t>
      </w:r>
      <w:r w:rsidRPr="00DA3766">
        <w:rPr>
          <w:rFonts w:ascii="Times New Roman" w:hAnsi="Times New Roman" w:cs="Times New Roman"/>
          <w:kern w:val="2"/>
          <w14:ligatures w14:val="standardContextual"/>
        </w:rPr>
        <w:t>不带财务杠杆的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p>
    <w:p w14:paraId="45C02D37"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T—</w:t>
      </w:r>
      <w:r w:rsidRPr="00DA3766">
        <w:rPr>
          <w:rFonts w:ascii="Times New Roman" w:hAnsi="Times New Roman" w:cs="Times New Roman"/>
          <w:kern w:val="2"/>
          <w14:ligatures w14:val="standardContextual"/>
        </w:rPr>
        <w:t>企业所得税税率；</w:t>
      </w:r>
    </w:p>
    <w:p w14:paraId="789383A0"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D/E—</w:t>
      </w:r>
      <w:r w:rsidRPr="00DA3766">
        <w:rPr>
          <w:rFonts w:ascii="Times New Roman" w:hAnsi="Times New Roman" w:cs="Times New Roman"/>
          <w:kern w:val="2"/>
          <w14:ligatures w14:val="standardContextual"/>
        </w:rPr>
        <w:t>付息债务与权益资本价值的比率。</w:t>
      </w:r>
    </w:p>
    <w:p w14:paraId="4E2D7980"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其中所得税率数据</w:t>
      </w:r>
      <w:r w:rsidRPr="00DA3766">
        <w:rPr>
          <w:rFonts w:ascii="Times New Roman" w:hAnsi="Times New Roman" w:cs="Times New Roman"/>
        </w:rPr>
        <w:t>T</w:t>
      </w:r>
      <w:r w:rsidRPr="00DA3766">
        <w:rPr>
          <w:rFonts w:ascii="Times New Roman" w:hAnsi="Times New Roman" w:cs="Times New Roman"/>
        </w:rPr>
        <w:t>查询自各上市公司公布的</w:t>
      </w:r>
      <w:r w:rsidRPr="00DA3766">
        <w:rPr>
          <w:rFonts w:ascii="Times New Roman" w:hAnsi="Times New Roman" w:cs="Times New Roman"/>
        </w:rPr>
        <w:t>2024</w:t>
      </w:r>
      <w:r w:rsidRPr="00DA3766">
        <w:rPr>
          <w:rFonts w:ascii="Times New Roman" w:hAnsi="Times New Roman" w:cs="Times New Roman"/>
        </w:rPr>
        <w:t>年年报数据；</w:t>
      </w:r>
      <w:r w:rsidRPr="00DA3766">
        <w:rPr>
          <w:rFonts w:ascii="Times New Roman" w:hAnsi="Times New Roman" w:cs="Times New Roman"/>
        </w:rPr>
        <w:t>D/E</w:t>
      </w:r>
      <w:r w:rsidRPr="00DA3766">
        <w:rPr>
          <w:rFonts w:ascii="Times New Roman" w:hAnsi="Times New Roman" w:cs="Times New Roman"/>
        </w:rPr>
        <w:t>数据，则根据基准日可比上市公司的收盘价、总股本、少数股权数据计算股东全部权益价值</w:t>
      </w:r>
      <w:r w:rsidRPr="00DA3766">
        <w:rPr>
          <w:rFonts w:ascii="Times New Roman" w:hAnsi="Times New Roman" w:cs="Times New Roman"/>
        </w:rPr>
        <w:t>E</w:t>
      </w:r>
      <w:r w:rsidRPr="00DA3766">
        <w:rPr>
          <w:rFonts w:ascii="Times New Roman" w:hAnsi="Times New Roman" w:cs="Times New Roman"/>
        </w:rPr>
        <w:t>；查询可比上市公司半年数据获得短期借款、长期借款等带息债务的数据，最终计算出可比上市公司于基准日的付息债务价值</w:t>
      </w:r>
      <w:r w:rsidRPr="00DA3766">
        <w:rPr>
          <w:rFonts w:ascii="Times New Roman" w:hAnsi="Times New Roman" w:cs="Times New Roman"/>
        </w:rPr>
        <w:t>D</w:t>
      </w:r>
      <w:r w:rsidRPr="00DA3766">
        <w:rPr>
          <w:rFonts w:ascii="Times New Roman" w:hAnsi="Times New Roman" w:cs="Times New Roman"/>
        </w:rPr>
        <w:t>，最终计算出</w:t>
      </w:r>
      <w:r w:rsidRPr="00DA3766">
        <w:rPr>
          <w:rFonts w:ascii="Times New Roman" w:hAnsi="Times New Roman" w:cs="Times New Roman"/>
        </w:rPr>
        <w:t>D/E</w:t>
      </w:r>
      <w:r w:rsidRPr="00DA3766">
        <w:rPr>
          <w:rFonts w:ascii="Times New Roman" w:hAnsi="Times New Roman" w:cs="Times New Roman"/>
        </w:rPr>
        <w:t>的数据。</w:t>
      </w:r>
    </w:p>
    <w:p w14:paraId="419AFE63"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根据上述过程，</w:t>
      </w:r>
      <w:r w:rsidRPr="00DA3766">
        <w:rPr>
          <w:rFonts w:ascii="Times New Roman" w:hAnsi="Times New Roman" w:cs="Times New Roman"/>
        </w:rPr>
        <w:t>beta</w:t>
      </w:r>
      <w:r w:rsidRPr="00DA3766">
        <w:rPr>
          <w:rFonts w:ascii="Times New Roman" w:hAnsi="Times New Roman" w:cs="Times New Roman"/>
        </w:rPr>
        <w:t>系数测算结果如下：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75"/>
        <w:gridCol w:w="4153"/>
      </w:tblGrid>
      <w:tr w:rsidR="00EB3B4C" w:rsidRPr="00DA3766" w14:paraId="45018937" w14:textId="77777777" w:rsidTr="00DA3766">
        <w:trPr>
          <w:trHeight w:val="397"/>
          <w:tblHeader/>
          <w:jc w:val="center"/>
        </w:trPr>
        <w:tc>
          <w:tcPr>
            <w:tcW w:w="2565" w:type="pct"/>
            <w:vAlign w:val="center"/>
            <w:hideMark/>
          </w:tcPr>
          <w:p w14:paraId="721E027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2435" w:type="pct"/>
            <w:vAlign w:val="center"/>
            <w:hideMark/>
          </w:tcPr>
          <w:p w14:paraId="04517BA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剔除财务杠杆调整后</w:t>
            </w:r>
          </w:p>
        </w:tc>
      </w:tr>
      <w:tr w:rsidR="00EB3B4C" w:rsidRPr="00DA3766" w14:paraId="326E481C" w14:textId="77777777" w:rsidTr="00DA3766">
        <w:trPr>
          <w:trHeight w:val="397"/>
          <w:jc w:val="center"/>
        </w:trPr>
        <w:tc>
          <w:tcPr>
            <w:tcW w:w="2565" w:type="pct"/>
            <w:vAlign w:val="center"/>
            <w:hideMark/>
          </w:tcPr>
          <w:p w14:paraId="66F9CAC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26</w:t>
            </w:r>
            <w:r w:rsidRPr="00DA3766">
              <w:rPr>
                <w:rFonts w:ascii="Times New Roman" w:hAnsi="Times New Roman" w:cs="Times New Roman"/>
                <w:b/>
                <w:bCs/>
                <w:color w:val="000000"/>
                <w:sz w:val="21"/>
              </w:rPr>
              <w:t>家上市公司均值</w:t>
            </w:r>
          </w:p>
        </w:tc>
        <w:tc>
          <w:tcPr>
            <w:tcW w:w="2435" w:type="pct"/>
            <w:vAlign w:val="center"/>
            <w:hideMark/>
          </w:tcPr>
          <w:p w14:paraId="17E4752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1.158</w:t>
            </w:r>
          </w:p>
        </w:tc>
      </w:tr>
    </w:tbl>
    <w:p w14:paraId="4BD11AD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（三）折现率的预测是否合理、谨慎</w:t>
      </w:r>
    </w:p>
    <w:p w14:paraId="2FFF543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经过上述过程测算得出本次预测期内选取的折现率数据为</w:t>
      </w:r>
      <w:r w:rsidRPr="00DA3766">
        <w:rPr>
          <w:rFonts w:ascii="Times New Roman" w:hAnsi="Times New Roman" w:cs="Times New Roman"/>
        </w:rPr>
        <w:t>11.7%</w:t>
      </w:r>
      <w:r w:rsidRPr="00DA3766">
        <w:rPr>
          <w:rFonts w:ascii="Times New Roman" w:hAnsi="Times New Roman" w:cs="Times New Roman"/>
        </w:rPr>
        <w:t>。经查询最近</w:t>
      </w:r>
      <w:r w:rsidRPr="00DA3766">
        <w:rPr>
          <w:rFonts w:ascii="Times New Roman" w:hAnsi="Times New Roman" w:cs="Times New Roman"/>
        </w:rPr>
        <w:t>2</w:t>
      </w:r>
      <w:r w:rsidRPr="00DA3766">
        <w:rPr>
          <w:rFonts w:ascii="Times New Roman" w:hAnsi="Times New Roman" w:cs="Times New Roman"/>
        </w:rPr>
        <w:t>年过会的沪深主板及创业板重组项目中采用收益法作为主结论的过会案例折现率分布于</w:t>
      </w:r>
      <w:r w:rsidRPr="00DA3766">
        <w:rPr>
          <w:rFonts w:ascii="Times New Roman" w:hAnsi="Times New Roman" w:cs="Times New Roman"/>
        </w:rPr>
        <w:t>6.93%~14.63%</w:t>
      </w:r>
      <w:r w:rsidRPr="00DA3766">
        <w:rPr>
          <w:rFonts w:ascii="Times New Roman" w:hAnsi="Times New Roman" w:cs="Times New Roman"/>
        </w:rPr>
        <w:t>。不考虑内蒙华电和甘肃能源等涉及能源电力行业的极低偏离值，均值为</w:t>
      </w:r>
      <w:r w:rsidRPr="00DA3766">
        <w:rPr>
          <w:rFonts w:ascii="Times New Roman" w:hAnsi="Times New Roman" w:cs="Times New Roman"/>
        </w:rPr>
        <w:t>11.02%</w:t>
      </w:r>
      <w:r w:rsidRPr="00DA3766">
        <w:rPr>
          <w:rFonts w:ascii="Times New Roman" w:hAnsi="Times New Roman" w:cs="Times New Roman"/>
        </w:rPr>
        <w:t>，中位数为</w:t>
      </w:r>
      <w:r w:rsidRPr="00DA3766">
        <w:rPr>
          <w:rFonts w:ascii="Times New Roman" w:hAnsi="Times New Roman" w:cs="Times New Roman"/>
        </w:rPr>
        <w:t>11.13%</w:t>
      </w:r>
      <w:r w:rsidRPr="00DA3766">
        <w:rPr>
          <w:rFonts w:ascii="Times New Roman" w:hAnsi="Times New Roman" w:cs="Times New Roman"/>
        </w:rPr>
        <w:t>，本次折现率</w:t>
      </w:r>
      <w:r w:rsidRPr="00DA3766">
        <w:rPr>
          <w:rFonts w:ascii="Times New Roman" w:hAnsi="Times New Roman" w:cs="Times New Roman"/>
        </w:rPr>
        <w:t>11.7%</w:t>
      </w:r>
      <w:r w:rsidRPr="00DA3766">
        <w:rPr>
          <w:rFonts w:ascii="Times New Roman" w:hAnsi="Times New Roman" w:cs="Times New Roman"/>
        </w:rPr>
        <w:t>高于近年过会案例平均和中位数水平，因此预测期折现率具备谨慎性和合理性。</w:t>
      </w:r>
    </w:p>
    <w:p w14:paraId="714E9EF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重组案例具体情况如下：</w:t>
      </w:r>
    </w:p>
    <w:tbl>
      <w:tblPr>
        <w:tblW w:w="639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1020"/>
        <w:gridCol w:w="1110"/>
        <w:gridCol w:w="1025"/>
        <w:gridCol w:w="2436"/>
        <w:gridCol w:w="1662"/>
        <w:gridCol w:w="888"/>
        <w:gridCol w:w="1601"/>
      </w:tblGrid>
      <w:tr w:rsidR="00EB3B4C" w:rsidRPr="00DA3766" w14:paraId="5FFBB68A" w14:textId="77777777" w:rsidTr="004C2193">
        <w:trPr>
          <w:trHeight w:val="397"/>
          <w:tblHeader/>
          <w:jc w:val="center"/>
        </w:trPr>
        <w:tc>
          <w:tcPr>
            <w:tcW w:w="533" w:type="pct"/>
            <w:vAlign w:val="center"/>
            <w:hideMark/>
          </w:tcPr>
          <w:p w14:paraId="703553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过会时间</w:t>
            </w:r>
          </w:p>
        </w:tc>
        <w:tc>
          <w:tcPr>
            <w:tcW w:w="467" w:type="pct"/>
            <w:vAlign w:val="center"/>
            <w:hideMark/>
          </w:tcPr>
          <w:p w14:paraId="48D24E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股票简称</w:t>
            </w:r>
          </w:p>
        </w:tc>
        <w:tc>
          <w:tcPr>
            <w:tcW w:w="509" w:type="pct"/>
            <w:vAlign w:val="center"/>
            <w:hideMark/>
          </w:tcPr>
          <w:p w14:paraId="470D7F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股票代码</w:t>
            </w:r>
          </w:p>
        </w:tc>
        <w:tc>
          <w:tcPr>
            <w:tcW w:w="470" w:type="pct"/>
            <w:vAlign w:val="center"/>
            <w:hideMark/>
          </w:tcPr>
          <w:p w14:paraId="6BD938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所属板块</w:t>
            </w:r>
          </w:p>
        </w:tc>
        <w:tc>
          <w:tcPr>
            <w:tcW w:w="1117" w:type="pct"/>
            <w:vAlign w:val="center"/>
            <w:hideMark/>
          </w:tcPr>
          <w:p w14:paraId="0759D26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收购标的</w:t>
            </w:r>
          </w:p>
        </w:tc>
        <w:tc>
          <w:tcPr>
            <w:tcW w:w="762" w:type="pct"/>
            <w:vAlign w:val="center"/>
          </w:tcPr>
          <w:p w14:paraId="1BE8B68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所属行业</w:t>
            </w:r>
          </w:p>
        </w:tc>
        <w:tc>
          <w:tcPr>
            <w:tcW w:w="407" w:type="pct"/>
            <w:vAlign w:val="center"/>
            <w:hideMark/>
          </w:tcPr>
          <w:p w14:paraId="49AED9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主结论</w:t>
            </w:r>
          </w:p>
        </w:tc>
        <w:tc>
          <w:tcPr>
            <w:tcW w:w="734" w:type="pct"/>
            <w:vAlign w:val="center"/>
            <w:hideMark/>
          </w:tcPr>
          <w:p w14:paraId="53E053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折现率</w:t>
            </w:r>
          </w:p>
        </w:tc>
      </w:tr>
      <w:tr w:rsidR="00EB3B4C" w:rsidRPr="00DA3766" w14:paraId="5E21060E" w14:textId="77777777" w:rsidTr="004C2193">
        <w:trPr>
          <w:trHeight w:val="397"/>
          <w:jc w:val="center"/>
        </w:trPr>
        <w:tc>
          <w:tcPr>
            <w:tcW w:w="533" w:type="pct"/>
            <w:vAlign w:val="center"/>
            <w:hideMark/>
          </w:tcPr>
          <w:p w14:paraId="5696A88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2024-03-27</w:t>
            </w:r>
          </w:p>
        </w:tc>
        <w:tc>
          <w:tcPr>
            <w:tcW w:w="467" w:type="pct"/>
            <w:vAlign w:val="center"/>
            <w:hideMark/>
          </w:tcPr>
          <w:p w14:paraId="6CCBCEB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昊华科技</w:t>
            </w:r>
          </w:p>
        </w:tc>
        <w:tc>
          <w:tcPr>
            <w:tcW w:w="509" w:type="pct"/>
            <w:vAlign w:val="center"/>
            <w:hideMark/>
          </w:tcPr>
          <w:p w14:paraId="61C6C2A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600378.SH</w:t>
            </w:r>
          </w:p>
        </w:tc>
        <w:tc>
          <w:tcPr>
            <w:tcW w:w="470" w:type="pct"/>
            <w:vAlign w:val="center"/>
            <w:hideMark/>
          </w:tcPr>
          <w:p w14:paraId="2126A86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6318786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中化蓝天</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3CCFC53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化学原料和化学制品制造业</w:t>
            </w:r>
          </w:p>
        </w:tc>
        <w:tc>
          <w:tcPr>
            <w:tcW w:w="407" w:type="pct"/>
            <w:vAlign w:val="center"/>
            <w:hideMark/>
          </w:tcPr>
          <w:p w14:paraId="09CE630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4DB9709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11.12%</w:t>
            </w:r>
          </w:p>
        </w:tc>
      </w:tr>
      <w:tr w:rsidR="00EB3B4C" w:rsidRPr="00DA3766" w14:paraId="53F6491D" w14:textId="77777777" w:rsidTr="004C2193">
        <w:trPr>
          <w:trHeight w:val="397"/>
          <w:jc w:val="center"/>
        </w:trPr>
        <w:tc>
          <w:tcPr>
            <w:tcW w:w="533" w:type="pct"/>
            <w:vAlign w:val="center"/>
            <w:hideMark/>
          </w:tcPr>
          <w:p w14:paraId="33F21F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2024-06-07</w:t>
            </w:r>
          </w:p>
        </w:tc>
        <w:tc>
          <w:tcPr>
            <w:tcW w:w="467" w:type="pct"/>
            <w:vAlign w:val="center"/>
            <w:hideMark/>
          </w:tcPr>
          <w:p w14:paraId="6AB2381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军信股份</w:t>
            </w:r>
          </w:p>
        </w:tc>
        <w:tc>
          <w:tcPr>
            <w:tcW w:w="509" w:type="pct"/>
            <w:vAlign w:val="center"/>
            <w:hideMark/>
          </w:tcPr>
          <w:p w14:paraId="521EED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301109.SZ</w:t>
            </w:r>
          </w:p>
        </w:tc>
        <w:tc>
          <w:tcPr>
            <w:tcW w:w="470" w:type="pct"/>
            <w:vAlign w:val="center"/>
            <w:hideMark/>
          </w:tcPr>
          <w:p w14:paraId="079A649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117" w:type="pct"/>
            <w:vAlign w:val="center"/>
            <w:hideMark/>
          </w:tcPr>
          <w:p w14:paraId="4911668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仁和环境</w:t>
            </w:r>
            <w:r w:rsidRPr="00DA3766">
              <w:rPr>
                <w:rFonts w:ascii="Times New Roman" w:hAnsi="Times New Roman" w:cs="Times New Roman"/>
                <w:color w:val="000000"/>
                <w:sz w:val="18"/>
                <w:szCs w:val="21"/>
              </w:rPr>
              <w:t>63%</w:t>
            </w:r>
            <w:r w:rsidRPr="00DA3766">
              <w:rPr>
                <w:rFonts w:ascii="Times New Roman" w:hAnsi="Times New Roman" w:cs="Times New Roman"/>
                <w:color w:val="000000"/>
                <w:sz w:val="18"/>
                <w:szCs w:val="21"/>
              </w:rPr>
              <w:t>股权</w:t>
            </w:r>
          </w:p>
        </w:tc>
        <w:tc>
          <w:tcPr>
            <w:tcW w:w="762" w:type="pct"/>
            <w:vAlign w:val="center"/>
          </w:tcPr>
          <w:p w14:paraId="3B97C81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生态保护和环境治理业</w:t>
            </w:r>
          </w:p>
        </w:tc>
        <w:tc>
          <w:tcPr>
            <w:tcW w:w="407" w:type="pct"/>
            <w:vAlign w:val="center"/>
            <w:hideMark/>
          </w:tcPr>
          <w:p w14:paraId="48E44C9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795BDB3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11.40%</w:t>
            </w:r>
          </w:p>
        </w:tc>
      </w:tr>
      <w:tr w:rsidR="00EB3B4C" w:rsidRPr="00DA3766" w14:paraId="10B46CC1" w14:textId="77777777" w:rsidTr="004C2193">
        <w:trPr>
          <w:trHeight w:val="397"/>
          <w:jc w:val="center"/>
        </w:trPr>
        <w:tc>
          <w:tcPr>
            <w:tcW w:w="533" w:type="pct"/>
            <w:vAlign w:val="center"/>
            <w:hideMark/>
          </w:tcPr>
          <w:p w14:paraId="2A5FBF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2024-08-02</w:t>
            </w:r>
          </w:p>
        </w:tc>
        <w:tc>
          <w:tcPr>
            <w:tcW w:w="467" w:type="pct"/>
            <w:vAlign w:val="center"/>
            <w:hideMark/>
          </w:tcPr>
          <w:p w14:paraId="365260C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华亚智能</w:t>
            </w:r>
          </w:p>
        </w:tc>
        <w:tc>
          <w:tcPr>
            <w:tcW w:w="509" w:type="pct"/>
            <w:vAlign w:val="center"/>
            <w:hideMark/>
          </w:tcPr>
          <w:p w14:paraId="11588EC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003043.SZ</w:t>
            </w:r>
          </w:p>
        </w:tc>
        <w:tc>
          <w:tcPr>
            <w:tcW w:w="470" w:type="pct"/>
            <w:vAlign w:val="center"/>
            <w:hideMark/>
          </w:tcPr>
          <w:p w14:paraId="0D6A87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117" w:type="pct"/>
            <w:vAlign w:val="center"/>
            <w:hideMark/>
          </w:tcPr>
          <w:p w14:paraId="4AE08C2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冠鸿智能</w:t>
            </w:r>
            <w:r w:rsidRPr="00DA3766">
              <w:rPr>
                <w:rFonts w:ascii="Times New Roman" w:hAnsi="Times New Roman" w:cs="Times New Roman"/>
                <w:color w:val="000000"/>
                <w:sz w:val="18"/>
                <w:szCs w:val="21"/>
              </w:rPr>
              <w:t>51%</w:t>
            </w:r>
            <w:r w:rsidRPr="00DA3766">
              <w:rPr>
                <w:rFonts w:ascii="Times New Roman" w:hAnsi="Times New Roman" w:cs="Times New Roman"/>
                <w:color w:val="000000"/>
                <w:sz w:val="18"/>
                <w:szCs w:val="21"/>
              </w:rPr>
              <w:t>股权</w:t>
            </w:r>
          </w:p>
        </w:tc>
        <w:tc>
          <w:tcPr>
            <w:tcW w:w="762" w:type="pct"/>
            <w:vAlign w:val="center"/>
          </w:tcPr>
          <w:p w14:paraId="236D04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金属制品业</w:t>
            </w:r>
          </w:p>
        </w:tc>
        <w:tc>
          <w:tcPr>
            <w:tcW w:w="407" w:type="pct"/>
            <w:vAlign w:val="center"/>
            <w:hideMark/>
          </w:tcPr>
          <w:p w14:paraId="2847823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5A5BD9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11.04%</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11.16%</w:t>
            </w:r>
          </w:p>
        </w:tc>
      </w:tr>
      <w:tr w:rsidR="00EB3B4C" w:rsidRPr="00DA3766" w14:paraId="18C8761F" w14:textId="77777777" w:rsidTr="004C2193">
        <w:trPr>
          <w:trHeight w:val="397"/>
          <w:jc w:val="center"/>
        </w:trPr>
        <w:tc>
          <w:tcPr>
            <w:tcW w:w="533" w:type="pct"/>
            <w:vAlign w:val="center"/>
            <w:hideMark/>
          </w:tcPr>
          <w:p w14:paraId="74BCEC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2024-08-09</w:t>
            </w:r>
          </w:p>
        </w:tc>
        <w:tc>
          <w:tcPr>
            <w:tcW w:w="467" w:type="pct"/>
            <w:vAlign w:val="center"/>
            <w:hideMark/>
          </w:tcPr>
          <w:p w14:paraId="0ED343E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中文传媒</w:t>
            </w:r>
          </w:p>
        </w:tc>
        <w:tc>
          <w:tcPr>
            <w:tcW w:w="509" w:type="pct"/>
            <w:vAlign w:val="center"/>
            <w:hideMark/>
          </w:tcPr>
          <w:p w14:paraId="59E12A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600373.SH</w:t>
            </w:r>
          </w:p>
        </w:tc>
        <w:tc>
          <w:tcPr>
            <w:tcW w:w="470" w:type="pct"/>
            <w:vAlign w:val="center"/>
            <w:hideMark/>
          </w:tcPr>
          <w:p w14:paraId="2E271B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2D6467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江教传媒</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7FDE4D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新闻和出版业</w:t>
            </w:r>
          </w:p>
        </w:tc>
        <w:tc>
          <w:tcPr>
            <w:tcW w:w="407" w:type="pct"/>
            <w:vAlign w:val="center"/>
            <w:hideMark/>
          </w:tcPr>
          <w:p w14:paraId="0E52E4B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1D1DBC2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11.13%</w:t>
            </w:r>
          </w:p>
        </w:tc>
      </w:tr>
      <w:tr w:rsidR="00EB3B4C" w:rsidRPr="00DA3766" w14:paraId="60603004" w14:textId="77777777" w:rsidTr="004C2193">
        <w:trPr>
          <w:trHeight w:val="397"/>
          <w:jc w:val="center"/>
        </w:trPr>
        <w:tc>
          <w:tcPr>
            <w:tcW w:w="533" w:type="pct"/>
            <w:vAlign w:val="center"/>
            <w:hideMark/>
          </w:tcPr>
          <w:p w14:paraId="5D6835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2024-10-14</w:t>
            </w:r>
          </w:p>
        </w:tc>
        <w:tc>
          <w:tcPr>
            <w:tcW w:w="467" w:type="pct"/>
            <w:vAlign w:val="center"/>
            <w:hideMark/>
          </w:tcPr>
          <w:p w14:paraId="01C985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甘肃能源</w:t>
            </w:r>
          </w:p>
        </w:tc>
        <w:tc>
          <w:tcPr>
            <w:tcW w:w="509" w:type="pct"/>
            <w:vAlign w:val="center"/>
            <w:hideMark/>
          </w:tcPr>
          <w:p w14:paraId="2B06F6A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000791.SZ</w:t>
            </w:r>
          </w:p>
        </w:tc>
        <w:tc>
          <w:tcPr>
            <w:tcW w:w="470" w:type="pct"/>
            <w:vAlign w:val="center"/>
            <w:hideMark/>
          </w:tcPr>
          <w:p w14:paraId="453210D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117" w:type="pct"/>
            <w:vAlign w:val="center"/>
            <w:hideMark/>
          </w:tcPr>
          <w:p w14:paraId="2CBC9E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常乐公司</w:t>
            </w:r>
            <w:r w:rsidRPr="00DA3766">
              <w:rPr>
                <w:rFonts w:ascii="Times New Roman" w:hAnsi="Times New Roman" w:cs="Times New Roman"/>
                <w:color w:val="000000"/>
                <w:sz w:val="18"/>
                <w:szCs w:val="21"/>
              </w:rPr>
              <w:t>66.00%</w:t>
            </w:r>
            <w:r w:rsidRPr="00DA3766">
              <w:rPr>
                <w:rFonts w:ascii="Times New Roman" w:hAnsi="Times New Roman" w:cs="Times New Roman"/>
                <w:color w:val="000000"/>
                <w:sz w:val="18"/>
                <w:szCs w:val="21"/>
              </w:rPr>
              <w:t>股权</w:t>
            </w:r>
          </w:p>
        </w:tc>
        <w:tc>
          <w:tcPr>
            <w:tcW w:w="762" w:type="pct"/>
            <w:vAlign w:val="center"/>
          </w:tcPr>
          <w:p w14:paraId="5B2826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电力、热力生产和供应业</w:t>
            </w:r>
          </w:p>
        </w:tc>
        <w:tc>
          <w:tcPr>
            <w:tcW w:w="407" w:type="pct"/>
            <w:vAlign w:val="center"/>
            <w:hideMark/>
          </w:tcPr>
          <w:p w14:paraId="2E5369B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510C4F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7.80%</w:t>
            </w:r>
          </w:p>
        </w:tc>
      </w:tr>
      <w:tr w:rsidR="00EB3B4C" w:rsidRPr="00DA3766" w14:paraId="1A09D51C" w14:textId="77777777" w:rsidTr="004C2193">
        <w:trPr>
          <w:trHeight w:val="397"/>
          <w:jc w:val="center"/>
        </w:trPr>
        <w:tc>
          <w:tcPr>
            <w:tcW w:w="533" w:type="pct"/>
            <w:vAlign w:val="center"/>
            <w:hideMark/>
          </w:tcPr>
          <w:p w14:paraId="651EF0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2024/11/7</w:t>
            </w:r>
          </w:p>
        </w:tc>
        <w:tc>
          <w:tcPr>
            <w:tcW w:w="467" w:type="pct"/>
            <w:vAlign w:val="center"/>
            <w:hideMark/>
          </w:tcPr>
          <w:p w14:paraId="6F07EE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麦捷科技</w:t>
            </w:r>
          </w:p>
        </w:tc>
        <w:tc>
          <w:tcPr>
            <w:tcW w:w="509" w:type="pct"/>
            <w:vAlign w:val="center"/>
            <w:hideMark/>
          </w:tcPr>
          <w:p w14:paraId="1E5AD61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300319.SZ</w:t>
            </w:r>
          </w:p>
        </w:tc>
        <w:tc>
          <w:tcPr>
            <w:tcW w:w="470" w:type="pct"/>
            <w:vAlign w:val="center"/>
            <w:hideMark/>
          </w:tcPr>
          <w:p w14:paraId="1DD3A8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117" w:type="pct"/>
            <w:vAlign w:val="center"/>
            <w:hideMark/>
          </w:tcPr>
          <w:p w14:paraId="5BF95A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安可远</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0806EA7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计算机、通信和其他电子设备制造业</w:t>
            </w:r>
          </w:p>
        </w:tc>
        <w:tc>
          <w:tcPr>
            <w:tcW w:w="407" w:type="pct"/>
            <w:vAlign w:val="center"/>
            <w:hideMark/>
          </w:tcPr>
          <w:p w14:paraId="0C5E96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23C365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11.57%</w:t>
            </w:r>
          </w:p>
        </w:tc>
      </w:tr>
      <w:tr w:rsidR="00EB3B4C" w:rsidRPr="00DA3766" w14:paraId="4EF463B0" w14:textId="77777777" w:rsidTr="004C2193">
        <w:trPr>
          <w:trHeight w:val="397"/>
          <w:jc w:val="center"/>
        </w:trPr>
        <w:tc>
          <w:tcPr>
            <w:tcW w:w="533" w:type="pct"/>
            <w:vAlign w:val="center"/>
            <w:hideMark/>
          </w:tcPr>
          <w:p w14:paraId="06415E0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2024-12-23</w:t>
            </w:r>
          </w:p>
        </w:tc>
        <w:tc>
          <w:tcPr>
            <w:tcW w:w="467" w:type="pct"/>
            <w:vAlign w:val="center"/>
            <w:hideMark/>
          </w:tcPr>
          <w:p w14:paraId="14C0F7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朗新集团</w:t>
            </w:r>
          </w:p>
        </w:tc>
        <w:tc>
          <w:tcPr>
            <w:tcW w:w="509" w:type="pct"/>
            <w:vAlign w:val="center"/>
            <w:hideMark/>
          </w:tcPr>
          <w:p w14:paraId="49E8A11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300682.SZ</w:t>
            </w:r>
          </w:p>
        </w:tc>
        <w:tc>
          <w:tcPr>
            <w:tcW w:w="470" w:type="pct"/>
            <w:vAlign w:val="center"/>
            <w:hideMark/>
          </w:tcPr>
          <w:p w14:paraId="7C790C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117" w:type="pct"/>
            <w:vAlign w:val="center"/>
            <w:hideMark/>
          </w:tcPr>
          <w:p w14:paraId="4AD2415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邦道科技</w:t>
            </w:r>
            <w:r w:rsidRPr="00DA3766">
              <w:rPr>
                <w:rFonts w:ascii="Times New Roman" w:hAnsi="Times New Roman" w:cs="Times New Roman"/>
                <w:color w:val="000000"/>
                <w:sz w:val="18"/>
                <w:szCs w:val="21"/>
              </w:rPr>
              <w:t>10%</w:t>
            </w:r>
            <w:r w:rsidRPr="00DA3766">
              <w:rPr>
                <w:rFonts w:ascii="Times New Roman" w:hAnsi="Times New Roman" w:cs="Times New Roman"/>
                <w:color w:val="000000"/>
                <w:sz w:val="18"/>
                <w:szCs w:val="21"/>
              </w:rPr>
              <w:t>股权</w:t>
            </w:r>
          </w:p>
        </w:tc>
        <w:tc>
          <w:tcPr>
            <w:tcW w:w="762" w:type="pct"/>
            <w:vAlign w:val="center"/>
          </w:tcPr>
          <w:p w14:paraId="7F21CF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软件和信息技术服务业</w:t>
            </w:r>
          </w:p>
        </w:tc>
        <w:tc>
          <w:tcPr>
            <w:tcW w:w="407" w:type="pct"/>
            <w:vAlign w:val="center"/>
            <w:hideMark/>
          </w:tcPr>
          <w:p w14:paraId="4F24DE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54795D1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14.63%</w:t>
            </w:r>
          </w:p>
        </w:tc>
      </w:tr>
      <w:tr w:rsidR="00EB3B4C" w:rsidRPr="00DA3766" w14:paraId="5C062BFE" w14:textId="77777777" w:rsidTr="004C2193">
        <w:trPr>
          <w:trHeight w:val="397"/>
          <w:jc w:val="center"/>
        </w:trPr>
        <w:tc>
          <w:tcPr>
            <w:tcW w:w="533" w:type="pct"/>
            <w:vAlign w:val="center"/>
            <w:hideMark/>
          </w:tcPr>
          <w:p w14:paraId="10A1433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2025/1/14</w:t>
            </w:r>
          </w:p>
        </w:tc>
        <w:tc>
          <w:tcPr>
            <w:tcW w:w="467" w:type="pct"/>
            <w:vAlign w:val="center"/>
            <w:hideMark/>
          </w:tcPr>
          <w:p w14:paraId="159C34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华达科技</w:t>
            </w:r>
          </w:p>
        </w:tc>
        <w:tc>
          <w:tcPr>
            <w:tcW w:w="509" w:type="pct"/>
            <w:vAlign w:val="center"/>
            <w:hideMark/>
          </w:tcPr>
          <w:p w14:paraId="2489853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603358.SH</w:t>
            </w:r>
          </w:p>
        </w:tc>
        <w:tc>
          <w:tcPr>
            <w:tcW w:w="470" w:type="pct"/>
            <w:vAlign w:val="center"/>
            <w:hideMark/>
          </w:tcPr>
          <w:p w14:paraId="4AC8B9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117C26F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江苏恒义</w:t>
            </w:r>
            <w:r w:rsidRPr="00DA3766">
              <w:rPr>
                <w:rFonts w:ascii="Times New Roman" w:hAnsi="Times New Roman" w:cs="Times New Roman"/>
                <w:color w:val="000000"/>
                <w:sz w:val="18"/>
                <w:szCs w:val="21"/>
              </w:rPr>
              <w:t>44%</w:t>
            </w:r>
            <w:r w:rsidRPr="00DA3766">
              <w:rPr>
                <w:rFonts w:ascii="Times New Roman" w:hAnsi="Times New Roman" w:cs="Times New Roman"/>
                <w:color w:val="000000"/>
                <w:sz w:val="18"/>
                <w:szCs w:val="21"/>
              </w:rPr>
              <w:t>股权</w:t>
            </w:r>
          </w:p>
        </w:tc>
        <w:tc>
          <w:tcPr>
            <w:tcW w:w="762" w:type="pct"/>
            <w:vAlign w:val="center"/>
          </w:tcPr>
          <w:p w14:paraId="62EE8C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07" w:type="pct"/>
            <w:vAlign w:val="center"/>
            <w:hideMark/>
          </w:tcPr>
          <w:p w14:paraId="748621A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58C6C1D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10.55%</w:t>
            </w:r>
          </w:p>
        </w:tc>
      </w:tr>
      <w:tr w:rsidR="00EB3B4C" w:rsidRPr="00DA3766" w14:paraId="299888E2" w14:textId="77777777" w:rsidTr="004C2193">
        <w:trPr>
          <w:trHeight w:val="397"/>
          <w:jc w:val="center"/>
        </w:trPr>
        <w:tc>
          <w:tcPr>
            <w:tcW w:w="533" w:type="pct"/>
            <w:vAlign w:val="center"/>
            <w:hideMark/>
          </w:tcPr>
          <w:p w14:paraId="73D28A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2025/3/13</w:t>
            </w:r>
          </w:p>
        </w:tc>
        <w:tc>
          <w:tcPr>
            <w:tcW w:w="467" w:type="pct"/>
            <w:vAlign w:val="center"/>
            <w:hideMark/>
          </w:tcPr>
          <w:p w14:paraId="6F198CB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宁波精达</w:t>
            </w:r>
          </w:p>
        </w:tc>
        <w:tc>
          <w:tcPr>
            <w:tcW w:w="509" w:type="pct"/>
            <w:vAlign w:val="center"/>
            <w:hideMark/>
          </w:tcPr>
          <w:p w14:paraId="423979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603088.SH</w:t>
            </w:r>
          </w:p>
        </w:tc>
        <w:tc>
          <w:tcPr>
            <w:tcW w:w="470" w:type="pct"/>
            <w:vAlign w:val="center"/>
            <w:hideMark/>
          </w:tcPr>
          <w:p w14:paraId="31FC64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3ABA30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无锡微研</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13D5E2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通用设备制造业</w:t>
            </w:r>
          </w:p>
        </w:tc>
        <w:tc>
          <w:tcPr>
            <w:tcW w:w="407" w:type="pct"/>
            <w:vAlign w:val="center"/>
            <w:hideMark/>
          </w:tcPr>
          <w:p w14:paraId="0F52669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67364F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w:t>
            </w:r>
          </w:p>
        </w:tc>
      </w:tr>
      <w:tr w:rsidR="00EB3B4C" w:rsidRPr="00DA3766" w14:paraId="2E9B632A" w14:textId="77777777" w:rsidTr="004C2193">
        <w:trPr>
          <w:trHeight w:val="397"/>
          <w:jc w:val="center"/>
        </w:trPr>
        <w:tc>
          <w:tcPr>
            <w:tcW w:w="533" w:type="pct"/>
            <w:vAlign w:val="center"/>
            <w:hideMark/>
          </w:tcPr>
          <w:p w14:paraId="5BC819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2025/3/28</w:t>
            </w:r>
          </w:p>
        </w:tc>
        <w:tc>
          <w:tcPr>
            <w:tcW w:w="467" w:type="pct"/>
            <w:vAlign w:val="center"/>
            <w:hideMark/>
          </w:tcPr>
          <w:p w14:paraId="26983C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沈阳机床</w:t>
            </w:r>
          </w:p>
        </w:tc>
        <w:tc>
          <w:tcPr>
            <w:tcW w:w="509" w:type="pct"/>
            <w:vAlign w:val="center"/>
            <w:hideMark/>
          </w:tcPr>
          <w:p w14:paraId="395876D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000410.SZ</w:t>
            </w:r>
          </w:p>
        </w:tc>
        <w:tc>
          <w:tcPr>
            <w:tcW w:w="470" w:type="pct"/>
            <w:vAlign w:val="center"/>
            <w:hideMark/>
          </w:tcPr>
          <w:p w14:paraId="11D4131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117" w:type="pct"/>
            <w:vAlign w:val="center"/>
            <w:hideMark/>
          </w:tcPr>
          <w:p w14:paraId="0FED0BE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中捷航空航天</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13EF9A9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通用设备制造业</w:t>
            </w:r>
          </w:p>
        </w:tc>
        <w:tc>
          <w:tcPr>
            <w:tcW w:w="407" w:type="pct"/>
            <w:vAlign w:val="center"/>
            <w:hideMark/>
          </w:tcPr>
          <w:p w14:paraId="6A0AEA6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3FD0215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10.31%</w:t>
            </w:r>
          </w:p>
        </w:tc>
      </w:tr>
      <w:tr w:rsidR="00EB3B4C" w:rsidRPr="00DA3766" w14:paraId="26552175" w14:textId="77777777" w:rsidTr="004C2193">
        <w:trPr>
          <w:trHeight w:val="397"/>
          <w:jc w:val="center"/>
        </w:trPr>
        <w:tc>
          <w:tcPr>
            <w:tcW w:w="533" w:type="pct"/>
            <w:vAlign w:val="center"/>
            <w:hideMark/>
          </w:tcPr>
          <w:p w14:paraId="1A381F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2025/05/29</w:t>
            </w:r>
          </w:p>
        </w:tc>
        <w:tc>
          <w:tcPr>
            <w:tcW w:w="467" w:type="pct"/>
            <w:vAlign w:val="center"/>
            <w:hideMark/>
          </w:tcPr>
          <w:p w14:paraId="7616573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富乐德</w:t>
            </w:r>
          </w:p>
        </w:tc>
        <w:tc>
          <w:tcPr>
            <w:tcW w:w="509" w:type="pct"/>
            <w:vAlign w:val="center"/>
            <w:hideMark/>
          </w:tcPr>
          <w:p w14:paraId="521BDAC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301297.SZ</w:t>
            </w:r>
          </w:p>
        </w:tc>
        <w:tc>
          <w:tcPr>
            <w:tcW w:w="470" w:type="pct"/>
            <w:vAlign w:val="center"/>
            <w:hideMark/>
          </w:tcPr>
          <w:p w14:paraId="11A5C8C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117" w:type="pct"/>
            <w:vAlign w:val="center"/>
            <w:hideMark/>
          </w:tcPr>
          <w:p w14:paraId="20157A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富乐华</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731B91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专业技术服务业</w:t>
            </w:r>
          </w:p>
        </w:tc>
        <w:tc>
          <w:tcPr>
            <w:tcW w:w="407" w:type="pct"/>
            <w:vAlign w:val="center"/>
            <w:hideMark/>
          </w:tcPr>
          <w:p w14:paraId="039B5D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7A583E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9.62%</w:t>
            </w:r>
          </w:p>
        </w:tc>
      </w:tr>
      <w:tr w:rsidR="00EB3B4C" w:rsidRPr="00DA3766" w14:paraId="3E6911EE" w14:textId="77777777" w:rsidTr="004C2193">
        <w:trPr>
          <w:trHeight w:val="397"/>
          <w:jc w:val="center"/>
        </w:trPr>
        <w:tc>
          <w:tcPr>
            <w:tcW w:w="533" w:type="pct"/>
            <w:vAlign w:val="center"/>
            <w:hideMark/>
          </w:tcPr>
          <w:p w14:paraId="2AF13D7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2025/08/08</w:t>
            </w:r>
          </w:p>
        </w:tc>
        <w:tc>
          <w:tcPr>
            <w:tcW w:w="467" w:type="pct"/>
            <w:vAlign w:val="center"/>
            <w:hideMark/>
          </w:tcPr>
          <w:p w14:paraId="03D03F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领益智造</w:t>
            </w:r>
          </w:p>
        </w:tc>
        <w:tc>
          <w:tcPr>
            <w:tcW w:w="509" w:type="pct"/>
            <w:vAlign w:val="center"/>
            <w:hideMark/>
          </w:tcPr>
          <w:p w14:paraId="67116A6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002600.SZ</w:t>
            </w:r>
          </w:p>
        </w:tc>
        <w:tc>
          <w:tcPr>
            <w:tcW w:w="470" w:type="pct"/>
            <w:vAlign w:val="center"/>
            <w:hideMark/>
          </w:tcPr>
          <w:p w14:paraId="222B3CA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117" w:type="pct"/>
            <w:vAlign w:val="center"/>
            <w:hideMark/>
          </w:tcPr>
          <w:p w14:paraId="6FC34AC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江苏科达</w:t>
            </w:r>
            <w:r w:rsidRPr="00DA3766">
              <w:rPr>
                <w:rFonts w:ascii="Times New Roman" w:hAnsi="Times New Roman" w:cs="Times New Roman"/>
                <w:color w:val="000000"/>
                <w:sz w:val="18"/>
                <w:szCs w:val="21"/>
              </w:rPr>
              <w:t>66.46%</w:t>
            </w:r>
            <w:r w:rsidRPr="00DA3766">
              <w:rPr>
                <w:rFonts w:ascii="Times New Roman" w:hAnsi="Times New Roman" w:cs="Times New Roman"/>
                <w:color w:val="000000"/>
                <w:sz w:val="18"/>
                <w:szCs w:val="21"/>
              </w:rPr>
              <w:t>股权</w:t>
            </w:r>
          </w:p>
        </w:tc>
        <w:tc>
          <w:tcPr>
            <w:tcW w:w="762" w:type="pct"/>
            <w:vAlign w:val="center"/>
          </w:tcPr>
          <w:p w14:paraId="3217B7C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计算机、通信和其他电子设备制造业</w:t>
            </w:r>
          </w:p>
        </w:tc>
        <w:tc>
          <w:tcPr>
            <w:tcW w:w="407" w:type="pct"/>
            <w:vAlign w:val="center"/>
            <w:hideMark/>
          </w:tcPr>
          <w:p w14:paraId="52F192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188196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r w:rsidR="00EB3B4C" w:rsidRPr="00DA3766" w14:paraId="5FF1977F" w14:textId="77777777" w:rsidTr="004C2193">
        <w:trPr>
          <w:trHeight w:val="397"/>
          <w:jc w:val="center"/>
        </w:trPr>
        <w:tc>
          <w:tcPr>
            <w:tcW w:w="533" w:type="pct"/>
            <w:vAlign w:val="center"/>
            <w:hideMark/>
          </w:tcPr>
          <w:p w14:paraId="5FE1BC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2025/08/18</w:t>
            </w:r>
          </w:p>
        </w:tc>
        <w:tc>
          <w:tcPr>
            <w:tcW w:w="467" w:type="pct"/>
            <w:vAlign w:val="center"/>
            <w:hideMark/>
          </w:tcPr>
          <w:p w14:paraId="71FC75E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千金药业</w:t>
            </w:r>
          </w:p>
        </w:tc>
        <w:tc>
          <w:tcPr>
            <w:tcW w:w="509" w:type="pct"/>
            <w:vAlign w:val="center"/>
            <w:hideMark/>
          </w:tcPr>
          <w:p w14:paraId="7D43957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600479.SH</w:t>
            </w:r>
          </w:p>
        </w:tc>
        <w:tc>
          <w:tcPr>
            <w:tcW w:w="470" w:type="pct"/>
            <w:vAlign w:val="center"/>
            <w:hideMark/>
          </w:tcPr>
          <w:p w14:paraId="24CA47A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7F2BC5E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千金湘江药业</w:t>
            </w:r>
            <w:r w:rsidRPr="00DA3766">
              <w:rPr>
                <w:rFonts w:ascii="Times New Roman" w:hAnsi="Times New Roman" w:cs="Times New Roman"/>
                <w:color w:val="000000"/>
                <w:sz w:val="18"/>
                <w:szCs w:val="21"/>
              </w:rPr>
              <w:t>28.92%</w:t>
            </w:r>
            <w:r w:rsidRPr="00DA3766">
              <w:rPr>
                <w:rFonts w:ascii="Times New Roman" w:hAnsi="Times New Roman" w:cs="Times New Roman"/>
                <w:color w:val="000000"/>
                <w:sz w:val="18"/>
                <w:szCs w:val="21"/>
              </w:rPr>
              <w:t>股权</w:t>
            </w:r>
          </w:p>
        </w:tc>
        <w:tc>
          <w:tcPr>
            <w:tcW w:w="762" w:type="pct"/>
            <w:vAlign w:val="center"/>
          </w:tcPr>
          <w:p w14:paraId="4D533E6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医药制造业</w:t>
            </w:r>
          </w:p>
        </w:tc>
        <w:tc>
          <w:tcPr>
            <w:tcW w:w="407" w:type="pct"/>
            <w:vAlign w:val="center"/>
            <w:hideMark/>
          </w:tcPr>
          <w:p w14:paraId="0D8CC99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6D1F2C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10.05%</w:t>
            </w:r>
          </w:p>
        </w:tc>
      </w:tr>
      <w:tr w:rsidR="00EB3B4C" w:rsidRPr="00DA3766" w14:paraId="60563BC9" w14:textId="77777777" w:rsidTr="004C2193">
        <w:trPr>
          <w:trHeight w:val="397"/>
          <w:jc w:val="center"/>
        </w:trPr>
        <w:tc>
          <w:tcPr>
            <w:tcW w:w="533" w:type="pct"/>
            <w:vAlign w:val="center"/>
            <w:hideMark/>
          </w:tcPr>
          <w:p w14:paraId="524DD3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2025/08/25</w:t>
            </w:r>
          </w:p>
        </w:tc>
        <w:tc>
          <w:tcPr>
            <w:tcW w:w="467" w:type="pct"/>
            <w:vAlign w:val="center"/>
            <w:hideMark/>
          </w:tcPr>
          <w:p w14:paraId="0EC72C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爱柯迪</w:t>
            </w:r>
          </w:p>
        </w:tc>
        <w:tc>
          <w:tcPr>
            <w:tcW w:w="509" w:type="pct"/>
            <w:vAlign w:val="center"/>
            <w:hideMark/>
          </w:tcPr>
          <w:p w14:paraId="0A1311B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600933.SH</w:t>
            </w:r>
          </w:p>
        </w:tc>
        <w:tc>
          <w:tcPr>
            <w:tcW w:w="470" w:type="pct"/>
            <w:vAlign w:val="center"/>
            <w:hideMark/>
          </w:tcPr>
          <w:p w14:paraId="189B1A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11559BB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卓尔博</w:t>
            </w:r>
            <w:r w:rsidRPr="00DA3766">
              <w:rPr>
                <w:rFonts w:ascii="Times New Roman" w:hAnsi="Times New Roman" w:cs="Times New Roman"/>
                <w:color w:val="000000"/>
                <w:sz w:val="18"/>
                <w:szCs w:val="21"/>
              </w:rPr>
              <w:t>71%</w:t>
            </w:r>
            <w:r w:rsidRPr="00DA3766">
              <w:rPr>
                <w:rFonts w:ascii="Times New Roman" w:hAnsi="Times New Roman" w:cs="Times New Roman"/>
                <w:color w:val="000000"/>
                <w:sz w:val="18"/>
                <w:szCs w:val="21"/>
              </w:rPr>
              <w:t>股权</w:t>
            </w:r>
          </w:p>
        </w:tc>
        <w:tc>
          <w:tcPr>
            <w:tcW w:w="762" w:type="pct"/>
            <w:vAlign w:val="center"/>
          </w:tcPr>
          <w:p w14:paraId="1C4379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07" w:type="pct"/>
            <w:vAlign w:val="center"/>
            <w:hideMark/>
          </w:tcPr>
          <w:p w14:paraId="63A54B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575E866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11.30%</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11.20%</w:t>
            </w:r>
          </w:p>
        </w:tc>
      </w:tr>
      <w:tr w:rsidR="00EB3B4C" w:rsidRPr="00DA3766" w14:paraId="2889D26D" w14:textId="77777777" w:rsidTr="004C2193">
        <w:trPr>
          <w:trHeight w:val="397"/>
          <w:jc w:val="center"/>
        </w:trPr>
        <w:tc>
          <w:tcPr>
            <w:tcW w:w="533" w:type="pct"/>
            <w:vAlign w:val="center"/>
            <w:hideMark/>
          </w:tcPr>
          <w:p w14:paraId="674074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2025/11/07</w:t>
            </w:r>
          </w:p>
        </w:tc>
        <w:tc>
          <w:tcPr>
            <w:tcW w:w="467" w:type="pct"/>
            <w:vAlign w:val="center"/>
            <w:hideMark/>
          </w:tcPr>
          <w:p w14:paraId="2EB77F4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德尔股份</w:t>
            </w:r>
          </w:p>
        </w:tc>
        <w:tc>
          <w:tcPr>
            <w:tcW w:w="509" w:type="pct"/>
            <w:vAlign w:val="center"/>
            <w:hideMark/>
          </w:tcPr>
          <w:p w14:paraId="5099C4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300473.SZ</w:t>
            </w:r>
          </w:p>
        </w:tc>
        <w:tc>
          <w:tcPr>
            <w:tcW w:w="470" w:type="pct"/>
            <w:vAlign w:val="center"/>
            <w:hideMark/>
          </w:tcPr>
          <w:p w14:paraId="3616D45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117" w:type="pct"/>
            <w:vAlign w:val="center"/>
            <w:hideMark/>
          </w:tcPr>
          <w:p w14:paraId="24DD6D3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爱卓科技</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5DB2CB3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07" w:type="pct"/>
            <w:vAlign w:val="center"/>
            <w:hideMark/>
          </w:tcPr>
          <w:p w14:paraId="2F2BC6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3D600AC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r w:rsidR="00EB3B4C" w:rsidRPr="00DA3766" w14:paraId="5C78F660" w14:textId="77777777" w:rsidTr="004C2193">
        <w:trPr>
          <w:trHeight w:val="397"/>
          <w:jc w:val="center"/>
        </w:trPr>
        <w:tc>
          <w:tcPr>
            <w:tcW w:w="533" w:type="pct"/>
            <w:vAlign w:val="center"/>
            <w:hideMark/>
          </w:tcPr>
          <w:p w14:paraId="4A5A758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2025/12/10</w:t>
            </w:r>
          </w:p>
        </w:tc>
        <w:tc>
          <w:tcPr>
            <w:tcW w:w="467" w:type="pct"/>
            <w:vAlign w:val="center"/>
            <w:hideMark/>
          </w:tcPr>
          <w:p w14:paraId="0B5C16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日播时尚</w:t>
            </w:r>
          </w:p>
        </w:tc>
        <w:tc>
          <w:tcPr>
            <w:tcW w:w="509" w:type="pct"/>
            <w:vAlign w:val="center"/>
            <w:hideMark/>
          </w:tcPr>
          <w:p w14:paraId="66C8137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603196.SH</w:t>
            </w:r>
          </w:p>
        </w:tc>
        <w:tc>
          <w:tcPr>
            <w:tcW w:w="470" w:type="pct"/>
            <w:vAlign w:val="center"/>
            <w:hideMark/>
          </w:tcPr>
          <w:p w14:paraId="24A0D0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4861C3F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茵地乐</w:t>
            </w:r>
            <w:r w:rsidRPr="00DA3766">
              <w:rPr>
                <w:rFonts w:ascii="Times New Roman" w:hAnsi="Times New Roman" w:cs="Times New Roman"/>
                <w:color w:val="000000"/>
                <w:sz w:val="18"/>
                <w:szCs w:val="21"/>
              </w:rPr>
              <w:t>71%</w:t>
            </w:r>
            <w:r w:rsidRPr="00DA3766">
              <w:rPr>
                <w:rFonts w:ascii="Times New Roman" w:hAnsi="Times New Roman" w:cs="Times New Roman"/>
                <w:color w:val="000000"/>
                <w:sz w:val="18"/>
                <w:szCs w:val="21"/>
              </w:rPr>
              <w:t>股权</w:t>
            </w:r>
          </w:p>
        </w:tc>
        <w:tc>
          <w:tcPr>
            <w:tcW w:w="762" w:type="pct"/>
            <w:vAlign w:val="center"/>
          </w:tcPr>
          <w:p w14:paraId="69A70A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纺织服装、服饰业</w:t>
            </w:r>
          </w:p>
        </w:tc>
        <w:tc>
          <w:tcPr>
            <w:tcW w:w="407" w:type="pct"/>
            <w:vAlign w:val="center"/>
            <w:hideMark/>
          </w:tcPr>
          <w:p w14:paraId="484CDC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47A693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11.20%</w:t>
            </w:r>
          </w:p>
        </w:tc>
      </w:tr>
      <w:tr w:rsidR="00EB3B4C" w:rsidRPr="00DA3766" w14:paraId="4FA9F7DF" w14:textId="77777777" w:rsidTr="004C2193">
        <w:trPr>
          <w:trHeight w:val="397"/>
          <w:jc w:val="center"/>
        </w:trPr>
        <w:tc>
          <w:tcPr>
            <w:tcW w:w="533" w:type="pct"/>
            <w:vAlign w:val="center"/>
            <w:hideMark/>
          </w:tcPr>
          <w:p w14:paraId="279097A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2025/12/11</w:t>
            </w:r>
          </w:p>
        </w:tc>
        <w:tc>
          <w:tcPr>
            <w:tcW w:w="467" w:type="pct"/>
            <w:vAlign w:val="center"/>
            <w:hideMark/>
          </w:tcPr>
          <w:p w14:paraId="711655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内蒙华电</w:t>
            </w:r>
          </w:p>
        </w:tc>
        <w:tc>
          <w:tcPr>
            <w:tcW w:w="509" w:type="pct"/>
            <w:vAlign w:val="center"/>
            <w:hideMark/>
          </w:tcPr>
          <w:p w14:paraId="00D92C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600863.SH</w:t>
            </w:r>
          </w:p>
        </w:tc>
        <w:tc>
          <w:tcPr>
            <w:tcW w:w="470" w:type="pct"/>
            <w:vAlign w:val="center"/>
            <w:hideMark/>
          </w:tcPr>
          <w:p w14:paraId="267B60D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117" w:type="pct"/>
            <w:vAlign w:val="center"/>
            <w:hideMark/>
          </w:tcPr>
          <w:p w14:paraId="663FC0F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正蓝旗风电</w:t>
            </w:r>
            <w:r w:rsidRPr="00DA3766">
              <w:rPr>
                <w:rFonts w:ascii="Times New Roman" w:hAnsi="Times New Roman" w:cs="Times New Roman"/>
                <w:color w:val="000000"/>
                <w:sz w:val="18"/>
                <w:szCs w:val="21"/>
              </w:rPr>
              <w:t>70%</w:t>
            </w:r>
            <w:r w:rsidRPr="00DA3766">
              <w:rPr>
                <w:rFonts w:ascii="Times New Roman" w:hAnsi="Times New Roman" w:cs="Times New Roman"/>
                <w:color w:val="000000"/>
                <w:sz w:val="18"/>
                <w:szCs w:val="21"/>
              </w:rPr>
              <w:t>股权</w:t>
            </w:r>
          </w:p>
        </w:tc>
        <w:tc>
          <w:tcPr>
            <w:tcW w:w="762" w:type="pct"/>
            <w:vAlign w:val="center"/>
          </w:tcPr>
          <w:p w14:paraId="36DAE8C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电力、热力生产和供应业</w:t>
            </w:r>
          </w:p>
        </w:tc>
        <w:tc>
          <w:tcPr>
            <w:tcW w:w="407" w:type="pct"/>
            <w:vAlign w:val="center"/>
            <w:hideMark/>
          </w:tcPr>
          <w:p w14:paraId="072049F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7CC293B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7.44%</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7.22%</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6.93%</w:t>
            </w:r>
          </w:p>
        </w:tc>
      </w:tr>
      <w:tr w:rsidR="00EB3B4C" w:rsidRPr="00DA3766" w14:paraId="14EC2E59" w14:textId="77777777" w:rsidTr="004C2193">
        <w:trPr>
          <w:trHeight w:val="397"/>
          <w:jc w:val="center"/>
        </w:trPr>
        <w:tc>
          <w:tcPr>
            <w:tcW w:w="533" w:type="pct"/>
            <w:vAlign w:val="center"/>
            <w:hideMark/>
          </w:tcPr>
          <w:p w14:paraId="469713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2025/12/11</w:t>
            </w:r>
          </w:p>
        </w:tc>
        <w:tc>
          <w:tcPr>
            <w:tcW w:w="467" w:type="pct"/>
            <w:vAlign w:val="center"/>
            <w:hideMark/>
          </w:tcPr>
          <w:p w14:paraId="2CE47D3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地铁设计</w:t>
            </w:r>
          </w:p>
        </w:tc>
        <w:tc>
          <w:tcPr>
            <w:tcW w:w="509" w:type="pct"/>
            <w:vAlign w:val="center"/>
            <w:hideMark/>
          </w:tcPr>
          <w:p w14:paraId="54A43BB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003013.SZ</w:t>
            </w:r>
          </w:p>
        </w:tc>
        <w:tc>
          <w:tcPr>
            <w:tcW w:w="470" w:type="pct"/>
            <w:vAlign w:val="center"/>
            <w:hideMark/>
          </w:tcPr>
          <w:p w14:paraId="3B94813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117" w:type="pct"/>
            <w:vAlign w:val="center"/>
            <w:hideMark/>
          </w:tcPr>
          <w:p w14:paraId="4B2D5C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工程咨询公司</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62" w:type="pct"/>
            <w:vAlign w:val="center"/>
          </w:tcPr>
          <w:p w14:paraId="2644F4C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专业技术服务业</w:t>
            </w:r>
          </w:p>
        </w:tc>
        <w:tc>
          <w:tcPr>
            <w:tcW w:w="407" w:type="pct"/>
            <w:vAlign w:val="center"/>
            <w:hideMark/>
          </w:tcPr>
          <w:p w14:paraId="3E6E4D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34" w:type="pct"/>
            <w:vAlign w:val="center"/>
            <w:hideMark/>
          </w:tcPr>
          <w:p w14:paraId="28B077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bl>
    <w:p w14:paraId="43BAC18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上述内容已在《重组报告书》</w:t>
      </w:r>
      <w:r w:rsidRPr="00DA3766">
        <w:rPr>
          <w:rFonts w:cs="Times New Roman"/>
        </w:rPr>
        <w:t>“</w:t>
      </w:r>
      <w:r w:rsidRPr="00DA3766">
        <w:rPr>
          <w:rFonts w:ascii="Times New Roman" w:hAnsi="Times New Roman" w:cs="Times New Roman"/>
        </w:rPr>
        <w:t>第六节</w:t>
      </w:r>
      <w:r w:rsidRPr="00DA3766">
        <w:rPr>
          <w:rFonts w:ascii="Times New Roman" w:hAnsi="Times New Roman" w:cs="Times New Roman"/>
        </w:rPr>
        <w:t xml:space="preserve"> </w:t>
      </w:r>
      <w:r w:rsidRPr="00DA3766">
        <w:rPr>
          <w:rFonts w:ascii="Times New Roman" w:hAnsi="Times New Roman" w:cs="Times New Roman"/>
        </w:rPr>
        <w:t>交易标的评估情况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二、标的公司评估基本情况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（三）收益法的评估情况及分析</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6</w:t>
      </w:r>
      <w:r w:rsidRPr="00DA3766">
        <w:rPr>
          <w:rFonts w:ascii="Times New Roman" w:hAnsi="Times New Roman" w:cs="Times New Roman"/>
        </w:rPr>
        <w:t>、折现率的确定</w:t>
      </w:r>
      <w:r w:rsidRPr="00DA3766">
        <w:rPr>
          <w:rFonts w:cs="Times New Roman"/>
        </w:rPr>
        <w:t>”</w:t>
      </w:r>
      <w:r w:rsidRPr="00DA3766">
        <w:rPr>
          <w:rFonts w:ascii="Times New Roman" w:hAnsi="Times New Roman" w:cs="Times New Roman"/>
        </w:rPr>
        <w:t>补充披露。</w:t>
      </w:r>
    </w:p>
    <w:p w14:paraId="6E9F56E5"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八、补充披露长期股权投资的具体测算过程及测算依据；湖南小充的实际经营情况、资产负债情况及截至回函日的注销进展，以净资产与股比计算股权价值是否合理、公允</w:t>
      </w:r>
    </w:p>
    <w:p w14:paraId="71D57CE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（一）长期股权投资的具体测算过程及测算依据</w:t>
      </w:r>
    </w:p>
    <w:p w14:paraId="2624E74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本次评估标的公司的长期股权投资账面构成如下：</w:t>
      </w:r>
    </w:p>
    <w:tbl>
      <w:tblPr>
        <w:tblW w:w="50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2236"/>
        <w:gridCol w:w="1732"/>
        <w:gridCol w:w="808"/>
        <w:gridCol w:w="699"/>
      </w:tblGrid>
      <w:tr w:rsidR="00EB3B4C" w:rsidRPr="00DA3766" w14:paraId="6BD15E1B" w14:textId="77777777" w:rsidTr="001076ED">
        <w:trPr>
          <w:trHeight w:val="397"/>
          <w:tblHeader/>
          <w:jc w:val="center"/>
        </w:trPr>
        <w:tc>
          <w:tcPr>
            <w:tcW w:w="1814" w:type="pct"/>
            <w:vMerge w:val="restart"/>
            <w:vAlign w:val="center"/>
          </w:tcPr>
          <w:p w14:paraId="70CA894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企业名称</w:t>
            </w:r>
          </w:p>
        </w:tc>
        <w:tc>
          <w:tcPr>
            <w:tcW w:w="1301" w:type="pct"/>
            <w:vMerge w:val="restart"/>
            <w:vAlign w:val="center"/>
          </w:tcPr>
          <w:p w14:paraId="25006E5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主营业务</w:t>
            </w:r>
          </w:p>
        </w:tc>
        <w:tc>
          <w:tcPr>
            <w:tcW w:w="1008" w:type="pct"/>
            <w:vMerge w:val="restart"/>
            <w:vAlign w:val="center"/>
          </w:tcPr>
          <w:p w14:paraId="1C96A10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账面价值（元）</w:t>
            </w:r>
          </w:p>
        </w:tc>
        <w:tc>
          <w:tcPr>
            <w:tcW w:w="876" w:type="pct"/>
            <w:gridSpan w:val="2"/>
            <w:vAlign w:val="center"/>
          </w:tcPr>
          <w:p w14:paraId="59AD63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持股比例</w:t>
            </w:r>
          </w:p>
        </w:tc>
      </w:tr>
      <w:tr w:rsidR="00EB3B4C" w:rsidRPr="00DA3766" w14:paraId="451A0A89" w14:textId="77777777" w:rsidTr="001076ED">
        <w:trPr>
          <w:trHeight w:val="397"/>
          <w:tblHeader/>
          <w:jc w:val="center"/>
        </w:trPr>
        <w:tc>
          <w:tcPr>
            <w:tcW w:w="1814" w:type="pct"/>
            <w:vMerge/>
            <w:vAlign w:val="center"/>
          </w:tcPr>
          <w:p w14:paraId="5A1426F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301" w:type="pct"/>
            <w:vMerge/>
            <w:vAlign w:val="center"/>
          </w:tcPr>
          <w:p w14:paraId="5228E1C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008" w:type="pct"/>
            <w:vMerge/>
            <w:vAlign w:val="center"/>
          </w:tcPr>
          <w:p w14:paraId="056A3A4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470" w:type="pct"/>
            <w:vAlign w:val="center"/>
          </w:tcPr>
          <w:p w14:paraId="574B7F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直接</w:t>
            </w:r>
          </w:p>
        </w:tc>
        <w:tc>
          <w:tcPr>
            <w:tcW w:w="407" w:type="pct"/>
            <w:vAlign w:val="center"/>
          </w:tcPr>
          <w:p w14:paraId="0674ACE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间接</w:t>
            </w:r>
          </w:p>
        </w:tc>
      </w:tr>
      <w:tr w:rsidR="00EB3B4C" w:rsidRPr="00DA3766" w14:paraId="65D7A525" w14:textId="77777777" w:rsidTr="001076ED">
        <w:trPr>
          <w:trHeight w:val="397"/>
          <w:jc w:val="center"/>
        </w:trPr>
        <w:tc>
          <w:tcPr>
            <w:tcW w:w="1814" w:type="pct"/>
            <w:vAlign w:val="center"/>
          </w:tcPr>
          <w:p w14:paraId="131303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台州市乐哈智能科技有限公司</w:t>
            </w:r>
          </w:p>
        </w:tc>
        <w:tc>
          <w:tcPr>
            <w:tcW w:w="1301" w:type="pct"/>
            <w:vAlign w:val="center"/>
          </w:tcPr>
          <w:p w14:paraId="5B86E8F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硬件销售</w:t>
            </w:r>
          </w:p>
        </w:tc>
        <w:tc>
          <w:tcPr>
            <w:tcW w:w="1008" w:type="pct"/>
            <w:vAlign w:val="center"/>
          </w:tcPr>
          <w:p w14:paraId="61A3CC07"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198,287.23</w:t>
            </w:r>
          </w:p>
        </w:tc>
        <w:tc>
          <w:tcPr>
            <w:tcW w:w="470" w:type="pct"/>
            <w:vAlign w:val="center"/>
          </w:tcPr>
          <w:p w14:paraId="63D71E41"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w:t>
            </w:r>
          </w:p>
        </w:tc>
        <w:tc>
          <w:tcPr>
            <w:tcW w:w="407" w:type="pct"/>
            <w:vAlign w:val="center"/>
          </w:tcPr>
          <w:p w14:paraId="4EB08B2A"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17E2B4A2" w14:textId="77777777" w:rsidTr="001076ED">
        <w:trPr>
          <w:trHeight w:val="397"/>
          <w:jc w:val="center"/>
        </w:trPr>
        <w:tc>
          <w:tcPr>
            <w:tcW w:w="1814" w:type="pct"/>
            <w:vAlign w:val="center"/>
          </w:tcPr>
          <w:p w14:paraId="1CE762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郑州兴科电子技术有限公司</w:t>
            </w:r>
          </w:p>
        </w:tc>
        <w:tc>
          <w:tcPr>
            <w:tcW w:w="1301" w:type="pct"/>
            <w:vAlign w:val="center"/>
          </w:tcPr>
          <w:p w14:paraId="73CBA3F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硬件销售、</w:t>
            </w: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系统服务</w:t>
            </w:r>
          </w:p>
        </w:tc>
        <w:tc>
          <w:tcPr>
            <w:tcW w:w="1008" w:type="pct"/>
            <w:vAlign w:val="center"/>
          </w:tcPr>
          <w:p w14:paraId="665E5AED"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10,532,869.79</w:t>
            </w:r>
          </w:p>
        </w:tc>
        <w:tc>
          <w:tcPr>
            <w:tcW w:w="470" w:type="pct"/>
            <w:vAlign w:val="center"/>
          </w:tcPr>
          <w:p w14:paraId="4CD31D6C"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407" w:type="pct"/>
            <w:vAlign w:val="center"/>
          </w:tcPr>
          <w:p w14:paraId="5A1CA494"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13482E2D" w14:textId="77777777" w:rsidTr="001076ED">
        <w:trPr>
          <w:trHeight w:val="397"/>
          <w:jc w:val="center"/>
        </w:trPr>
        <w:tc>
          <w:tcPr>
            <w:tcW w:w="1814" w:type="pct"/>
            <w:vAlign w:val="center"/>
          </w:tcPr>
          <w:p w14:paraId="6F386FC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广州有乐礼品有限公司</w:t>
            </w:r>
          </w:p>
        </w:tc>
        <w:tc>
          <w:tcPr>
            <w:tcW w:w="1301" w:type="pct"/>
            <w:vAlign w:val="center"/>
          </w:tcPr>
          <w:p w14:paraId="6325500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娱乐类礼品销售</w:t>
            </w:r>
          </w:p>
        </w:tc>
        <w:tc>
          <w:tcPr>
            <w:tcW w:w="1008" w:type="pct"/>
            <w:vAlign w:val="center"/>
          </w:tcPr>
          <w:p w14:paraId="297D016E"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1,482,631.78</w:t>
            </w:r>
          </w:p>
        </w:tc>
        <w:tc>
          <w:tcPr>
            <w:tcW w:w="470" w:type="pct"/>
            <w:vAlign w:val="center"/>
          </w:tcPr>
          <w:p w14:paraId="3BAC925B"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407" w:type="pct"/>
            <w:vAlign w:val="center"/>
          </w:tcPr>
          <w:p w14:paraId="66778C24"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73A880E3" w14:textId="77777777" w:rsidTr="001076ED">
        <w:trPr>
          <w:trHeight w:val="397"/>
          <w:jc w:val="center"/>
        </w:trPr>
        <w:tc>
          <w:tcPr>
            <w:tcW w:w="1814" w:type="pct"/>
            <w:vAlign w:val="center"/>
          </w:tcPr>
          <w:p w14:paraId="532039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江西七曜星熠科技有限公司</w:t>
            </w:r>
          </w:p>
        </w:tc>
        <w:tc>
          <w:tcPr>
            <w:tcW w:w="1301" w:type="pct"/>
            <w:vAlign w:val="center"/>
          </w:tcPr>
          <w:p w14:paraId="16567C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无业务</w:t>
            </w:r>
          </w:p>
        </w:tc>
        <w:tc>
          <w:tcPr>
            <w:tcW w:w="1008" w:type="pct"/>
            <w:vAlign w:val="center"/>
          </w:tcPr>
          <w:p w14:paraId="0EEADE4E"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470" w:type="pct"/>
            <w:vAlign w:val="center"/>
          </w:tcPr>
          <w:p w14:paraId="635F0B62"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407" w:type="pct"/>
            <w:vAlign w:val="center"/>
          </w:tcPr>
          <w:p w14:paraId="50449F85"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r>
    </w:tbl>
    <w:p w14:paraId="226580E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、台州市乐哈智能科技有限公司、广州有乐礼品有限公司</w:t>
      </w:r>
    </w:p>
    <w:p w14:paraId="2B0FAC5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由于台州市乐哈智能科技有限公司、广州有乐礼品有限公司经审计后账面金额不大，且标的公司对其投资仅作为财务投资，不参与实际经营，故本次评估经综合判断后对上述长期股权投资按账面值确认评估值；</w:t>
      </w:r>
    </w:p>
    <w:p w14:paraId="1353277A"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、郑州兴科电子技术有限公司</w:t>
      </w:r>
    </w:p>
    <w:p w14:paraId="781E2AB0"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对郑州兴科电子技术有限公司账面值列示为</w:t>
      </w:r>
      <w:r w:rsidRPr="00DA3766">
        <w:rPr>
          <w:rFonts w:ascii="Times New Roman" w:hAnsi="Times New Roman" w:cs="Times New Roman"/>
        </w:rPr>
        <w:t>10,532,869.79</w:t>
      </w:r>
      <w:r w:rsidRPr="00DA3766">
        <w:rPr>
          <w:rFonts w:ascii="Times New Roman" w:hAnsi="Times New Roman" w:cs="Times New Roman"/>
        </w:rPr>
        <w:t>元，持股比例为</w:t>
      </w:r>
      <w:r w:rsidRPr="00DA3766">
        <w:rPr>
          <w:rFonts w:ascii="Times New Roman" w:hAnsi="Times New Roman" w:cs="Times New Roman"/>
        </w:rPr>
        <w:t>20%</w:t>
      </w:r>
      <w:r w:rsidRPr="00DA3766">
        <w:rPr>
          <w:rFonts w:ascii="Times New Roman" w:hAnsi="Times New Roman" w:cs="Times New Roman"/>
        </w:rPr>
        <w:t>。由于该长期股权投资金额构成较大，本次评估获取了郑州兴科电子技术有限公司近年审计报告，并采用市场法</w:t>
      </w:r>
      <w:r w:rsidRPr="00DA3766">
        <w:rPr>
          <w:rFonts w:ascii="Times New Roman" w:hAnsi="Times New Roman" w:cs="Times New Roman"/>
        </w:rPr>
        <w:t>-</w:t>
      </w:r>
      <w:r w:rsidRPr="00DA3766">
        <w:rPr>
          <w:rFonts w:ascii="Times New Roman" w:hAnsi="Times New Roman" w:cs="Times New Roman"/>
        </w:rPr>
        <w:t>市盈率法对该公司股权价值重新进行了估算，具体过程如下：</w:t>
      </w:r>
    </w:p>
    <w:p w14:paraId="3858AB0F"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采用静态</w:t>
      </w:r>
      <w:r w:rsidRPr="00DA3766">
        <w:rPr>
          <w:rFonts w:ascii="Times New Roman" w:hAnsi="Times New Roman" w:cs="Times New Roman"/>
        </w:rPr>
        <w:t>P/E</w:t>
      </w:r>
      <w:r w:rsidRPr="00DA3766">
        <w:rPr>
          <w:rFonts w:ascii="Times New Roman" w:hAnsi="Times New Roman" w:cs="Times New Roman"/>
        </w:rPr>
        <w:t>计算郑州兴科电子技术有限公司股权价值的过程和结果如下表所示：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65"/>
        <w:gridCol w:w="2152"/>
        <w:gridCol w:w="1080"/>
        <w:gridCol w:w="1080"/>
        <w:gridCol w:w="1351"/>
      </w:tblGrid>
      <w:tr w:rsidR="00EB3B4C" w:rsidRPr="00DA3766" w14:paraId="52A45FD8" w14:textId="77777777" w:rsidTr="00DA3766">
        <w:trPr>
          <w:trHeight w:val="397"/>
          <w:tblHeader/>
          <w:jc w:val="center"/>
        </w:trPr>
        <w:tc>
          <w:tcPr>
            <w:tcW w:w="1680" w:type="pct"/>
            <w:vAlign w:val="center"/>
          </w:tcPr>
          <w:p w14:paraId="3CA721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262" w:type="pct"/>
            <w:vAlign w:val="center"/>
          </w:tcPr>
          <w:p w14:paraId="72BD67D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633" w:type="pct"/>
            <w:vAlign w:val="center"/>
          </w:tcPr>
          <w:p w14:paraId="6746A2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科士达</w:t>
            </w:r>
          </w:p>
        </w:tc>
        <w:tc>
          <w:tcPr>
            <w:tcW w:w="633" w:type="pct"/>
            <w:vAlign w:val="center"/>
          </w:tcPr>
          <w:p w14:paraId="1BC9E7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特锐德</w:t>
            </w:r>
          </w:p>
        </w:tc>
        <w:tc>
          <w:tcPr>
            <w:tcW w:w="792" w:type="pct"/>
            <w:vAlign w:val="center"/>
          </w:tcPr>
          <w:p w14:paraId="2BC228C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双杰电气</w:t>
            </w:r>
          </w:p>
        </w:tc>
      </w:tr>
      <w:tr w:rsidR="00EB3B4C" w:rsidRPr="00DA3766" w14:paraId="2A032965" w14:textId="77777777" w:rsidTr="00DA3766">
        <w:trPr>
          <w:trHeight w:val="397"/>
          <w:jc w:val="center"/>
        </w:trPr>
        <w:tc>
          <w:tcPr>
            <w:tcW w:w="1680" w:type="pct"/>
            <w:vAlign w:val="center"/>
          </w:tcPr>
          <w:p w14:paraId="06FDC8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修正后静态</w:t>
            </w:r>
            <w:r w:rsidRPr="00DA3766">
              <w:rPr>
                <w:rFonts w:ascii="Times New Roman" w:hAnsi="Times New Roman" w:cs="Times New Roman"/>
                <w:color w:val="000000"/>
                <w:sz w:val="21"/>
              </w:rPr>
              <w:t>P/E</w:t>
            </w:r>
          </w:p>
        </w:tc>
        <w:tc>
          <w:tcPr>
            <w:tcW w:w="1262" w:type="pct"/>
            <w:vAlign w:val="center"/>
          </w:tcPr>
          <w:p w14:paraId="510A20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A</w:t>
            </w:r>
          </w:p>
        </w:tc>
        <w:tc>
          <w:tcPr>
            <w:tcW w:w="633" w:type="pct"/>
            <w:vAlign w:val="center"/>
          </w:tcPr>
          <w:p w14:paraId="0C82FB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22.8x</w:t>
            </w:r>
          </w:p>
        </w:tc>
        <w:tc>
          <w:tcPr>
            <w:tcW w:w="633" w:type="pct"/>
            <w:vAlign w:val="center"/>
          </w:tcPr>
          <w:p w14:paraId="17F0B07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17.4x</w:t>
            </w:r>
          </w:p>
        </w:tc>
        <w:tc>
          <w:tcPr>
            <w:tcW w:w="792" w:type="pct"/>
            <w:vAlign w:val="center"/>
          </w:tcPr>
          <w:p w14:paraId="07AD9A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49.9x</w:t>
            </w:r>
          </w:p>
        </w:tc>
      </w:tr>
      <w:tr w:rsidR="00EB3B4C" w:rsidRPr="00DA3766" w14:paraId="21336E90" w14:textId="77777777" w:rsidTr="00DA3766">
        <w:trPr>
          <w:trHeight w:val="397"/>
          <w:jc w:val="center"/>
        </w:trPr>
        <w:tc>
          <w:tcPr>
            <w:tcW w:w="1680" w:type="pct"/>
            <w:vAlign w:val="center"/>
          </w:tcPr>
          <w:p w14:paraId="5657DE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权重</w:t>
            </w:r>
          </w:p>
        </w:tc>
        <w:tc>
          <w:tcPr>
            <w:tcW w:w="1262" w:type="pct"/>
            <w:vAlign w:val="center"/>
          </w:tcPr>
          <w:p w14:paraId="0403D52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B</w:t>
            </w:r>
          </w:p>
        </w:tc>
        <w:tc>
          <w:tcPr>
            <w:tcW w:w="633" w:type="pct"/>
            <w:vAlign w:val="center"/>
          </w:tcPr>
          <w:p w14:paraId="2213E6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633" w:type="pct"/>
            <w:vAlign w:val="center"/>
          </w:tcPr>
          <w:p w14:paraId="708EAB5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792" w:type="pct"/>
            <w:vAlign w:val="center"/>
          </w:tcPr>
          <w:p w14:paraId="2C50575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r>
      <w:tr w:rsidR="00EB3B4C" w:rsidRPr="00DA3766" w14:paraId="2D4C0D8B" w14:textId="77777777" w:rsidTr="00DA3766">
        <w:trPr>
          <w:trHeight w:val="397"/>
          <w:jc w:val="center"/>
        </w:trPr>
        <w:tc>
          <w:tcPr>
            <w:tcW w:w="1680" w:type="pct"/>
            <w:vAlign w:val="center"/>
          </w:tcPr>
          <w:p w14:paraId="4D2548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加权修正后的静态</w:t>
            </w:r>
            <w:r w:rsidRPr="00DA3766">
              <w:rPr>
                <w:rFonts w:ascii="Times New Roman" w:hAnsi="Times New Roman" w:cs="Times New Roman"/>
                <w:color w:val="000000"/>
                <w:sz w:val="21"/>
              </w:rPr>
              <w:t>P/E</w:t>
            </w:r>
          </w:p>
        </w:tc>
        <w:tc>
          <w:tcPr>
            <w:tcW w:w="1262" w:type="pct"/>
            <w:vAlign w:val="center"/>
          </w:tcPr>
          <w:p w14:paraId="2A5B4D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C=ΣA×B</w:t>
            </w:r>
          </w:p>
        </w:tc>
        <w:tc>
          <w:tcPr>
            <w:tcW w:w="2059" w:type="pct"/>
            <w:gridSpan w:val="3"/>
            <w:vAlign w:val="center"/>
          </w:tcPr>
          <w:p w14:paraId="0BBB58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30.0x</w:t>
            </w:r>
          </w:p>
        </w:tc>
      </w:tr>
    </w:tbl>
    <w:p w14:paraId="59B05461"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股权价值计算过程如下：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083"/>
        <w:gridCol w:w="2084"/>
      </w:tblGrid>
      <w:tr w:rsidR="00EB3B4C" w:rsidRPr="00DA3766" w14:paraId="6BB76D8D" w14:textId="77777777" w:rsidTr="001076ED">
        <w:trPr>
          <w:trHeight w:val="397"/>
          <w:tblHeader/>
          <w:jc w:val="center"/>
        </w:trPr>
        <w:tc>
          <w:tcPr>
            <w:tcW w:w="2557" w:type="pct"/>
            <w:vAlign w:val="center"/>
          </w:tcPr>
          <w:p w14:paraId="5CA1E0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221" w:type="pct"/>
            <w:vAlign w:val="center"/>
          </w:tcPr>
          <w:p w14:paraId="4933870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1222" w:type="pct"/>
            <w:vAlign w:val="center"/>
          </w:tcPr>
          <w:p w14:paraId="58D12CF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数值</w:t>
            </w:r>
          </w:p>
        </w:tc>
      </w:tr>
      <w:tr w:rsidR="00EB3B4C" w:rsidRPr="00DA3766" w14:paraId="5E8C806B" w14:textId="77777777" w:rsidTr="001076ED">
        <w:trPr>
          <w:trHeight w:val="397"/>
          <w:jc w:val="center"/>
        </w:trPr>
        <w:tc>
          <w:tcPr>
            <w:tcW w:w="2557" w:type="pct"/>
            <w:vAlign w:val="center"/>
          </w:tcPr>
          <w:p w14:paraId="76F2A8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静态</w:t>
            </w:r>
            <w:r w:rsidRPr="00DA3766">
              <w:rPr>
                <w:rFonts w:ascii="Times New Roman" w:hAnsi="Times New Roman" w:cs="Times New Roman"/>
                <w:color w:val="000000"/>
                <w:sz w:val="21"/>
              </w:rPr>
              <w:t>P/E</w:t>
            </w:r>
          </w:p>
        </w:tc>
        <w:tc>
          <w:tcPr>
            <w:tcW w:w="1221" w:type="pct"/>
            <w:vAlign w:val="center"/>
          </w:tcPr>
          <w:p w14:paraId="562F18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A</w:t>
            </w:r>
          </w:p>
        </w:tc>
        <w:tc>
          <w:tcPr>
            <w:tcW w:w="1222" w:type="pct"/>
            <w:vAlign w:val="center"/>
          </w:tcPr>
          <w:p w14:paraId="67D12B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30.0x</w:t>
            </w:r>
          </w:p>
        </w:tc>
      </w:tr>
      <w:tr w:rsidR="00EB3B4C" w:rsidRPr="00DA3766" w14:paraId="7D8AA704" w14:textId="77777777" w:rsidTr="001076ED">
        <w:trPr>
          <w:trHeight w:val="397"/>
          <w:jc w:val="center"/>
        </w:trPr>
        <w:tc>
          <w:tcPr>
            <w:tcW w:w="2557" w:type="pct"/>
            <w:vAlign w:val="center"/>
          </w:tcPr>
          <w:p w14:paraId="4F277F7B" w14:textId="2D1F9B51"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2024</w:t>
            </w:r>
            <w:r w:rsidR="00DA3766" w:rsidRPr="00DA3766">
              <w:rPr>
                <w:rFonts w:ascii="Times New Roman" w:hAnsi="Times New Roman" w:cs="Times New Roman"/>
                <w:color w:val="000000"/>
                <w:sz w:val="21"/>
              </w:rPr>
              <w:t>）</w:t>
            </w:r>
          </w:p>
        </w:tc>
        <w:tc>
          <w:tcPr>
            <w:tcW w:w="1221" w:type="pct"/>
            <w:vAlign w:val="center"/>
          </w:tcPr>
          <w:p w14:paraId="3952802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B</w:t>
            </w:r>
          </w:p>
        </w:tc>
        <w:tc>
          <w:tcPr>
            <w:tcW w:w="1222" w:type="pct"/>
            <w:vAlign w:val="center"/>
          </w:tcPr>
          <w:p w14:paraId="2D0A41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211.06</w:t>
            </w:r>
          </w:p>
        </w:tc>
      </w:tr>
      <w:tr w:rsidR="00EB3B4C" w:rsidRPr="00DA3766" w14:paraId="066B3CDA" w14:textId="77777777" w:rsidTr="001076ED">
        <w:trPr>
          <w:trHeight w:val="397"/>
          <w:jc w:val="center"/>
        </w:trPr>
        <w:tc>
          <w:tcPr>
            <w:tcW w:w="2557" w:type="pct"/>
            <w:vAlign w:val="center"/>
          </w:tcPr>
          <w:p w14:paraId="4B362CF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非经营性资产、负债及溢余资产价值</w:t>
            </w:r>
          </w:p>
        </w:tc>
        <w:tc>
          <w:tcPr>
            <w:tcW w:w="1221" w:type="pct"/>
            <w:vAlign w:val="center"/>
          </w:tcPr>
          <w:p w14:paraId="78685B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C</w:t>
            </w:r>
          </w:p>
        </w:tc>
        <w:tc>
          <w:tcPr>
            <w:tcW w:w="1222" w:type="pct"/>
            <w:vAlign w:val="center"/>
          </w:tcPr>
          <w:p w14:paraId="5690A7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0.00</w:t>
            </w:r>
          </w:p>
        </w:tc>
      </w:tr>
      <w:tr w:rsidR="00EB3B4C" w:rsidRPr="00DA3766" w14:paraId="6190A261" w14:textId="77777777" w:rsidTr="001076ED">
        <w:trPr>
          <w:trHeight w:val="397"/>
          <w:jc w:val="center"/>
        </w:trPr>
        <w:tc>
          <w:tcPr>
            <w:tcW w:w="2557" w:type="pct"/>
            <w:vAlign w:val="center"/>
          </w:tcPr>
          <w:p w14:paraId="5B0A2B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股权价值（取整）</w:t>
            </w:r>
          </w:p>
        </w:tc>
        <w:tc>
          <w:tcPr>
            <w:tcW w:w="1221" w:type="pct"/>
            <w:vAlign w:val="center"/>
          </w:tcPr>
          <w:p w14:paraId="3027F94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D</w:t>
            </w:r>
            <w:r w:rsidRPr="00DA3766">
              <w:rPr>
                <w:rFonts w:ascii="Times New Roman" w:hAnsi="Times New Roman" w:cs="Times New Roman"/>
                <w:color w:val="000000"/>
                <w:sz w:val="21"/>
              </w:rPr>
              <w:t>＝</w:t>
            </w:r>
            <w:r w:rsidRPr="00DA3766">
              <w:rPr>
                <w:rFonts w:ascii="Times New Roman" w:hAnsi="Times New Roman" w:cs="Times New Roman"/>
                <w:color w:val="000000"/>
                <w:sz w:val="21"/>
              </w:rPr>
              <w:t>A×B</w:t>
            </w:r>
            <w:r w:rsidRPr="00DA3766">
              <w:rPr>
                <w:rFonts w:ascii="Times New Roman" w:hAnsi="Times New Roman" w:cs="Times New Roman"/>
                <w:color w:val="000000"/>
                <w:sz w:val="21"/>
              </w:rPr>
              <w:t>＋</w:t>
            </w:r>
            <w:r w:rsidRPr="00DA3766">
              <w:rPr>
                <w:rFonts w:ascii="Times New Roman" w:hAnsi="Times New Roman" w:cs="Times New Roman"/>
                <w:color w:val="000000"/>
                <w:sz w:val="21"/>
              </w:rPr>
              <w:t>C</w:t>
            </w:r>
          </w:p>
        </w:tc>
        <w:tc>
          <w:tcPr>
            <w:tcW w:w="1222" w:type="pct"/>
            <w:vAlign w:val="center"/>
          </w:tcPr>
          <w:p w14:paraId="0891EF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6,300.00</w:t>
            </w:r>
          </w:p>
        </w:tc>
      </w:tr>
      <w:tr w:rsidR="00EB3B4C" w:rsidRPr="00DA3766" w14:paraId="645E7BFA" w14:textId="77777777" w:rsidTr="001076ED">
        <w:trPr>
          <w:trHeight w:val="397"/>
          <w:jc w:val="center"/>
        </w:trPr>
        <w:tc>
          <w:tcPr>
            <w:tcW w:w="2557" w:type="pct"/>
            <w:vAlign w:val="center"/>
          </w:tcPr>
          <w:p w14:paraId="04B23CB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委估</w:t>
            </w:r>
            <w:r w:rsidRPr="00DA3766">
              <w:rPr>
                <w:rFonts w:ascii="Times New Roman" w:hAnsi="Times New Roman" w:cs="Times New Roman"/>
                <w:color w:val="000000"/>
                <w:sz w:val="21"/>
              </w:rPr>
              <w:t>20%</w:t>
            </w:r>
            <w:r w:rsidRPr="00DA3766">
              <w:rPr>
                <w:rFonts w:ascii="Times New Roman" w:hAnsi="Times New Roman" w:cs="Times New Roman"/>
                <w:color w:val="000000"/>
                <w:sz w:val="21"/>
              </w:rPr>
              <w:t>股权价值</w:t>
            </w:r>
          </w:p>
        </w:tc>
        <w:tc>
          <w:tcPr>
            <w:tcW w:w="1221" w:type="pct"/>
            <w:vAlign w:val="center"/>
          </w:tcPr>
          <w:p w14:paraId="44CF9A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w:t>
            </w:r>
            <w:r w:rsidRPr="00DA3766">
              <w:rPr>
                <w:rFonts w:ascii="Times New Roman" w:hAnsi="Times New Roman" w:cs="Times New Roman"/>
                <w:color w:val="000000"/>
                <w:sz w:val="21"/>
              </w:rPr>
              <w:t>＝</w:t>
            </w:r>
            <w:r w:rsidRPr="00DA3766">
              <w:rPr>
                <w:rFonts w:ascii="Times New Roman" w:hAnsi="Times New Roman" w:cs="Times New Roman"/>
                <w:color w:val="000000"/>
                <w:sz w:val="21"/>
              </w:rPr>
              <w:t>D×20%</w:t>
            </w:r>
          </w:p>
        </w:tc>
        <w:tc>
          <w:tcPr>
            <w:tcW w:w="1222" w:type="pct"/>
            <w:vAlign w:val="center"/>
          </w:tcPr>
          <w:p w14:paraId="6B6A34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1,260.00</w:t>
            </w:r>
          </w:p>
        </w:tc>
      </w:tr>
    </w:tbl>
    <w:p w14:paraId="17C7034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、江西七曜星熠科技有限公司</w:t>
      </w:r>
    </w:p>
    <w:p w14:paraId="48D4C1D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对于江西七曜星熠科技有限公司，由于其目前尚未开展业务，故按零值评估。</w:t>
      </w:r>
    </w:p>
    <w:p w14:paraId="251DE85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综上，长期股权投资的评估值如下：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36"/>
        <w:gridCol w:w="2096"/>
        <w:gridCol w:w="2096"/>
      </w:tblGrid>
      <w:tr w:rsidR="00EB3B4C" w:rsidRPr="00DA3766" w14:paraId="40AC5750" w14:textId="77777777" w:rsidTr="001076ED">
        <w:trPr>
          <w:trHeight w:val="397"/>
          <w:tblHeader/>
          <w:jc w:val="center"/>
        </w:trPr>
        <w:tc>
          <w:tcPr>
            <w:tcW w:w="2542" w:type="pct"/>
            <w:vAlign w:val="center"/>
            <w:hideMark/>
          </w:tcPr>
          <w:p w14:paraId="07664B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被投资单位</w:t>
            </w:r>
          </w:p>
        </w:tc>
        <w:tc>
          <w:tcPr>
            <w:tcW w:w="1229" w:type="pct"/>
            <w:vAlign w:val="center"/>
            <w:hideMark/>
          </w:tcPr>
          <w:p w14:paraId="7A7068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账面值</w:t>
            </w:r>
          </w:p>
        </w:tc>
        <w:tc>
          <w:tcPr>
            <w:tcW w:w="1229" w:type="pct"/>
            <w:vAlign w:val="center"/>
            <w:hideMark/>
          </w:tcPr>
          <w:p w14:paraId="45614BF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评估值</w:t>
            </w:r>
          </w:p>
        </w:tc>
      </w:tr>
      <w:tr w:rsidR="00EB3B4C" w:rsidRPr="00DA3766" w14:paraId="0429F131" w14:textId="77777777" w:rsidTr="001076ED">
        <w:trPr>
          <w:trHeight w:val="397"/>
          <w:jc w:val="center"/>
        </w:trPr>
        <w:tc>
          <w:tcPr>
            <w:tcW w:w="2542" w:type="pct"/>
            <w:vAlign w:val="center"/>
            <w:hideMark/>
          </w:tcPr>
          <w:p w14:paraId="2E9E79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广州有乐礼品有限公司</w:t>
            </w:r>
          </w:p>
        </w:tc>
        <w:tc>
          <w:tcPr>
            <w:tcW w:w="1229" w:type="pct"/>
            <w:vAlign w:val="center"/>
            <w:hideMark/>
          </w:tcPr>
          <w:p w14:paraId="10A10F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1,482,606.38</w:t>
            </w:r>
          </w:p>
        </w:tc>
        <w:tc>
          <w:tcPr>
            <w:tcW w:w="1229" w:type="pct"/>
            <w:vAlign w:val="center"/>
            <w:hideMark/>
          </w:tcPr>
          <w:p w14:paraId="0DE77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1,482,606.38</w:t>
            </w:r>
          </w:p>
        </w:tc>
      </w:tr>
      <w:tr w:rsidR="00EB3B4C" w:rsidRPr="00DA3766" w14:paraId="0BA5ADBF" w14:textId="77777777" w:rsidTr="001076ED">
        <w:trPr>
          <w:trHeight w:val="397"/>
          <w:jc w:val="center"/>
        </w:trPr>
        <w:tc>
          <w:tcPr>
            <w:tcW w:w="2542" w:type="pct"/>
            <w:vAlign w:val="center"/>
            <w:hideMark/>
          </w:tcPr>
          <w:p w14:paraId="581686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台州市乐哈智能科技有限公司</w:t>
            </w:r>
          </w:p>
        </w:tc>
        <w:tc>
          <w:tcPr>
            <w:tcW w:w="1229" w:type="pct"/>
            <w:vAlign w:val="center"/>
            <w:hideMark/>
          </w:tcPr>
          <w:p w14:paraId="733EEB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198,287.23</w:t>
            </w:r>
          </w:p>
        </w:tc>
        <w:tc>
          <w:tcPr>
            <w:tcW w:w="1229" w:type="pct"/>
            <w:vAlign w:val="center"/>
            <w:hideMark/>
          </w:tcPr>
          <w:p w14:paraId="4FE127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198,287.23</w:t>
            </w:r>
          </w:p>
        </w:tc>
      </w:tr>
      <w:tr w:rsidR="00EB3B4C" w:rsidRPr="00DA3766" w14:paraId="3E071105" w14:textId="77777777" w:rsidTr="001076ED">
        <w:trPr>
          <w:trHeight w:val="397"/>
          <w:jc w:val="center"/>
        </w:trPr>
        <w:tc>
          <w:tcPr>
            <w:tcW w:w="2542" w:type="pct"/>
            <w:vAlign w:val="center"/>
            <w:hideMark/>
          </w:tcPr>
          <w:p w14:paraId="6E072C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郑州兴科电子技术有限公司</w:t>
            </w:r>
          </w:p>
        </w:tc>
        <w:tc>
          <w:tcPr>
            <w:tcW w:w="1229" w:type="pct"/>
            <w:vAlign w:val="center"/>
            <w:hideMark/>
          </w:tcPr>
          <w:p w14:paraId="244A2D8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10,532,869.79</w:t>
            </w:r>
          </w:p>
        </w:tc>
        <w:tc>
          <w:tcPr>
            <w:tcW w:w="1229" w:type="pct"/>
            <w:vAlign w:val="center"/>
            <w:hideMark/>
          </w:tcPr>
          <w:p w14:paraId="4CC1B3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12,600,000.00</w:t>
            </w:r>
          </w:p>
        </w:tc>
      </w:tr>
      <w:tr w:rsidR="00EB3B4C" w:rsidRPr="00DA3766" w14:paraId="6CA2AA98" w14:textId="77777777" w:rsidTr="001076ED">
        <w:trPr>
          <w:trHeight w:val="397"/>
          <w:jc w:val="center"/>
        </w:trPr>
        <w:tc>
          <w:tcPr>
            <w:tcW w:w="2542" w:type="pct"/>
            <w:vAlign w:val="center"/>
            <w:hideMark/>
          </w:tcPr>
          <w:p w14:paraId="3024B4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江西七曜星熠科技有限公司</w:t>
            </w:r>
          </w:p>
        </w:tc>
        <w:tc>
          <w:tcPr>
            <w:tcW w:w="1229" w:type="pct"/>
            <w:vAlign w:val="center"/>
            <w:hideMark/>
          </w:tcPr>
          <w:p w14:paraId="0B1D0C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229" w:type="pct"/>
            <w:vAlign w:val="center"/>
            <w:hideMark/>
          </w:tcPr>
          <w:p w14:paraId="747FF9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1959364D" w14:textId="77777777" w:rsidTr="001076ED">
        <w:trPr>
          <w:trHeight w:val="397"/>
          <w:jc w:val="center"/>
        </w:trPr>
        <w:tc>
          <w:tcPr>
            <w:tcW w:w="2542" w:type="pct"/>
            <w:vAlign w:val="center"/>
            <w:hideMark/>
          </w:tcPr>
          <w:p w14:paraId="377772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1229" w:type="pct"/>
            <w:vAlign w:val="center"/>
            <w:hideMark/>
          </w:tcPr>
          <w:p w14:paraId="7C6A6D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12,213,763.40</w:t>
            </w:r>
          </w:p>
        </w:tc>
        <w:tc>
          <w:tcPr>
            <w:tcW w:w="1229" w:type="pct"/>
            <w:vAlign w:val="center"/>
            <w:hideMark/>
          </w:tcPr>
          <w:p w14:paraId="1A03A8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14,280,893.61</w:t>
            </w:r>
          </w:p>
        </w:tc>
      </w:tr>
    </w:tbl>
    <w:p w14:paraId="0E84E62B"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（二）湖南小充的实际经营情况、资产负债情况及截至回函日的注销进展，以净资产与股比计算股权价值是否合理、公允</w:t>
      </w:r>
    </w:p>
    <w:p w14:paraId="1B7EA9F5"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、湖南小充的实际经营情况、资产负债情况及截至回函日的注销进展</w:t>
      </w:r>
    </w:p>
    <w:p w14:paraId="654AE78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截止本次评估基准日湖南小充的资产负债情况如下：</w:t>
      </w:r>
    </w:p>
    <w:p w14:paraId="05A129D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4458"/>
      </w:tblGrid>
      <w:tr w:rsidR="00EB3B4C" w:rsidRPr="00DA3766" w14:paraId="70703C90" w14:textId="77777777" w:rsidTr="00DA3766">
        <w:trPr>
          <w:trHeight w:val="397"/>
          <w:tblHeader/>
          <w:jc w:val="center"/>
        </w:trPr>
        <w:tc>
          <w:tcPr>
            <w:tcW w:w="2386" w:type="pct"/>
            <w:vAlign w:val="center"/>
            <w:hideMark/>
          </w:tcPr>
          <w:p w14:paraId="12CF0A5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2614" w:type="pct"/>
            <w:vAlign w:val="center"/>
            <w:hideMark/>
          </w:tcPr>
          <w:p w14:paraId="2BCCF21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6</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30</w:t>
            </w:r>
            <w:r w:rsidRPr="00DA3766">
              <w:rPr>
                <w:rFonts w:ascii="Times New Roman" w:hAnsi="Times New Roman" w:cs="Times New Roman"/>
                <w:b/>
                <w:color w:val="000000"/>
                <w:sz w:val="21"/>
              </w:rPr>
              <w:t>日</w:t>
            </w:r>
          </w:p>
        </w:tc>
      </w:tr>
      <w:tr w:rsidR="00EB3B4C" w:rsidRPr="00DA3766" w14:paraId="4E44DBAF" w14:textId="77777777" w:rsidTr="00DA3766">
        <w:trPr>
          <w:trHeight w:val="397"/>
          <w:jc w:val="center"/>
        </w:trPr>
        <w:tc>
          <w:tcPr>
            <w:tcW w:w="2386" w:type="pct"/>
            <w:vAlign w:val="center"/>
            <w:hideMark/>
          </w:tcPr>
          <w:p w14:paraId="1CD042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流动资产合计</w:t>
            </w:r>
          </w:p>
        </w:tc>
        <w:tc>
          <w:tcPr>
            <w:tcW w:w="2614" w:type="pct"/>
            <w:vAlign w:val="center"/>
            <w:hideMark/>
          </w:tcPr>
          <w:p w14:paraId="7CA12C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825,689.04</w:t>
            </w:r>
          </w:p>
        </w:tc>
      </w:tr>
      <w:tr w:rsidR="00EB3B4C" w:rsidRPr="00DA3766" w14:paraId="13DC6B69" w14:textId="77777777" w:rsidTr="00DA3766">
        <w:trPr>
          <w:trHeight w:val="397"/>
          <w:jc w:val="center"/>
        </w:trPr>
        <w:tc>
          <w:tcPr>
            <w:tcW w:w="2386" w:type="pct"/>
            <w:vAlign w:val="center"/>
            <w:hideMark/>
          </w:tcPr>
          <w:p w14:paraId="42AC97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非流动资产合计</w:t>
            </w:r>
          </w:p>
        </w:tc>
        <w:tc>
          <w:tcPr>
            <w:tcW w:w="2614" w:type="pct"/>
            <w:vAlign w:val="center"/>
            <w:hideMark/>
          </w:tcPr>
          <w:p w14:paraId="724D20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83,695.12</w:t>
            </w:r>
          </w:p>
        </w:tc>
      </w:tr>
      <w:tr w:rsidR="00EB3B4C" w:rsidRPr="00DA3766" w14:paraId="02D9FC21" w14:textId="77777777" w:rsidTr="00DA3766">
        <w:trPr>
          <w:trHeight w:val="397"/>
          <w:jc w:val="center"/>
        </w:trPr>
        <w:tc>
          <w:tcPr>
            <w:tcW w:w="2386" w:type="pct"/>
            <w:vAlign w:val="center"/>
            <w:hideMark/>
          </w:tcPr>
          <w:p w14:paraId="0A115B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资产总计</w:t>
            </w:r>
          </w:p>
        </w:tc>
        <w:tc>
          <w:tcPr>
            <w:tcW w:w="2614" w:type="pct"/>
            <w:vAlign w:val="center"/>
            <w:hideMark/>
          </w:tcPr>
          <w:p w14:paraId="56EAA5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909,384.16</w:t>
            </w:r>
          </w:p>
        </w:tc>
      </w:tr>
      <w:tr w:rsidR="00EB3B4C" w:rsidRPr="00DA3766" w14:paraId="4819074D" w14:textId="77777777" w:rsidTr="00DA3766">
        <w:trPr>
          <w:trHeight w:val="397"/>
          <w:jc w:val="center"/>
        </w:trPr>
        <w:tc>
          <w:tcPr>
            <w:tcW w:w="2386" w:type="pct"/>
            <w:vAlign w:val="center"/>
            <w:hideMark/>
          </w:tcPr>
          <w:p w14:paraId="7FAA3F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流动负债合计</w:t>
            </w:r>
          </w:p>
        </w:tc>
        <w:tc>
          <w:tcPr>
            <w:tcW w:w="2614" w:type="pct"/>
            <w:vAlign w:val="center"/>
            <w:hideMark/>
          </w:tcPr>
          <w:p w14:paraId="41467C3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1,375,560.37</w:t>
            </w:r>
          </w:p>
        </w:tc>
      </w:tr>
      <w:tr w:rsidR="00EB3B4C" w:rsidRPr="00DA3766" w14:paraId="15BF264E" w14:textId="77777777" w:rsidTr="00DA3766">
        <w:trPr>
          <w:trHeight w:val="397"/>
          <w:jc w:val="center"/>
        </w:trPr>
        <w:tc>
          <w:tcPr>
            <w:tcW w:w="2386" w:type="pct"/>
            <w:vAlign w:val="center"/>
            <w:hideMark/>
          </w:tcPr>
          <w:p w14:paraId="0339F8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非流动负债合计</w:t>
            </w:r>
          </w:p>
        </w:tc>
        <w:tc>
          <w:tcPr>
            <w:tcW w:w="2614" w:type="pct"/>
            <w:vAlign w:val="center"/>
            <w:hideMark/>
          </w:tcPr>
          <w:p w14:paraId="61F882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2FEAF91F" w14:textId="77777777" w:rsidTr="00DA3766">
        <w:trPr>
          <w:trHeight w:val="397"/>
          <w:jc w:val="center"/>
        </w:trPr>
        <w:tc>
          <w:tcPr>
            <w:tcW w:w="2386" w:type="pct"/>
            <w:vAlign w:val="center"/>
            <w:hideMark/>
          </w:tcPr>
          <w:p w14:paraId="612D46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负债合计</w:t>
            </w:r>
          </w:p>
        </w:tc>
        <w:tc>
          <w:tcPr>
            <w:tcW w:w="2614" w:type="pct"/>
            <w:vAlign w:val="center"/>
            <w:hideMark/>
          </w:tcPr>
          <w:p w14:paraId="20F346A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1,375,560.37</w:t>
            </w:r>
          </w:p>
        </w:tc>
      </w:tr>
      <w:tr w:rsidR="00EB3B4C" w:rsidRPr="00DA3766" w14:paraId="7601B1D6" w14:textId="77777777" w:rsidTr="00DA3766">
        <w:trPr>
          <w:trHeight w:val="397"/>
          <w:jc w:val="center"/>
        </w:trPr>
        <w:tc>
          <w:tcPr>
            <w:tcW w:w="2386" w:type="pct"/>
            <w:vAlign w:val="center"/>
            <w:hideMark/>
          </w:tcPr>
          <w:p w14:paraId="6463DC6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净资产合计</w:t>
            </w:r>
          </w:p>
        </w:tc>
        <w:tc>
          <w:tcPr>
            <w:tcW w:w="2614" w:type="pct"/>
            <w:vAlign w:val="center"/>
            <w:hideMark/>
          </w:tcPr>
          <w:p w14:paraId="660C03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-466,176.21</w:t>
            </w:r>
          </w:p>
        </w:tc>
      </w:tr>
    </w:tbl>
    <w:p w14:paraId="3A10500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截止本次评估基准日湖南小充的经营状况如下：</w:t>
      </w:r>
    </w:p>
    <w:p w14:paraId="1EDB355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3055"/>
        <w:gridCol w:w="3208"/>
      </w:tblGrid>
      <w:tr w:rsidR="00EB3B4C" w:rsidRPr="00DA3766" w14:paraId="573B90A9" w14:textId="77777777" w:rsidTr="00DA3766">
        <w:trPr>
          <w:trHeight w:val="397"/>
          <w:tblHeader/>
          <w:jc w:val="center"/>
        </w:trPr>
        <w:tc>
          <w:tcPr>
            <w:tcW w:w="1328" w:type="pct"/>
            <w:vAlign w:val="center"/>
            <w:hideMark/>
          </w:tcPr>
          <w:p w14:paraId="5A9972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791" w:type="pct"/>
            <w:vAlign w:val="center"/>
          </w:tcPr>
          <w:p w14:paraId="4BCFCD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1881" w:type="pct"/>
            <w:vAlign w:val="center"/>
            <w:hideMark/>
          </w:tcPr>
          <w:p w14:paraId="7E1DC5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0FD2BE70" w14:textId="77777777" w:rsidTr="00DA3766">
        <w:trPr>
          <w:trHeight w:val="397"/>
          <w:jc w:val="center"/>
        </w:trPr>
        <w:tc>
          <w:tcPr>
            <w:tcW w:w="1328" w:type="pct"/>
            <w:vAlign w:val="center"/>
            <w:hideMark/>
          </w:tcPr>
          <w:p w14:paraId="23298F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1791" w:type="pct"/>
            <w:vAlign w:val="center"/>
          </w:tcPr>
          <w:p w14:paraId="0C6819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11,114,424.31</w:t>
            </w:r>
          </w:p>
        </w:tc>
        <w:tc>
          <w:tcPr>
            <w:tcW w:w="1881" w:type="pct"/>
            <w:vAlign w:val="center"/>
            <w:hideMark/>
          </w:tcPr>
          <w:p w14:paraId="10A472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987,112.19</w:t>
            </w:r>
          </w:p>
        </w:tc>
      </w:tr>
      <w:tr w:rsidR="00EB3B4C" w:rsidRPr="00DA3766" w14:paraId="22AF14E0" w14:textId="77777777" w:rsidTr="00DA3766">
        <w:trPr>
          <w:trHeight w:val="397"/>
          <w:jc w:val="center"/>
        </w:trPr>
        <w:tc>
          <w:tcPr>
            <w:tcW w:w="1328" w:type="pct"/>
            <w:vAlign w:val="center"/>
            <w:hideMark/>
          </w:tcPr>
          <w:p w14:paraId="22E099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利润总额</w:t>
            </w:r>
          </w:p>
        </w:tc>
        <w:tc>
          <w:tcPr>
            <w:tcW w:w="1791" w:type="pct"/>
            <w:vAlign w:val="center"/>
          </w:tcPr>
          <w:p w14:paraId="1D63AF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-2,748,526.81</w:t>
            </w:r>
          </w:p>
        </w:tc>
        <w:tc>
          <w:tcPr>
            <w:tcW w:w="1881" w:type="pct"/>
            <w:vAlign w:val="center"/>
            <w:hideMark/>
          </w:tcPr>
          <w:p w14:paraId="144128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-168,092.01</w:t>
            </w:r>
          </w:p>
        </w:tc>
      </w:tr>
      <w:tr w:rsidR="00EB3B4C" w:rsidRPr="00DA3766" w14:paraId="1C61DD2B" w14:textId="77777777" w:rsidTr="00DA3766">
        <w:trPr>
          <w:trHeight w:val="397"/>
          <w:jc w:val="center"/>
        </w:trPr>
        <w:tc>
          <w:tcPr>
            <w:tcW w:w="1328" w:type="pct"/>
            <w:vAlign w:val="center"/>
            <w:hideMark/>
          </w:tcPr>
          <w:p w14:paraId="31C096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p>
        </w:tc>
        <w:tc>
          <w:tcPr>
            <w:tcW w:w="1791" w:type="pct"/>
            <w:vAlign w:val="center"/>
          </w:tcPr>
          <w:p w14:paraId="445FCD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-2,726,487.48</w:t>
            </w:r>
          </w:p>
        </w:tc>
        <w:tc>
          <w:tcPr>
            <w:tcW w:w="1881" w:type="pct"/>
            <w:vAlign w:val="center"/>
            <w:hideMark/>
          </w:tcPr>
          <w:p w14:paraId="2A4B0D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186,987.29</w:t>
            </w:r>
          </w:p>
        </w:tc>
      </w:tr>
    </w:tbl>
    <w:p w14:paraId="716E8A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其中流动资产主要包括：货币资金、应收账款、预付账款、其他应收款等；非流动资产主要为固定资产。</w:t>
      </w:r>
    </w:p>
    <w:p w14:paraId="38C6D59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流动负债主要包括：应付账款、合同负债、应交税费、其他应付款等。</w:t>
      </w:r>
    </w:p>
    <w:p w14:paraId="3EFDA21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截至本回复出具之日，湖南小充已无开展经营活动，正在进行工商注销备案。</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1-6</w:t>
      </w:r>
      <w:r w:rsidRPr="00DA3766">
        <w:rPr>
          <w:rFonts w:ascii="Times New Roman" w:hAnsi="Times New Roman" w:cs="Times New Roman"/>
        </w:rPr>
        <w:t>月主要消化库存的存货，并且截止基准日账面存货已消化完毕。截至回函日，湖南小充正在进行工商注销备案。</w:t>
      </w:r>
    </w:p>
    <w:p w14:paraId="2340B6E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、以净资产与股比计算股权价值是否合理、公允</w:t>
      </w:r>
    </w:p>
    <w:p w14:paraId="04B4C41D"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根据湖南小充基准日资产负债情况来看，其流动资产中无存货，均为流动性及变现能力较强的项目，本次按账面值确认评估值具备合理性；非流动资产主要为少量电脑显示器等一般电子设备，此类设备折旧年限为</w:t>
      </w:r>
      <w:r w:rsidRPr="00DA3766">
        <w:rPr>
          <w:rFonts w:ascii="Times New Roman" w:hAnsi="Times New Roman" w:cs="Times New Roman"/>
        </w:rPr>
        <w:t>5</w:t>
      </w:r>
      <w:r w:rsidRPr="00DA3766">
        <w:rPr>
          <w:rFonts w:ascii="Times New Roman" w:hAnsi="Times New Roman" w:cs="Times New Roman"/>
        </w:rPr>
        <w:t>年，与评估一般采用的经济耐用寿命年限一致，故本次评估认定其账面价值与评估市场价值差异不显著，可按账面价值确认评估值；流动负债主要为应付账款等，系湖南小充应承担及支付的债务，因此本次评估按其账面价值确认评估值。</w:t>
      </w:r>
    </w:p>
    <w:p w14:paraId="25D42F0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综上，本次评估按净资产与股比计算湖南小充股权价值具备合理性和公允性。</w:t>
      </w:r>
    </w:p>
    <w:p w14:paraId="581C021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9</w:t>
      </w:r>
      <w:r w:rsidRPr="00DA3766">
        <w:rPr>
          <w:rFonts w:ascii="Times New Roman" w:hAnsi="Times New Roman" w:cs="Times New Roman"/>
          <w:kern w:val="2"/>
          <w:szCs w:val="22"/>
        </w:rPr>
        <w:t>、非经营性资产、负债的计算</w:t>
      </w:r>
      <w:r w:rsidRPr="00DA3766">
        <w:rPr>
          <w:rFonts w:cs="Times New Roman"/>
          <w:kern w:val="2"/>
          <w:szCs w:val="22"/>
        </w:rPr>
        <w:t>”</w:t>
      </w:r>
      <w:r w:rsidRPr="00DA3766">
        <w:rPr>
          <w:rFonts w:ascii="Times New Roman" w:hAnsi="Times New Roman" w:cs="Times New Roman"/>
          <w:kern w:val="2"/>
          <w:szCs w:val="22"/>
        </w:rPr>
        <w:t>和</w:t>
      </w:r>
      <w:r w:rsidRPr="00DA3766">
        <w:rPr>
          <w:rFonts w:cs="Times New Roman"/>
          <w:kern w:val="2"/>
          <w:szCs w:val="22"/>
        </w:rPr>
        <w:t>“</w:t>
      </w:r>
      <w:r w:rsidRPr="00DA3766">
        <w:rPr>
          <w:rFonts w:ascii="Times New Roman" w:hAnsi="Times New Roman" w:cs="Times New Roman"/>
          <w:kern w:val="2"/>
          <w:szCs w:val="22"/>
        </w:rPr>
        <w:t>11</w:t>
      </w:r>
      <w:r w:rsidRPr="00DA3766">
        <w:rPr>
          <w:rFonts w:ascii="Times New Roman" w:hAnsi="Times New Roman" w:cs="Times New Roman"/>
          <w:kern w:val="2"/>
          <w:szCs w:val="22"/>
        </w:rPr>
        <w:t>、少数股东权益价值的评估</w:t>
      </w:r>
      <w:r w:rsidRPr="00DA3766">
        <w:rPr>
          <w:rFonts w:cs="Times New Roman"/>
          <w:kern w:val="2"/>
          <w:szCs w:val="22"/>
        </w:rPr>
        <w:t>”</w:t>
      </w:r>
      <w:r w:rsidRPr="00DA3766">
        <w:rPr>
          <w:rFonts w:ascii="Times New Roman" w:hAnsi="Times New Roman" w:cs="Times New Roman"/>
          <w:kern w:val="2"/>
          <w:szCs w:val="22"/>
        </w:rPr>
        <w:t>补充披露。</w:t>
      </w:r>
    </w:p>
    <w:p w14:paraId="5F22B5A1"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九、补充说明标的资产市净率高于可比上市公司的原因及合理性；可比上市公司、可比交易案例估值水平存在差异的原因，能否合理反映行业估值水平，与标的资产是否具有可比性</w:t>
      </w:r>
    </w:p>
    <w:p w14:paraId="519ECD6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（一）标的资产市净率高于可比上市公司的原因及合理性</w:t>
      </w:r>
    </w:p>
    <w:p w14:paraId="543A180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同行业可比上市公司的市净率平均数和中位数低于本次交易，主要系受星云开物经营模式及报告期内股份回购影响。</w:t>
      </w:r>
    </w:p>
    <w:p w14:paraId="53B8557A"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、经营模式</w:t>
      </w:r>
    </w:p>
    <w:p w14:paraId="61B4051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星云开物是一家专注于提供智能物联网硬件与</w:t>
      </w:r>
      <w:r w:rsidRPr="00DA3766">
        <w:rPr>
          <w:rFonts w:ascii="Times New Roman" w:hAnsi="Times New Roman" w:cs="Times New Roman"/>
          <w:kern w:val="2"/>
          <w:szCs w:val="22"/>
        </w:rPr>
        <w:t>SaaS</w:t>
      </w:r>
      <w:r w:rsidRPr="00DA3766">
        <w:rPr>
          <w:rFonts w:ascii="Times New Roman" w:hAnsi="Times New Roman" w:cs="Times New Roman"/>
          <w:kern w:val="2"/>
          <w:szCs w:val="22"/>
        </w:rPr>
        <w:t>系统一体化解决方案的高新技术企业。在经营模式上，星云开物主要通过外协加工模式生产智能物联网硬件，销售予下游客户后部署于本地自动化设备，再通过提供</w:t>
      </w:r>
      <w:r w:rsidRPr="00DA3766">
        <w:rPr>
          <w:rFonts w:ascii="Times New Roman" w:hAnsi="Times New Roman" w:cs="Times New Roman"/>
          <w:kern w:val="2"/>
          <w:szCs w:val="22"/>
        </w:rPr>
        <w:t>IoT</w:t>
      </w:r>
      <w:r w:rsidRPr="00DA3766">
        <w:rPr>
          <w:rFonts w:ascii="Times New Roman" w:hAnsi="Times New Roman" w:cs="Times New Roman"/>
          <w:kern w:val="2"/>
          <w:szCs w:val="22"/>
        </w:rPr>
        <w:t>物联网</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云平台服务，系一家轻资产经营模式的企业，无自有建筑，报告期内固定资产金额分别为</w:t>
      </w:r>
      <w:r w:rsidRPr="00DA3766">
        <w:rPr>
          <w:rFonts w:ascii="Times New Roman" w:hAnsi="Times New Roman" w:cs="Times New Roman"/>
          <w:kern w:val="2"/>
          <w:szCs w:val="22"/>
        </w:rPr>
        <w:t>1,075.14</w:t>
      </w:r>
      <w:r w:rsidRPr="00DA3766">
        <w:rPr>
          <w:rFonts w:ascii="Times New Roman" w:hAnsi="Times New Roman" w:cs="Times New Roman"/>
          <w:kern w:val="2"/>
          <w:szCs w:val="22"/>
        </w:rPr>
        <w:t>万元、</w:t>
      </w:r>
      <w:r w:rsidRPr="00DA3766">
        <w:rPr>
          <w:rFonts w:ascii="Times New Roman" w:hAnsi="Times New Roman" w:cs="Times New Roman"/>
          <w:kern w:val="2"/>
          <w:szCs w:val="22"/>
        </w:rPr>
        <w:t>1,026.86</w:t>
      </w:r>
      <w:r w:rsidRPr="00DA3766">
        <w:rPr>
          <w:rFonts w:ascii="Times New Roman" w:hAnsi="Times New Roman" w:cs="Times New Roman"/>
          <w:kern w:val="2"/>
          <w:szCs w:val="22"/>
        </w:rPr>
        <w:t>万元和</w:t>
      </w:r>
      <w:r w:rsidRPr="00DA3766">
        <w:rPr>
          <w:rFonts w:ascii="Times New Roman" w:hAnsi="Times New Roman" w:cs="Times New Roman"/>
          <w:kern w:val="2"/>
          <w:szCs w:val="22"/>
        </w:rPr>
        <w:t>924.92</w:t>
      </w:r>
      <w:r w:rsidRPr="00DA3766">
        <w:rPr>
          <w:rFonts w:ascii="Times New Roman" w:hAnsi="Times New Roman" w:cs="Times New Roman"/>
          <w:kern w:val="2"/>
          <w:szCs w:val="22"/>
        </w:rPr>
        <w:t>万元，占净资产比例分别为</w:t>
      </w:r>
      <w:r w:rsidRPr="00DA3766">
        <w:rPr>
          <w:rFonts w:ascii="Times New Roman" w:hAnsi="Times New Roman" w:cs="Times New Roman"/>
          <w:kern w:val="2"/>
          <w:szCs w:val="22"/>
        </w:rPr>
        <w:t>2.48%</w:t>
      </w:r>
      <w:r w:rsidRPr="00DA3766">
        <w:rPr>
          <w:rFonts w:ascii="Times New Roman" w:hAnsi="Times New Roman" w:cs="Times New Roman"/>
          <w:kern w:val="2"/>
          <w:szCs w:val="22"/>
        </w:rPr>
        <w:t>、</w:t>
      </w:r>
      <w:r w:rsidRPr="00DA3766">
        <w:rPr>
          <w:rFonts w:ascii="Times New Roman" w:hAnsi="Times New Roman" w:cs="Times New Roman"/>
          <w:kern w:val="2"/>
          <w:szCs w:val="22"/>
        </w:rPr>
        <w:t>6.00%</w:t>
      </w:r>
      <w:r w:rsidRPr="00DA3766">
        <w:rPr>
          <w:rFonts w:ascii="Times New Roman" w:hAnsi="Times New Roman" w:cs="Times New Roman"/>
          <w:kern w:val="2"/>
          <w:szCs w:val="22"/>
        </w:rPr>
        <w:t>和</w:t>
      </w:r>
      <w:r w:rsidRPr="00DA3766">
        <w:rPr>
          <w:rFonts w:ascii="Times New Roman" w:hAnsi="Times New Roman" w:cs="Times New Roman"/>
          <w:kern w:val="2"/>
          <w:szCs w:val="22"/>
        </w:rPr>
        <w:t>4.94%</w:t>
      </w:r>
      <w:r w:rsidRPr="00DA3766">
        <w:rPr>
          <w:rFonts w:ascii="Times New Roman" w:hAnsi="Times New Roman" w:cs="Times New Roman"/>
          <w:kern w:val="2"/>
          <w:szCs w:val="22"/>
        </w:rPr>
        <w:t>，使得市净率水平偏高。</w:t>
      </w:r>
    </w:p>
    <w:p w14:paraId="5234CA3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可比公司固定资产情况如下：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844"/>
        <w:gridCol w:w="1417"/>
        <w:gridCol w:w="1276"/>
        <w:gridCol w:w="1276"/>
        <w:gridCol w:w="1189"/>
      </w:tblGrid>
      <w:tr w:rsidR="00EB3B4C" w:rsidRPr="00DA3766" w14:paraId="4C9E8FD3" w14:textId="77777777" w:rsidTr="00DA3766">
        <w:trPr>
          <w:trHeight w:val="397"/>
          <w:tblHeader/>
          <w:jc w:val="center"/>
        </w:trPr>
        <w:tc>
          <w:tcPr>
            <w:tcW w:w="895" w:type="pct"/>
            <w:vAlign w:val="center"/>
            <w:hideMark/>
          </w:tcPr>
          <w:p w14:paraId="4E3E0E3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081" w:type="pct"/>
            <w:vAlign w:val="center"/>
            <w:hideMark/>
          </w:tcPr>
          <w:p w14:paraId="3DB478A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年度</w:t>
            </w:r>
          </w:p>
        </w:tc>
        <w:tc>
          <w:tcPr>
            <w:tcW w:w="831" w:type="pct"/>
            <w:vAlign w:val="center"/>
          </w:tcPr>
          <w:p w14:paraId="4F8641C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w:t>
            </w:r>
          </w:p>
        </w:tc>
        <w:tc>
          <w:tcPr>
            <w:tcW w:w="748" w:type="pct"/>
            <w:vAlign w:val="center"/>
            <w:hideMark/>
          </w:tcPr>
          <w:p w14:paraId="6C95C9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748" w:type="pct"/>
            <w:vAlign w:val="center"/>
            <w:hideMark/>
          </w:tcPr>
          <w:p w14:paraId="49612B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698" w:type="pct"/>
            <w:vAlign w:val="center"/>
            <w:hideMark/>
          </w:tcPr>
          <w:p w14:paraId="2FC5A6D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1CF6AC67" w14:textId="77777777" w:rsidTr="00DA3766">
        <w:trPr>
          <w:trHeight w:val="397"/>
          <w:jc w:val="center"/>
        </w:trPr>
        <w:tc>
          <w:tcPr>
            <w:tcW w:w="895" w:type="pct"/>
            <w:vMerge w:val="restart"/>
            <w:vAlign w:val="center"/>
            <w:hideMark/>
          </w:tcPr>
          <w:p w14:paraId="7A0065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净资产（万元）</w:t>
            </w:r>
          </w:p>
        </w:tc>
        <w:tc>
          <w:tcPr>
            <w:tcW w:w="1081" w:type="pct"/>
            <w:vAlign w:val="center"/>
            <w:hideMark/>
          </w:tcPr>
          <w:p w14:paraId="7C53DC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382C5C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18,727.33</w:t>
            </w:r>
          </w:p>
        </w:tc>
        <w:tc>
          <w:tcPr>
            <w:tcW w:w="748" w:type="pct"/>
            <w:vAlign w:val="center"/>
            <w:hideMark/>
          </w:tcPr>
          <w:p w14:paraId="18F4962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110,865.11</w:t>
            </w:r>
          </w:p>
        </w:tc>
        <w:tc>
          <w:tcPr>
            <w:tcW w:w="748" w:type="pct"/>
            <w:vAlign w:val="center"/>
            <w:hideMark/>
          </w:tcPr>
          <w:p w14:paraId="7A3061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598,785.96</w:t>
            </w:r>
          </w:p>
        </w:tc>
        <w:tc>
          <w:tcPr>
            <w:tcW w:w="698" w:type="pct"/>
            <w:vAlign w:val="center"/>
            <w:hideMark/>
          </w:tcPr>
          <w:p w14:paraId="2D0B13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776,217.91</w:t>
            </w:r>
          </w:p>
        </w:tc>
      </w:tr>
      <w:tr w:rsidR="00EB3B4C" w:rsidRPr="00DA3766" w14:paraId="0BFFBFDD" w14:textId="77777777" w:rsidTr="00DA3766">
        <w:trPr>
          <w:trHeight w:val="397"/>
          <w:jc w:val="center"/>
        </w:trPr>
        <w:tc>
          <w:tcPr>
            <w:tcW w:w="895" w:type="pct"/>
            <w:vMerge/>
            <w:vAlign w:val="center"/>
            <w:hideMark/>
          </w:tcPr>
          <w:p w14:paraId="3E409B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FA0EE6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6BE796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17,106.29</w:t>
            </w:r>
          </w:p>
        </w:tc>
        <w:tc>
          <w:tcPr>
            <w:tcW w:w="748" w:type="pct"/>
            <w:vAlign w:val="center"/>
            <w:hideMark/>
          </w:tcPr>
          <w:p w14:paraId="2E80C5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104,515.48</w:t>
            </w:r>
          </w:p>
        </w:tc>
        <w:tc>
          <w:tcPr>
            <w:tcW w:w="748" w:type="pct"/>
            <w:vAlign w:val="center"/>
            <w:hideMark/>
          </w:tcPr>
          <w:p w14:paraId="1D1FFDD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607,950.83</w:t>
            </w:r>
          </w:p>
        </w:tc>
        <w:tc>
          <w:tcPr>
            <w:tcW w:w="698" w:type="pct"/>
            <w:vAlign w:val="center"/>
            <w:hideMark/>
          </w:tcPr>
          <w:p w14:paraId="6F5ADDE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795,828.79</w:t>
            </w:r>
          </w:p>
        </w:tc>
      </w:tr>
      <w:tr w:rsidR="00EB3B4C" w:rsidRPr="00DA3766" w14:paraId="77722B91" w14:textId="77777777" w:rsidTr="00DA3766">
        <w:trPr>
          <w:trHeight w:val="397"/>
          <w:jc w:val="center"/>
        </w:trPr>
        <w:tc>
          <w:tcPr>
            <w:tcW w:w="895" w:type="pct"/>
            <w:vMerge/>
            <w:vAlign w:val="center"/>
            <w:hideMark/>
          </w:tcPr>
          <w:p w14:paraId="6D7025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026608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1F5C37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43,345.08</w:t>
            </w:r>
          </w:p>
        </w:tc>
        <w:tc>
          <w:tcPr>
            <w:tcW w:w="748" w:type="pct"/>
            <w:vAlign w:val="center"/>
            <w:hideMark/>
          </w:tcPr>
          <w:p w14:paraId="2FB6B2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91,570.53</w:t>
            </w:r>
          </w:p>
        </w:tc>
        <w:tc>
          <w:tcPr>
            <w:tcW w:w="748" w:type="pct"/>
            <w:vAlign w:val="center"/>
            <w:hideMark/>
          </w:tcPr>
          <w:p w14:paraId="0EEE7F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637,860.27</w:t>
            </w:r>
          </w:p>
        </w:tc>
        <w:tc>
          <w:tcPr>
            <w:tcW w:w="698" w:type="pct"/>
            <w:vAlign w:val="center"/>
            <w:hideMark/>
          </w:tcPr>
          <w:p w14:paraId="6EACD4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816,411.87</w:t>
            </w:r>
          </w:p>
        </w:tc>
      </w:tr>
      <w:tr w:rsidR="00EB3B4C" w:rsidRPr="00DA3766" w14:paraId="566D98BF" w14:textId="77777777" w:rsidTr="00DA3766">
        <w:trPr>
          <w:trHeight w:val="397"/>
          <w:jc w:val="center"/>
        </w:trPr>
        <w:tc>
          <w:tcPr>
            <w:tcW w:w="895" w:type="pct"/>
            <w:vMerge/>
            <w:vAlign w:val="center"/>
            <w:hideMark/>
          </w:tcPr>
          <w:p w14:paraId="71FE49F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36979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40766A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26,392.90</w:t>
            </w:r>
          </w:p>
        </w:tc>
        <w:tc>
          <w:tcPr>
            <w:tcW w:w="748" w:type="pct"/>
            <w:vAlign w:val="center"/>
            <w:hideMark/>
          </w:tcPr>
          <w:p w14:paraId="19E6A3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102,317.04</w:t>
            </w:r>
          </w:p>
        </w:tc>
        <w:tc>
          <w:tcPr>
            <w:tcW w:w="748" w:type="pct"/>
            <w:vAlign w:val="center"/>
            <w:hideMark/>
          </w:tcPr>
          <w:p w14:paraId="402596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614,865.69</w:t>
            </w:r>
          </w:p>
        </w:tc>
        <w:tc>
          <w:tcPr>
            <w:tcW w:w="698" w:type="pct"/>
            <w:vAlign w:val="center"/>
            <w:hideMark/>
          </w:tcPr>
          <w:p w14:paraId="7D0225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796,152.86</w:t>
            </w:r>
          </w:p>
        </w:tc>
      </w:tr>
      <w:tr w:rsidR="00EB3B4C" w:rsidRPr="00DA3766" w14:paraId="719BACA9" w14:textId="77777777" w:rsidTr="00DA3766">
        <w:trPr>
          <w:trHeight w:val="397"/>
          <w:jc w:val="center"/>
        </w:trPr>
        <w:tc>
          <w:tcPr>
            <w:tcW w:w="895" w:type="pct"/>
            <w:vMerge w:val="restart"/>
            <w:vAlign w:val="center"/>
            <w:hideMark/>
          </w:tcPr>
          <w:p w14:paraId="4589CB4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固定资产规模（万元）</w:t>
            </w:r>
          </w:p>
        </w:tc>
        <w:tc>
          <w:tcPr>
            <w:tcW w:w="1081" w:type="pct"/>
            <w:vAlign w:val="center"/>
            <w:hideMark/>
          </w:tcPr>
          <w:p w14:paraId="524922B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5AC677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924.92</w:t>
            </w:r>
          </w:p>
        </w:tc>
        <w:tc>
          <w:tcPr>
            <w:tcW w:w="748" w:type="pct"/>
            <w:vAlign w:val="center"/>
            <w:hideMark/>
          </w:tcPr>
          <w:p w14:paraId="0ADE08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5,223.91</w:t>
            </w:r>
          </w:p>
        </w:tc>
        <w:tc>
          <w:tcPr>
            <w:tcW w:w="748" w:type="pct"/>
            <w:vAlign w:val="center"/>
            <w:hideMark/>
          </w:tcPr>
          <w:p w14:paraId="02F119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146,721.47</w:t>
            </w:r>
          </w:p>
        </w:tc>
        <w:tc>
          <w:tcPr>
            <w:tcW w:w="698" w:type="pct"/>
            <w:vAlign w:val="center"/>
            <w:hideMark/>
          </w:tcPr>
          <w:p w14:paraId="766A93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56,416.34</w:t>
            </w:r>
          </w:p>
        </w:tc>
      </w:tr>
      <w:tr w:rsidR="00EB3B4C" w:rsidRPr="00DA3766" w14:paraId="18D78354" w14:textId="77777777" w:rsidTr="00DA3766">
        <w:trPr>
          <w:trHeight w:val="397"/>
          <w:jc w:val="center"/>
        </w:trPr>
        <w:tc>
          <w:tcPr>
            <w:tcW w:w="895" w:type="pct"/>
            <w:vMerge/>
            <w:vAlign w:val="center"/>
            <w:hideMark/>
          </w:tcPr>
          <w:p w14:paraId="7C3BC5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C1103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53D01F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1,026.86</w:t>
            </w:r>
          </w:p>
        </w:tc>
        <w:tc>
          <w:tcPr>
            <w:tcW w:w="748" w:type="pct"/>
            <w:vAlign w:val="center"/>
            <w:hideMark/>
          </w:tcPr>
          <w:p w14:paraId="72617FC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4,500.65</w:t>
            </w:r>
          </w:p>
        </w:tc>
        <w:tc>
          <w:tcPr>
            <w:tcW w:w="748" w:type="pct"/>
            <w:vAlign w:val="center"/>
            <w:hideMark/>
          </w:tcPr>
          <w:p w14:paraId="216FA9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152,566.56</w:t>
            </w:r>
          </w:p>
        </w:tc>
        <w:tc>
          <w:tcPr>
            <w:tcW w:w="698" w:type="pct"/>
            <w:vAlign w:val="center"/>
            <w:hideMark/>
          </w:tcPr>
          <w:p w14:paraId="53C71E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58,199.32</w:t>
            </w:r>
          </w:p>
        </w:tc>
      </w:tr>
      <w:tr w:rsidR="00EB3B4C" w:rsidRPr="00DA3766" w14:paraId="7E02976A" w14:textId="77777777" w:rsidTr="00DA3766">
        <w:trPr>
          <w:trHeight w:val="397"/>
          <w:jc w:val="center"/>
        </w:trPr>
        <w:tc>
          <w:tcPr>
            <w:tcW w:w="895" w:type="pct"/>
            <w:vMerge/>
            <w:vAlign w:val="center"/>
            <w:hideMark/>
          </w:tcPr>
          <w:p w14:paraId="1ED5FB5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21914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673153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1,075.14</w:t>
            </w:r>
          </w:p>
        </w:tc>
        <w:tc>
          <w:tcPr>
            <w:tcW w:w="748" w:type="pct"/>
            <w:vAlign w:val="center"/>
            <w:hideMark/>
          </w:tcPr>
          <w:p w14:paraId="6A6957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4,669.13</w:t>
            </w:r>
          </w:p>
        </w:tc>
        <w:tc>
          <w:tcPr>
            <w:tcW w:w="748" w:type="pct"/>
            <w:vAlign w:val="center"/>
            <w:hideMark/>
          </w:tcPr>
          <w:p w14:paraId="665F51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140,060.46</w:t>
            </w:r>
          </w:p>
        </w:tc>
        <w:tc>
          <w:tcPr>
            <w:tcW w:w="698" w:type="pct"/>
            <w:vAlign w:val="center"/>
            <w:hideMark/>
          </w:tcPr>
          <w:p w14:paraId="71D7C7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62,270.98</w:t>
            </w:r>
          </w:p>
        </w:tc>
      </w:tr>
      <w:tr w:rsidR="00EB3B4C" w:rsidRPr="00DA3766" w14:paraId="7E5EB399" w14:textId="77777777" w:rsidTr="00DA3766">
        <w:trPr>
          <w:trHeight w:val="397"/>
          <w:jc w:val="center"/>
        </w:trPr>
        <w:tc>
          <w:tcPr>
            <w:tcW w:w="895" w:type="pct"/>
            <w:vMerge/>
            <w:vAlign w:val="center"/>
            <w:hideMark/>
          </w:tcPr>
          <w:p w14:paraId="4477C94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2706C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6E1071C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1,008.97</w:t>
            </w:r>
          </w:p>
        </w:tc>
        <w:tc>
          <w:tcPr>
            <w:tcW w:w="748" w:type="pct"/>
            <w:vAlign w:val="center"/>
            <w:hideMark/>
          </w:tcPr>
          <w:p w14:paraId="07EAC9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4,797.90</w:t>
            </w:r>
          </w:p>
        </w:tc>
        <w:tc>
          <w:tcPr>
            <w:tcW w:w="748" w:type="pct"/>
            <w:vAlign w:val="center"/>
            <w:hideMark/>
          </w:tcPr>
          <w:p w14:paraId="553849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146,449.50</w:t>
            </w:r>
          </w:p>
        </w:tc>
        <w:tc>
          <w:tcPr>
            <w:tcW w:w="698" w:type="pct"/>
            <w:vAlign w:val="center"/>
            <w:hideMark/>
          </w:tcPr>
          <w:p w14:paraId="6B6435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58,962.21</w:t>
            </w:r>
          </w:p>
        </w:tc>
      </w:tr>
      <w:tr w:rsidR="00EB3B4C" w:rsidRPr="00DA3766" w14:paraId="4046D55E" w14:textId="77777777" w:rsidTr="00DA3766">
        <w:trPr>
          <w:trHeight w:val="397"/>
          <w:jc w:val="center"/>
        </w:trPr>
        <w:tc>
          <w:tcPr>
            <w:tcW w:w="895" w:type="pct"/>
            <w:vMerge w:val="restart"/>
            <w:vAlign w:val="center"/>
            <w:hideMark/>
          </w:tcPr>
          <w:p w14:paraId="121CFD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其中：房屋建筑物（万元）</w:t>
            </w:r>
          </w:p>
        </w:tc>
        <w:tc>
          <w:tcPr>
            <w:tcW w:w="1081" w:type="pct"/>
            <w:vAlign w:val="center"/>
            <w:hideMark/>
          </w:tcPr>
          <w:p w14:paraId="7D4644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0BD17A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7E4AAE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4,194.72</w:t>
            </w:r>
          </w:p>
        </w:tc>
        <w:tc>
          <w:tcPr>
            <w:tcW w:w="748" w:type="pct"/>
            <w:vAlign w:val="center"/>
            <w:hideMark/>
          </w:tcPr>
          <w:p w14:paraId="1207F9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127,390.22</w:t>
            </w:r>
          </w:p>
        </w:tc>
        <w:tc>
          <w:tcPr>
            <w:tcW w:w="698" w:type="pct"/>
            <w:vAlign w:val="center"/>
            <w:hideMark/>
          </w:tcPr>
          <w:p w14:paraId="56E8E9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52,365.34</w:t>
            </w:r>
          </w:p>
        </w:tc>
      </w:tr>
      <w:tr w:rsidR="00EB3B4C" w:rsidRPr="00DA3766" w14:paraId="15F1E92B" w14:textId="77777777" w:rsidTr="00DA3766">
        <w:trPr>
          <w:trHeight w:val="397"/>
          <w:jc w:val="center"/>
        </w:trPr>
        <w:tc>
          <w:tcPr>
            <w:tcW w:w="895" w:type="pct"/>
            <w:vMerge/>
            <w:vAlign w:val="center"/>
            <w:hideMark/>
          </w:tcPr>
          <w:p w14:paraId="787445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F991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505A39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305739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3,863.60</w:t>
            </w:r>
          </w:p>
        </w:tc>
        <w:tc>
          <w:tcPr>
            <w:tcW w:w="748" w:type="pct"/>
            <w:vAlign w:val="center"/>
            <w:hideMark/>
          </w:tcPr>
          <w:p w14:paraId="1D3EA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129,996.86</w:t>
            </w:r>
          </w:p>
        </w:tc>
        <w:tc>
          <w:tcPr>
            <w:tcW w:w="698" w:type="pct"/>
            <w:vAlign w:val="center"/>
            <w:hideMark/>
          </w:tcPr>
          <w:p w14:paraId="07F67B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2,247.58</w:t>
            </w:r>
          </w:p>
        </w:tc>
      </w:tr>
      <w:tr w:rsidR="00EB3B4C" w:rsidRPr="00DA3766" w14:paraId="321CA76E" w14:textId="77777777" w:rsidTr="00DA3766">
        <w:trPr>
          <w:trHeight w:val="397"/>
          <w:jc w:val="center"/>
        </w:trPr>
        <w:tc>
          <w:tcPr>
            <w:tcW w:w="895" w:type="pct"/>
            <w:vMerge/>
            <w:vAlign w:val="center"/>
            <w:hideMark/>
          </w:tcPr>
          <w:p w14:paraId="7C8ADF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7699EE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0A6617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098FFE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4,087.54</w:t>
            </w:r>
          </w:p>
        </w:tc>
        <w:tc>
          <w:tcPr>
            <w:tcW w:w="748" w:type="pct"/>
            <w:vAlign w:val="center"/>
            <w:hideMark/>
          </w:tcPr>
          <w:p w14:paraId="74275D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117,524.72</w:t>
            </w:r>
          </w:p>
        </w:tc>
        <w:tc>
          <w:tcPr>
            <w:tcW w:w="698" w:type="pct"/>
            <w:vAlign w:val="center"/>
            <w:hideMark/>
          </w:tcPr>
          <w:p w14:paraId="25470F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2,412.62</w:t>
            </w:r>
          </w:p>
        </w:tc>
      </w:tr>
      <w:tr w:rsidR="00EB3B4C" w:rsidRPr="00DA3766" w14:paraId="5D1FB972" w14:textId="77777777" w:rsidTr="00DA3766">
        <w:trPr>
          <w:trHeight w:val="397"/>
          <w:jc w:val="center"/>
        </w:trPr>
        <w:tc>
          <w:tcPr>
            <w:tcW w:w="895" w:type="pct"/>
            <w:vMerge/>
            <w:vAlign w:val="center"/>
            <w:hideMark/>
          </w:tcPr>
          <w:p w14:paraId="104FE82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6489D4B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16B170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w:t>
            </w:r>
          </w:p>
        </w:tc>
        <w:tc>
          <w:tcPr>
            <w:tcW w:w="748" w:type="pct"/>
            <w:vAlign w:val="center"/>
            <w:hideMark/>
          </w:tcPr>
          <w:p w14:paraId="304154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4,048.62</w:t>
            </w:r>
          </w:p>
        </w:tc>
        <w:tc>
          <w:tcPr>
            <w:tcW w:w="748" w:type="pct"/>
            <w:vAlign w:val="center"/>
            <w:hideMark/>
          </w:tcPr>
          <w:p w14:paraId="5562A8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124,970.60</w:t>
            </w:r>
          </w:p>
        </w:tc>
        <w:tc>
          <w:tcPr>
            <w:tcW w:w="698" w:type="pct"/>
            <w:vAlign w:val="center"/>
            <w:hideMark/>
          </w:tcPr>
          <w:p w14:paraId="44ED42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19,008.51</w:t>
            </w:r>
          </w:p>
        </w:tc>
      </w:tr>
      <w:tr w:rsidR="00EB3B4C" w:rsidRPr="00DA3766" w14:paraId="25E3F760" w14:textId="77777777" w:rsidTr="00DA3766">
        <w:trPr>
          <w:trHeight w:val="397"/>
          <w:jc w:val="center"/>
        </w:trPr>
        <w:tc>
          <w:tcPr>
            <w:tcW w:w="895" w:type="pct"/>
            <w:vMerge w:val="restart"/>
            <w:vAlign w:val="center"/>
            <w:hideMark/>
          </w:tcPr>
          <w:p w14:paraId="251A45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固定资产占净资产比例</w:t>
            </w:r>
          </w:p>
        </w:tc>
        <w:tc>
          <w:tcPr>
            <w:tcW w:w="1081" w:type="pct"/>
            <w:vAlign w:val="center"/>
            <w:hideMark/>
          </w:tcPr>
          <w:p w14:paraId="7BE9E9D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57BDA8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4.94%</w:t>
            </w:r>
          </w:p>
        </w:tc>
        <w:tc>
          <w:tcPr>
            <w:tcW w:w="748" w:type="pct"/>
            <w:vAlign w:val="center"/>
            <w:hideMark/>
          </w:tcPr>
          <w:p w14:paraId="21F0D2F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4.71%</w:t>
            </w:r>
          </w:p>
        </w:tc>
        <w:tc>
          <w:tcPr>
            <w:tcW w:w="748" w:type="pct"/>
            <w:vAlign w:val="center"/>
            <w:hideMark/>
          </w:tcPr>
          <w:p w14:paraId="2EDA76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24.50%</w:t>
            </w:r>
          </w:p>
        </w:tc>
        <w:tc>
          <w:tcPr>
            <w:tcW w:w="698" w:type="pct"/>
            <w:vAlign w:val="center"/>
            <w:hideMark/>
          </w:tcPr>
          <w:p w14:paraId="0DFFB58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7.27%</w:t>
            </w:r>
          </w:p>
        </w:tc>
      </w:tr>
      <w:tr w:rsidR="00EB3B4C" w:rsidRPr="00DA3766" w14:paraId="78006792" w14:textId="77777777" w:rsidTr="00DA3766">
        <w:trPr>
          <w:trHeight w:val="397"/>
          <w:jc w:val="center"/>
        </w:trPr>
        <w:tc>
          <w:tcPr>
            <w:tcW w:w="895" w:type="pct"/>
            <w:vMerge/>
            <w:vAlign w:val="center"/>
            <w:hideMark/>
          </w:tcPr>
          <w:p w14:paraId="3595F6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55303A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363F03A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6.00%</w:t>
            </w:r>
          </w:p>
        </w:tc>
        <w:tc>
          <w:tcPr>
            <w:tcW w:w="748" w:type="pct"/>
            <w:vAlign w:val="center"/>
            <w:hideMark/>
          </w:tcPr>
          <w:p w14:paraId="2A7BE8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4.31%</w:t>
            </w:r>
          </w:p>
        </w:tc>
        <w:tc>
          <w:tcPr>
            <w:tcW w:w="748" w:type="pct"/>
            <w:vAlign w:val="center"/>
            <w:hideMark/>
          </w:tcPr>
          <w:p w14:paraId="6E85C2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25.10%</w:t>
            </w:r>
          </w:p>
        </w:tc>
        <w:tc>
          <w:tcPr>
            <w:tcW w:w="698" w:type="pct"/>
            <w:vAlign w:val="center"/>
            <w:hideMark/>
          </w:tcPr>
          <w:p w14:paraId="1C8010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7.31%</w:t>
            </w:r>
          </w:p>
        </w:tc>
      </w:tr>
      <w:tr w:rsidR="00EB3B4C" w:rsidRPr="00DA3766" w14:paraId="0BE8D4DC" w14:textId="77777777" w:rsidTr="00DA3766">
        <w:trPr>
          <w:trHeight w:val="397"/>
          <w:jc w:val="center"/>
        </w:trPr>
        <w:tc>
          <w:tcPr>
            <w:tcW w:w="895" w:type="pct"/>
            <w:vMerge/>
            <w:vAlign w:val="center"/>
            <w:hideMark/>
          </w:tcPr>
          <w:p w14:paraId="4292373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7E5BFC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29F9B4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2.48%</w:t>
            </w:r>
          </w:p>
        </w:tc>
        <w:tc>
          <w:tcPr>
            <w:tcW w:w="748" w:type="pct"/>
            <w:vAlign w:val="center"/>
            <w:hideMark/>
          </w:tcPr>
          <w:p w14:paraId="6B7BF3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5.10%</w:t>
            </w:r>
          </w:p>
        </w:tc>
        <w:tc>
          <w:tcPr>
            <w:tcW w:w="748" w:type="pct"/>
            <w:vAlign w:val="center"/>
            <w:hideMark/>
          </w:tcPr>
          <w:p w14:paraId="0D4378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21.96%</w:t>
            </w:r>
          </w:p>
        </w:tc>
        <w:tc>
          <w:tcPr>
            <w:tcW w:w="698" w:type="pct"/>
            <w:vAlign w:val="center"/>
            <w:hideMark/>
          </w:tcPr>
          <w:p w14:paraId="707D24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7.63%</w:t>
            </w:r>
          </w:p>
        </w:tc>
      </w:tr>
      <w:tr w:rsidR="00EB3B4C" w:rsidRPr="00DA3766" w14:paraId="55AFE293" w14:textId="77777777" w:rsidTr="00DA3766">
        <w:trPr>
          <w:trHeight w:val="397"/>
          <w:jc w:val="center"/>
        </w:trPr>
        <w:tc>
          <w:tcPr>
            <w:tcW w:w="895" w:type="pct"/>
            <w:vMerge/>
            <w:vAlign w:val="center"/>
            <w:hideMark/>
          </w:tcPr>
          <w:p w14:paraId="7E3AC4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2F810A0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046ABB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3.82%</w:t>
            </w:r>
          </w:p>
        </w:tc>
        <w:tc>
          <w:tcPr>
            <w:tcW w:w="748" w:type="pct"/>
            <w:vAlign w:val="center"/>
            <w:hideMark/>
          </w:tcPr>
          <w:p w14:paraId="0DB89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4.69%</w:t>
            </w:r>
          </w:p>
        </w:tc>
        <w:tc>
          <w:tcPr>
            <w:tcW w:w="748" w:type="pct"/>
            <w:vAlign w:val="center"/>
            <w:hideMark/>
          </w:tcPr>
          <w:p w14:paraId="7C8490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23.82%</w:t>
            </w:r>
          </w:p>
        </w:tc>
        <w:tc>
          <w:tcPr>
            <w:tcW w:w="698" w:type="pct"/>
            <w:vAlign w:val="center"/>
            <w:hideMark/>
          </w:tcPr>
          <w:p w14:paraId="04AC01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7.41%</w:t>
            </w:r>
          </w:p>
        </w:tc>
      </w:tr>
    </w:tbl>
    <w:p w14:paraId="5793FF5C"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）广联达</w:t>
      </w:r>
    </w:p>
    <w:p w14:paraId="63B8641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报告期各期末广联达固定资产占资产总额比重均值为</w:t>
      </w:r>
      <w:r w:rsidRPr="00DA3766">
        <w:rPr>
          <w:rFonts w:ascii="Times New Roman" w:hAnsi="Times New Roman" w:cs="Times New Roman"/>
          <w:kern w:val="2"/>
          <w:szCs w:val="22"/>
        </w:rPr>
        <w:t>23.85%</w:t>
      </w:r>
      <w:r w:rsidRPr="00DA3766">
        <w:rPr>
          <w:rFonts w:ascii="Times New Roman" w:hAnsi="Times New Roman" w:cs="Times New Roman"/>
          <w:kern w:val="2"/>
          <w:szCs w:val="22"/>
        </w:rPr>
        <w:t>，主要系其购置的房屋及建筑物，远高于其他可比上市公司及标的公司，使得广联达业务规模及市盈率水平较大，但市净率水平较低。</w:t>
      </w:r>
    </w:p>
    <w:p w14:paraId="33E4568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）映翰通</w:t>
      </w:r>
    </w:p>
    <w:p w14:paraId="59D8CEF6" w14:textId="552106C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映翰通主要向客户销售工业物联网产品、企业网络产品、数字配电网产品、智能售货控制系统产品等，系属物联网行业相关的传统制造业，生产模式为</w:t>
      </w:r>
      <w:r w:rsidRPr="00DA3766">
        <w:rPr>
          <w:rFonts w:cs="Times New Roman"/>
          <w:kern w:val="2"/>
          <w:szCs w:val="22"/>
        </w:rPr>
        <w:t>“</w:t>
      </w:r>
      <w:r w:rsidRPr="00DA3766">
        <w:rPr>
          <w:rFonts w:ascii="Times New Roman" w:hAnsi="Times New Roman" w:cs="Times New Roman"/>
          <w:kern w:val="2"/>
          <w:szCs w:val="22"/>
        </w:rPr>
        <w:t>自行生产为主、外协加工为辅</w:t>
      </w:r>
      <w:r w:rsidRPr="00DA3766">
        <w:rPr>
          <w:rFonts w:cs="Times New Roman"/>
          <w:kern w:val="2"/>
          <w:szCs w:val="22"/>
        </w:rPr>
        <w:t>”</w:t>
      </w:r>
      <w:r w:rsidRPr="00DA3766">
        <w:rPr>
          <w:rFonts w:ascii="Times New Roman" w:hAnsi="Times New Roman" w:cs="Times New Roman"/>
          <w:kern w:val="2"/>
          <w:szCs w:val="22"/>
        </w:rPr>
        <w:t>，与星云开物经营模式存在较大差异，故其市净</w:t>
      </w:r>
      <w:r w:rsidR="00284359">
        <w:rPr>
          <w:rFonts w:ascii="Times New Roman" w:hAnsi="Times New Roman" w:cs="Times New Roman" w:hint="eastAsia"/>
          <w:kern w:val="2"/>
          <w:szCs w:val="22"/>
        </w:rPr>
        <w:t>率</w:t>
      </w:r>
      <w:r w:rsidRPr="00DA3766">
        <w:rPr>
          <w:rFonts w:ascii="Times New Roman" w:hAnsi="Times New Roman" w:cs="Times New Roman"/>
          <w:kern w:val="2"/>
          <w:szCs w:val="22"/>
        </w:rPr>
        <w:t>低于星云开物。</w:t>
      </w:r>
    </w:p>
    <w:p w14:paraId="6D88A39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）石基信息</w:t>
      </w:r>
    </w:p>
    <w:p w14:paraId="2DF97542" w14:textId="41A5CAE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石基信息成立于</w:t>
      </w:r>
      <w:r w:rsidRPr="00DA3766">
        <w:rPr>
          <w:rFonts w:ascii="Times New Roman" w:hAnsi="Times New Roman" w:cs="Times New Roman"/>
          <w:kern w:val="2"/>
          <w:szCs w:val="22"/>
        </w:rPr>
        <w:t>1998</w:t>
      </w:r>
      <w:r w:rsidRPr="00DA3766">
        <w:rPr>
          <w:rFonts w:ascii="Times New Roman" w:hAnsi="Times New Roman" w:cs="Times New Roman"/>
          <w:kern w:val="2"/>
          <w:szCs w:val="22"/>
        </w:rPr>
        <w:t>年，于</w:t>
      </w:r>
      <w:r w:rsidRPr="00DA3766">
        <w:rPr>
          <w:rFonts w:ascii="Times New Roman" w:hAnsi="Times New Roman" w:cs="Times New Roman"/>
          <w:kern w:val="2"/>
          <w:szCs w:val="22"/>
        </w:rPr>
        <w:t>2007</w:t>
      </w:r>
      <w:r w:rsidRPr="00DA3766">
        <w:rPr>
          <w:rFonts w:ascii="Times New Roman" w:hAnsi="Times New Roman" w:cs="Times New Roman"/>
          <w:kern w:val="2"/>
          <w:szCs w:val="22"/>
        </w:rPr>
        <w:t>年上市</w:t>
      </w:r>
      <w:r w:rsidR="001A58DA" w:rsidRPr="00DA3766">
        <w:rPr>
          <w:rFonts w:ascii="Times New Roman" w:hAnsi="Times New Roman" w:cs="Times New Roman"/>
          <w:kern w:val="2"/>
          <w:szCs w:val="22"/>
        </w:rPr>
        <w:t>。</w:t>
      </w:r>
      <w:r w:rsidRPr="00DA3766">
        <w:rPr>
          <w:rFonts w:ascii="Times New Roman" w:hAnsi="Times New Roman" w:cs="Times New Roman"/>
          <w:kern w:val="2"/>
          <w:szCs w:val="22"/>
        </w:rPr>
        <w:t>石基信息持续深耕酒店信息管理系统业务、社会餐饮信息管理系统业务、支付系统业务、零售信息管理系统业务等，经过多年资本积累，经营规模较大</w:t>
      </w:r>
      <w:r w:rsidR="001A58DA" w:rsidRPr="00DA3766">
        <w:rPr>
          <w:rFonts w:ascii="Times New Roman" w:hAnsi="Times New Roman" w:cs="Times New Roman"/>
          <w:kern w:val="2"/>
          <w:szCs w:val="22"/>
        </w:rPr>
        <w:t>。</w:t>
      </w:r>
      <w:r w:rsidRPr="00DA3766">
        <w:rPr>
          <w:rFonts w:ascii="Times New Roman" w:hAnsi="Times New Roman" w:cs="Times New Roman"/>
          <w:kern w:val="2"/>
          <w:szCs w:val="22"/>
        </w:rPr>
        <w:t>报告期各期末，石基信息货币资金余额分别为</w:t>
      </w:r>
      <w:r w:rsidRPr="00DA3766">
        <w:rPr>
          <w:rFonts w:ascii="Times New Roman" w:hAnsi="Times New Roman" w:cs="Times New Roman"/>
          <w:kern w:val="2"/>
          <w:szCs w:val="22"/>
        </w:rPr>
        <w:t>453,950.80</w:t>
      </w:r>
      <w:r w:rsidRPr="00DA3766">
        <w:rPr>
          <w:rFonts w:ascii="Times New Roman" w:hAnsi="Times New Roman" w:cs="Times New Roman"/>
          <w:kern w:val="2"/>
          <w:szCs w:val="22"/>
        </w:rPr>
        <w:t>万元、</w:t>
      </w:r>
      <w:r w:rsidRPr="00DA3766">
        <w:rPr>
          <w:rFonts w:ascii="Times New Roman" w:hAnsi="Times New Roman" w:cs="Times New Roman"/>
          <w:kern w:val="2"/>
          <w:szCs w:val="22"/>
        </w:rPr>
        <w:t>423,768.80</w:t>
      </w:r>
      <w:r w:rsidRPr="00DA3766">
        <w:rPr>
          <w:rFonts w:ascii="Times New Roman" w:hAnsi="Times New Roman" w:cs="Times New Roman"/>
          <w:kern w:val="2"/>
          <w:szCs w:val="22"/>
        </w:rPr>
        <w:t>万元和</w:t>
      </w:r>
      <w:r w:rsidRPr="00DA3766">
        <w:rPr>
          <w:rFonts w:ascii="Times New Roman" w:hAnsi="Times New Roman" w:cs="Times New Roman"/>
          <w:kern w:val="2"/>
          <w:szCs w:val="22"/>
        </w:rPr>
        <w:t>402,452.88</w:t>
      </w:r>
      <w:r w:rsidRPr="00DA3766">
        <w:rPr>
          <w:rFonts w:ascii="Times New Roman" w:hAnsi="Times New Roman" w:cs="Times New Roman"/>
          <w:kern w:val="2"/>
          <w:szCs w:val="22"/>
        </w:rPr>
        <w:t>万元，占净资产比例分别为</w:t>
      </w:r>
      <w:r w:rsidRPr="00DA3766">
        <w:rPr>
          <w:rFonts w:ascii="Times New Roman" w:hAnsi="Times New Roman" w:cs="Times New Roman"/>
          <w:kern w:val="2"/>
          <w:szCs w:val="22"/>
        </w:rPr>
        <w:t>55.60%</w:t>
      </w:r>
      <w:r w:rsidRPr="00DA3766">
        <w:rPr>
          <w:rFonts w:ascii="Times New Roman" w:hAnsi="Times New Roman" w:cs="Times New Roman"/>
          <w:kern w:val="2"/>
          <w:szCs w:val="22"/>
        </w:rPr>
        <w:t>、</w:t>
      </w:r>
      <w:r w:rsidRPr="00DA3766">
        <w:rPr>
          <w:rFonts w:ascii="Times New Roman" w:hAnsi="Times New Roman" w:cs="Times New Roman"/>
          <w:kern w:val="2"/>
          <w:szCs w:val="22"/>
        </w:rPr>
        <w:t>53.25%</w:t>
      </w:r>
      <w:r w:rsidRPr="00DA3766">
        <w:rPr>
          <w:rFonts w:ascii="Times New Roman" w:hAnsi="Times New Roman" w:cs="Times New Roman"/>
          <w:kern w:val="2"/>
          <w:szCs w:val="22"/>
        </w:rPr>
        <w:t>和</w:t>
      </w:r>
      <w:r w:rsidRPr="00DA3766">
        <w:rPr>
          <w:rFonts w:ascii="Times New Roman" w:hAnsi="Times New Roman" w:cs="Times New Roman"/>
          <w:kern w:val="2"/>
          <w:szCs w:val="22"/>
        </w:rPr>
        <w:t>51.85%</w:t>
      </w:r>
      <w:r w:rsidRPr="00DA3766">
        <w:rPr>
          <w:rFonts w:ascii="Times New Roman" w:hAnsi="Times New Roman" w:cs="Times New Roman"/>
          <w:kern w:val="2"/>
          <w:szCs w:val="22"/>
        </w:rPr>
        <w:t>，使得石基信息整体业务规模较大，市净率水平较低。</w:t>
      </w:r>
    </w:p>
    <w:p w14:paraId="561439D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、股份回购</w:t>
      </w:r>
    </w:p>
    <w:p w14:paraId="60FCF22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报告期各期末，标的公司归属于母公司股东权益分别为</w:t>
      </w:r>
      <w:r w:rsidRPr="00DA3766">
        <w:rPr>
          <w:rFonts w:ascii="Times New Roman" w:hAnsi="Times New Roman" w:cs="Times New Roman"/>
          <w:kern w:val="2"/>
          <w:szCs w:val="22"/>
        </w:rPr>
        <w:t>41,841.28</w:t>
      </w:r>
      <w:r w:rsidRPr="00DA3766">
        <w:rPr>
          <w:rFonts w:ascii="Times New Roman" w:hAnsi="Times New Roman" w:cs="Times New Roman"/>
          <w:kern w:val="2"/>
          <w:szCs w:val="22"/>
        </w:rPr>
        <w:t>万元、</w:t>
      </w:r>
      <w:r w:rsidRPr="00DA3766">
        <w:rPr>
          <w:rFonts w:ascii="Times New Roman" w:hAnsi="Times New Roman" w:cs="Times New Roman"/>
          <w:kern w:val="2"/>
          <w:szCs w:val="22"/>
        </w:rPr>
        <w:t>14,682.14</w:t>
      </w:r>
      <w:r w:rsidRPr="00DA3766">
        <w:rPr>
          <w:rFonts w:ascii="Times New Roman" w:hAnsi="Times New Roman" w:cs="Times New Roman"/>
          <w:kern w:val="2"/>
          <w:szCs w:val="22"/>
        </w:rPr>
        <w:t>万元和</w:t>
      </w:r>
      <w:r w:rsidRPr="00DA3766">
        <w:rPr>
          <w:rFonts w:ascii="Times New Roman" w:hAnsi="Times New Roman" w:cs="Times New Roman"/>
          <w:kern w:val="2"/>
          <w:szCs w:val="22"/>
        </w:rPr>
        <w:t>16,138.37</w:t>
      </w:r>
      <w:r w:rsidRPr="00DA3766">
        <w:rPr>
          <w:rFonts w:ascii="Times New Roman" w:hAnsi="Times New Roman" w:cs="Times New Roman"/>
          <w:kern w:val="2"/>
          <w:szCs w:val="22"/>
        </w:rPr>
        <w:t>万元，其中</w:t>
      </w:r>
      <w:r w:rsidRPr="00DA3766">
        <w:rPr>
          <w:rFonts w:ascii="Times New Roman" w:hAnsi="Times New Roman" w:cs="Times New Roman"/>
          <w:kern w:val="2"/>
          <w:szCs w:val="22"/>
        </w:rPr>
        <w:t>2024</w:t>
      </w:r>
      <w:r w:rsidRPr="00DA3766">
        <w:rPr>
          <w:rFonts w:ascii="Times New Roman" w:hAnsi="Times New Roman" w:cs="Times New Roman"/>
          <w:kern w:val="2"/>
          <w:szCs w:val="22"/>
        </w:rPr>
        <w:t>年出现显著下降，主要系由于标的公司在</w:t>
      </w:r>
      <w:r w:rsidRPr="00DA3766">
        <w:rPr>
          <w:rFonts w:ascii="Times New Roman" w:hAnsi="Times New Roman" w:cs="Times New Roman"/>
          <w:kern w:val="2"/>
          <w:szCs w:val="22"/>
        </w:rPr>
        <w:t>2024</w:t>
      </w:r>
      <w:r w:rsidRPr="00DA3766">
        <w:rPr>
          <w:rFonts w:ascii="Times New Roman" w:hAnsi="Times New Roman" w:cs="Times New Roman"/>
          <w:kern w:val="2"/>
          <w:szCs w:val="22"/>
        </w:rPr>
        <w:t>年度与</w:t>
      </w:r>
      <w:r w:rsidRPr="00DA3766">
        <w:rPr>
          <w:rFonts w:ascii="Times New Roman" w:hAnsi="Times New Roman" w:cs="Times New Roman"/>
          <w:kern w:val="2"/>
          <w:szCs w:val="22"/>
        </w:rPr>
        <w:t>D</w:t>
      </w:r>
      <w:r w:rsidRPr="00DA3766">
        <w:rPr>
          <w:rFonts w:ascii="Times New Roman" w:hAnsi="Times New Roman" w:cs="Times New Roman"/>
          <w:kern w:val="2"/>
          <w:szCs w:val="22"/>
        </w:rPr>
        <w:t>轮及</w:t>
      </w:r>
      <w:r w:rsidRPr="00DA3766">
        <w:rPr>
          <w:rFonts w:ascii="Times New Roman" w:hAnsi="Times New Roman" w:cs="Times New Roman"/>
          <w:kern w:val="2"/>
          <w:szCs w:val="22"/>
        </w:rPr>
        <w:t>D+</w:t>
      </w:r>
      <w:r w:rsidRPr="00DA3766">
        <w:rPr>
          <w:rFonts w:ascii="Times New Roman" w:hAnsi="Times New Roman" w:cs="Times New Roman"/>
          <w:kern w:val="2"/>
          <w:szCs w:val="22"/>
        </w:rPr>
        <w:t>轮引入的国资投资者充分协商后，以现金方式回购上述投资者所持有的标的公司股权，使得标的公司净资产显著减少。</w:t>
      </w:r>
    </w:p>
    <w:p w14:paraId="62E1DF3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同行业可比上市公司的市净率平均数和中位数低于本次交易，主要系受星云开物经营模式及报告期内股份回购影响，同行业可比上市公司的市盈率和市销率中位数均高于本次交易，定价具备可比性及公允性。</w:t>
      </w:r>
    </w:p>
    <w:p w14:paraId="0E3C104E"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（二）可比上市公司、可比交易案例估值水平存在差异的原因，能否合理反映行业估值水平，与标的资产是否具有可比性</w:t>
      </w:r>
    </w:p>
    <w:p w14:paraId="314A27F9"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、可比上市公司选取方式及估值水平分析</w:t>
      </w:r>
    </w:p>
    <w:p w14:paraId="04EC58A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本次市场法评估对于可比上市公司的选取标准如下：</w:t>
      </w:r>
    </w:p>
    <w:p w14:paraId="7A127075" w14:textId="77777777" w:rsidR="00EB3B4C" w:rsidRPr="00DA3766" w:rsidRDefault="00EB3B4C" w:rsidP="00DA3766">
      <w:pPr>
        <w:spacing w:before="120" w:after="120"/>
        <w:ind w:firstLine="480"/>
        <w:jc w:val="both"/>
        <w:rPr>
          <w:rFonts w:ascii="Times New Roman" w:hAnsi="Times New Roman" w:cs="Times New Roman"/>
          <w:color w:val="4EA72E"/>
          <w:highlight w:val="yellow"/>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）在中国国内</w:t>
      </w:r>
      <w:r w:rsidRPr="00DA3766">
        <w:rPr>
          <w:rFonts w:ascii="Times New Roman" w:hAnsi="Times New Roman" w:cs="Times New Roman"/>
        </w:rPr>
        <w:t>A</w:t>
      </w:r>
      <w:r w:rsidRPr="00DA3766">
        <w:rPr>
          <w:rFonts w:ascii="Times New Roman" w:hAnsi="Times New Roman" w:cs="Times New Roman"/>
        </w:rPr>
        <w:t>股上市，且截至评估基准日至少已上市三年；</w:t>
      </w:r>
    </w:p>
    <w:p w14:paraId="30713EA0" w14:textId="77777777" w:rsidR="00EB3B4C" w:rsidRPr="00DA3766" w:rsidRDefault="00EB3B4C" w:rsidP="004C2193">
      <w:pPr>
        <w:pStyle w:val="005"/>
        <w:spacing w:before="120" w:after="120"/>
        <w:ind w:firstLine="480"/>
      </w:pPr>
      <w:r w:rsidRPr="00DA3766">
        <w:t>（</w:t>
      </w:r>
      <w:r w:rsidRPr="00DA3766">
        <w:t>2</w:t>
      </w:r>
      <w:r w:rsidRPr="00DA3766">
        <w:t>）与评估对象同属于</w:t>
      </w:r>
      <w:r w:rsidRPr="00DA3766">
        <w:t>IoT+SaaS</w:t>
      </w:r>
      <w:r w:rsidRPr="00DA3766">
        <w:t>服务行业，近两年营业收入构成</w:t>
      </w:r>
      <w:r w:rsidRPr="00DA3766">
        <w:t>IoT+SaaS</w:t>
      </w:r>
      <w:r w:rsidRPr="00DA3766">
        <w:t>类收入的占比不低于</w:t>
      </w:r>
      <w:r w:rsidRPr="00DA3766">
        <w:t>70%</w:t>
      </w:r>
      <w:r w:rsidRPr="00DA3766">
        <w:t>；</w:t>
      </w:r>
    </w:p>
    <w:p w14:paraId="037C5F5D" w14:textId="77777777" w:rsidR="00EB3B4C" w:rsidRPr="00DA3766" w:rsidRDefault="00EB3B4C" w:rsidP="004C2193">
      <w:pPr>
        <w:pStyle w:val="005"/>
        <w:spacing w:before="120" w:after="120"/>
        <w:ind w:firstLine="480"/>
      </w:pPr>
      <w:r w:rsidRPr="00DA3766">
        <w:t>（</w:t>
      </w:r>
      <w:r w:rsidRPr="00DA3766">
        <w:t>3</w:t>
      </w:r>
      <w:r w:rsidRPr="00DA3766">
        <w:t>）根据相关上市公司公告的文件，评估基准日近期未发生重大资产重组等可能使股票价格存在异常波动的重大事件；</w:t>
      </w:r>
    </w:p>
    <w:p w14:paraId="55632117" w14:textId="77777777" w:rsidR="00EB3B4C" w:rsidRPr="00DA3766" w:rsidRDefault="00EB3B4C" w:rsidP="004C2193">
      <w:pPr>
        <w:pStyle w:val="005"/>
        <w:spacing w:before="120" w:after="120"/>
        <w:ind w:firstLine="480"/>
      </w:pPr>
      <w:r w:rsidRPr="00DA3766">
        <w:t>（</w:t>
      </w:r>
      <w:r w:rsidRPr="00DA3766">
        <w:t>4</w:t>
      </w:r>
      <w:r w:rsidRPr="00DA3766">
        <w:t>）评估基准日近期股票正常交易，未处于停牌等非正常交易状态；</w:t>
      </w:r>
    </w:p>
    <w:p w14:paraId="56F952EF" w14:textId="77777777" w:rsidR="00EB3B4C" w:rsidRPr="00DA3766" w:rsidRDefault="00EB3B4C" w:rsidP="004C2193">
      <w:pPr>
        <w:pStyle w:val="005"/>
        <w:spacing w:before="120" w:after="120"/>
        <w:ind w:firstLine="480"/>
        <w:rPr>
          <w:color w:val="4EA72E"/>
        </w:rPr>
      </w:pPr>
      <w:r w:rsidRPr="00DA3766">
        <w:t>（</w:t>
      </w:r>
      <w:r w:rsidRPr="00DA3766">
        <w:t>5</w:t>
      </w:r>
      <w:r w:rsidRPr="00DA3766">
        <w:t>）鉴于</w:t>
      </w:r>
      <w:r w:rsidRPr="00DA3766">
        <w:t>ST</w:t>
      </w:r>
      <w:r w:rsidRPr="00DA3766">
        <w:t>股票较可能因市场中的投机、炒作等因素使得股票价格较大程度偏离其实际价值，故将</w:t>
      </w:r>
      <w:r w:rsidRPr="00DA3766">
        <w:t>ST</w:t>
      </w:r>
      <w:r w:rsidRPr="00DA3766">
        <w:t>股票剔除出可比公司范围。</w:t>
      </w:r>
    </w:p>
    <w:p w14:paraId="35EF8406" w14:textId="77777777" w:rsidR="00EB3B4C" w:rsidRPr="00DA3766" w:rsidRDefault="00EB3B4C" w:rsidP="004C2193">
      <w:pPr>
        <w:pStyle w:val="005"/>
        <w:spacing w:before="120" w:after="120"/>
        <w:ind w:firstLine="480"/>
      </w:pPr>
      <w:r w:rsidRPr="00DA3766">
        <w:t>根据上述选取标准，最终选取得到可比上市公司如下：</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1074"/>
        <w:gridCol w:w="1196"/>
        <w:gridCol w:w="1960"/>
        <w:gridCol w:w="2032"/>
        <w:gridCol w:w="864"/>
        <w:gridCol w:w="851"/>
        <w:gridCol w:w="905"/>
      </w:tblGrid>
      <w:tr w:rsidR="00EB3B4C" w:rsidRPr="00DA3766" w14:paraId="451FF925" w14:textId="77777777" w:rsidTr="001076ED">
        <w:trPr>
          <w:trHeight w:val="397"/>
          <w:tblHeader/>
          <w:jc w:val="center"/>
        </w:trPr>
        <w:tc>
          <w:tcPr>
            <w:tcW w:w="662" w:type="pct"/>
            <w:vAlign w:val="center"/>
          </w:tcPr>
          <w:p w14:paraId="40A8B4E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526" w:type="pct"/>
            <w:vAlign w:val="center"/>
          </w:tcPr>
          <w:p w14:paraId="233173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证券简称</w:t>
            </w:r>
          </w:p>
        </w:tc>
        <w:tc>
          <w:tcPr>
            <w:tcW w:w="584" w:type="pct"/>
            <w:vAlign w:val="center"/>
          </w:tcPr>
          <w:p w14:paraId="3B398C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上市日期</w:t>
            </w:r>
          </w:p>
        </w:tc>
        <w:tc>
          <w:tcPr>
            <w:tcW w:w="959" w:type="pct"/>
            <w:vAlign w:val="center"/>
          </w:tcPr>
          <w:p w14:paraId="29CF6A2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主营业务</w:t>
            </w:r>
          </w:p>
        </w:tc>
        <w:tc>
          <w:tcPr>
            <w:tcW w:w="994" w:type="pct"/>
            <w:vAlign w:val="center"/>
          </w:tcPr>
          <w:p w14:paraId="152762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公司简介</w:t>
            </w:r>
          </w:p>
        </w:tc>
        <w:tc>
          <w:tcPr>
            <w:tcW w:w="415" w:type="pct"/>
            <w:vAlign w:val="center"/>
          </w:tcPr>
          <w:p w14:paraId="22EF6C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市盈率</w:t>
            </w:r>
          </w:p>
        </w:tc>
        <w:tc>
          <w:tcPr>
            <w:tcW w:w="417" w:type="pct"/>
            <w:vAlign w:val="center"/>
          </w:tcPr>
          <w:p w14:paraId="5622AE9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市净率</w:t>
            </w:r>
          </w:p>
        </w:tc>
        <w:tc>
          <w:tcPr>
            <w:tcW w:w="443" w:type="pct"/>
            <w:vAlign w:val="center"/>
          </w:tcPr>
          <w:p w14:paraId="0B9097E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市销率</w:t>
            </w:r>
          </w:p>
        </w:tc>
      </w:tr>
      <w:tr w:rsidR="00EB3B4C" w:rsidRPr="00DA3766" w14:paraId="24866167" w14:textId="77777777" w:rsidTr="001076ED">
        <w:trPr>
          <w:trHeight w:val="397"/>
          <w:jc w:val="center"/>
        </w:trPr>
        <w:tc>
          <w:tcPr>
            <w:tcW w:w="662" w:type="pct"/>
            <w:vAlign w:val="center"/>
          </w:tcPr>
          <w:p w14:paraId="76A5C8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688080.SH</w:t>
            </w:r>
          </w:p>
        </w:tc>
        <w:tc>
          <w:tcPr>
            <w:tcW w:w="526" w:type="pct"/>
            <w:vAlign w:val="center"/>
          </w:tcPr>
          <w:p w14:paraId="51160BF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映翰通</w:t>
            </w:r>
          </w:p>
        </w:tc>
        <w:tc>
          <w:tcPr>
            <w:tcW w:w="584" w:type="pct"/>
            <w:vAlign w:val="center"/>
          </w:tcPr>
          <w:p w14:paraId="55D5B6F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2020-02-12</w:t>
            </w:r>
          </w:p>
        </w:tc>
        <w:tc>
          <w:tcPr>
            <w:tcW w:w="959" w:type="pct"/>
            <w:vAlign w:val="center"/>
          </w:tcPr>
          <w:p w14:paraId="02D89FA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为工业物联网技术的研发和应用</w:t>
            </w:r>
            <w:r w:rsidRPr="00DA3766">
              <w:rPr>
                <w:rFonts w:ascii="Times New Roman" w:hAnsi="Times New Roman" w:cs="Times New Roman"/>
                <w:color w:val="000000"/>
                <w:sz w:val="21"/>
              </w:rPr>
              <w:t>,</w:t>
            </w:r>
            <w:r w:rsidRPr="00DA3766">
              <w:rPr>
                <w:rFonts w:ascii="Times New Roman" w:hAnsi="Times New Roman" w:cs="Times New Roman"/>
                <w:color w:val="000000"/>
                <w:sz w:val="21"/>
              </w:rPr>
              <w:t>为客户提供工业物联网通信（</w:t>
            </w:r>
            <w:r w:rsidRPr="00DA3766">
              <w:rPr>
                <w:rFonts w:ascii="Times New Roman" w:hAnsi="Times New Roman" w:cs="Times New Roman"/>
                <w:color w:val="000000"/>
                <w:sz w:val="21"/>
              </w:rPr>
              <w:t>M2M</w:t>
            </w:r>
            <w:r w:rsidRPr="00DA3766">
              <w:rPr>
                <w:rFonts w:ascii="Times New Roman" w:hAnsi="Times New Roman" w:cs="Times New Roman"/>
                <w:color w:val="000000"/>
                <w:sz w:val="21"/>
              </w:rPr>
              <w:t>）产品以及物联网（</w:t>
            </w:r>
            <w:r w:rsidRPr="00DA3766">
              <w:rPr>
                <w:rFonts w:ascii="Times New Roman" w:hAnsi="Times New Roman" w:cs="Times New Roman"/>
                <w:color w:val="000000"/>
                <w:sz w:val="21"/>
              </w:rPr>
              <w:t>IoT</w:t>
            </w:r>
            <w:r w:rsidRPr="00DA3766">
              <w:rPr>
                <w:rFonts w:ascii="Times New Roman" w:hAnsi="Times New Roman" w:cs="Times New Roman"/>
                <w:color w:val="000000"/>
                <w:sz w:val="21"/>
              </w:rPr>
              <w:t>）领域</w:t>
            </w:r>
            <w:r w:rsidRPr="00DA3766">
              <w:rPr>
                <w:rFonts w:cs="Times New Roman"/>
                <w:color w:val="000000"/>
                <w:sz w:val="21"/>
              </w:rPr>
              <w:t>“</w:t>
            </w:r>
            <w:r w:rsidRPr="00DA3766">
              <w:rPr>
                <w:rFonts w:ascii="Times New Roman" w:hAnsi="Times New Roman" w:cs="Times New Roman"/>
                <w:color w:val="000000"/>
                <w:sz w:val="21"/>
              </w:rPr>
              <w:t>云</w:t>
            </w:r>
            <w:r w:rsidRPr="00DA3766">
              <w:rPr>
                <w:rFonts w:ascii="Times New Roman" w:hAnsi="Times New Roman" w:cs="Times New Roman"/>
                <w:color w:val="000000"/>
                <w:sz w:val="21"/>
              </w:rPr>
              <w:t>+</w:t>
            </w:r>
            <w:r w:rsidRPr="00DA3766">
              <w:rPr>
                <w:rFonts w:ascii="Times New Roman" w:hAnsi="Times New Roman" w:cs="Times New Roman"/>
                <w:color w:val="000000"/>
                <w:sz w:val="21"/>
              </w:rPr>
              <w:t>端</w:t>
            </w:r>
            <w:r w:rsidRPr="00DA3766">
              <w:rPr>
                <w:rFonts w:cs="Times New Roman"/>
                <w:color w:val="000000"/>
                <w:sz w:val="21"/>
              </w:rPr>
              <w:t>”</w:t>
            </w:r>
            <w:r w:rsidRPr="00DA3766">
              <w:rPr>
                <w:rFonts w:ascii="Times New Roman" w:hAnsi="Times New Roman" w:cs="Times New Roman"/>
                <w:color w:val="000000"/>
                <w:sz w:val="21"/>
              </w:rPr>
              <w:t>整体解决方案。</w:t>
            </w:r>
          </w:p>
        </w:tc>
        <w:tc>
          <w:tcPr>
            <w:tcW w:w="994" w:type="pct"/>
            <w:vAlign w:val="center"/>
          </w:tcPr>
          <w:p w14:paraId="4B70E06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公司的主要产品是工业物联网产品、企业网络产品、数字配电网产品、智能售货控制系统产品、技术服务及其他。</w:t>
            </w:r>
          </w:p>
        </w:tc>
        <w:tc>
          <w:tcPr>
            <w:tcW w:w="415" w:type="pct"/>
            <w:vAlign w:val="center"/>
          </w:tcPr>
          <w:p w14:paraId="445D54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28.81</w:t>
            </w:r>
          </w:p>
        </w:tc>
        <w:tc>
          <w:tcPr>
            <w:tcW w:w="417" w:type="pct"/>
            <w:vAlign w:val="center"/>
          </w:tcPr>
          <w:p w14:paraId="4B85E3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3.59</w:t>
            </w:r>
          </w:p>
        </w:tc>
        <w:tc>
          <w:tcPr>
            <w:tcW w:w="443" w:type="pct"/>
            <w:vAlign w:val="center"/>
          </w:tcPr>
          <w:p w14:paraId="6A7BA5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6.12</w:t>
            </w:r>
          </w:p>
        </w:tc>
      </w:tr>
      <w:tr w:rsidR="00EB3B4C" w:rsidRPr="00DA3766" w14:paraId="4E55DA48" w14:textId="77777777" w:rsidTr="001076ED">
        <w:trPr>
          <w:trHeight w:val="397"/>
          <w:jc w:val="center"/>
        </w:trPr>
        <w:tc>
          <w:tcPr>
            <w:tcW w:w="662" w:type="pct"/>
            <w:vAlign w:val="center"/>
          </w:tcPr>
          <w:p w14:paraId="52536A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002410.SZ</w:t>
            </w:r>
          </w:p>
        </w:tc>
        <w:tc>
          <w:tcPr>
            <w:tcW w:w="526" w:type="pct"/>
            <w:vAlign w:val="center"/>
          </w:tcPr>
          <w:p w14:paraId="651F540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广联达</w:t>
            </w:r>
          </w:p>
        </w:tc>
        <w:tc>
          <w:tcPr>
            <w:tcW w:w="584" w:type="pct"/>
            <w:vAlign w:val="center"/>
          </w:tcPr>
          <w:p w14:paraId="7DE6FD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2010-05-25</w:t>
            </w:r>
          </w:p>
        </w:tc>
        <w:tc>
          <w:tcPr>
            <w:tcW w:w="959" w:type="pct"/>
            <w:vAlign w:val="center"/>
          </w:tcPr>
          <w:p w14:paraId="219B3F0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提供工具类软件产品系列、管理类软件产品系列；提供实施服务、技术服务、培训服务。</w:t>
            </w:r>
          </w:p>
        </w:tc>
        <w:tc>
          <w:tcPr>
            <w:tcW w:w="994" w:type="pct"/>
            <w:vAlign w:val="center"/>
          </w:tcPr>
          <w:p w14:paraId="5BCED4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公司的主要产品是数字设计、数字成本、数字施工业务。</w:t>
            </w:r>
          </w:p>
        </w:tc>
        <w:tc>
          <w:tcPr>
            <w:tcW w:w="415" w:type="pct"/>
            <w:vAlign w:val="center"/>
          </w:tcPr>
          <w:p w14:paraId="28C3B8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88.46</w:t>
            </w:r>
          </w:p>
        </w:tc>
        <w:tc>
          <w:tcPr>
            <w:tcW w:w="417" w:type="pct"/>
            <w:vAlign w:val="center"/>
          </w:tcPr>
          <w:p w14:paraId="7796DE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3.72</w:t>
            </w:r>
          </w:p>
        </w:tc>
        <w:tc>
          <w:tcPr>
            <w:tcW w:w="443" w:type="pct"/>
            <w:vAlign w:val="center"/>
          </w:tcPr>
          <w:p w14:paraId="71EA8D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3.55</w:t>
            </w:r>
          </w:p>
        </w:tc>
      </w:tr>
      <w:tr w:rsidR="00EB3B4C" w:rsidRPr="00DA3766" w14:paraId="1DAE98C4" w14:textId="77777777" w:rsidTr="001076ED">
        <w:trPr>
          <w:trHeight w:val="397"/>
          <w:jc w:val="center"/>
        </w:trPr>
        <w:tc>
          <w:tcPr>
            <w:tcW w:w="662" w:type="pct"/>
            <w:vAlign w:val="center"/>
          </w:tcPr>
          <w:p w14:paraId="4EA3DE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002153.SZ</w:t>
            </w:r>
          </w:p>
        </w:tc>
        <w:tc>
          <w:tcPr>
            <w:tcW w:w="526" w:type="pct"/>
            <w:vAlign w:val="center"/>
          </w:tcPr>
          <w:p w14:paraId="7FAE59C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石基信息</w:t>
            </w:r>
          </w:p>
        </w:tc>
        <w:tc>
          <w:tcPr>
            <w:tcW w:w="584" w:type="pct"/>
            <w:vAlign w:val="center"/>
          </w:tcPr>
          <w:p w14:paraId="5EB777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2007-08-13</w:t>
            </w:r>
          </w:p>
        </w:tc>
        <w:tc>
          <w:tcPr>
            <w:tcW w:w="959" w:type="pct"/>
            <w:vAlign w:val="center"/>
          </w:tcPr>
          <w:p w14:paraId="5F437CEC" w14:textId="77777777" w:rsidR="004C2193"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从事酒店、餐饮、零售、休闲娱乐等大消费行业信息管理系统软件的开发与销售、系统集成、技术支持与服务</w:t>
            </w:r>
          </w:p>
          <w:p w14:paraId="3F8239FD" w14:textId="3B1C6538"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业务。</w:t>
            </w:r>
          </w:p>
        </w:tc>
        <w:tc>
          <w:tcPr>
            <w:tcW w:w="994" w:type="pct"/>
            <w:vAlign w:val="center"/>
          </w:tcPr>
          <w:p w14:paraId="01F7710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公司的主要产品是酒店信息管理系统业务、社会餐饮信息管理系统业务、支付系统业务、零售信息管理系统业务、旅游休闲系统业务、第三方硬件配套业务、自有智能商用设备。</w:t>
            </w:r>
          </w:p>
        </w:tc>
        <w:tc>
          <w:tcPr>
            <w:tcW w:w="415" w:type="pct"/>
            <w:vAlign w:val="center"/>
          </w:tcPr>
          <w:p w14:paraId="0CB81C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-118.90</w:t>
            </w:r>
          </w:p>
        </w:tc>
        <w:tc>
          <w:tcPr>
            <w:tcW w:w="417" w:type="pct"/>
            <w:vAlign w:val="center"/>
          </w:tcPr>
          <w:p w14:paraId="0E3380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3.33</w:t>
            </w:r>
          </w:p>
        </w:tc>
        <w:tc>
          <w:tcPr>
            <w:tcW w:w="443" w:type="pct"/>
            <w:vAlign w:val="center"/>
          </w:tcPr>
          <w:p w14:paraId="68E469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8.02</w:t>
            </w:r>
          </w:p>
        </w:tc>
      </w:tr>
      <w:tr w:rsidR="00EB3B4C" w:rsidRPr="00DA3766" w14:paraId="16B3399D" w14:textId="77777777" w:rsidTr="001076ED">
        <w:trPr>
          <w:trHeight w:val="397"/>
          <w:jc w:val="center"/>
        </w:trPr>
        <w:tc>
          <w:tcPr>
            <w:tcW w:w="3725" w:type="pct"/>
            <w:gridSpan w:val="5"/>
            <w:vAlign w:val="center"/>
          </w:tcPr>
          <w:p w14:paraId="4E275E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t>算术平均数</w:t>
            </w:r>
          </w:p>
        </w:tc>
        <w:tc>
          <w:tcPr>
            <w:tcW w:w="415" w:type="pct"/>
            <w:vAlign w:val="center"/>
          </w:tcPr>
          <w:p w14:paraId="576284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-0.54</w:t>
            </w:r>
          </w:p>
        </w:tc>
        <w:tc>
          <w:tcPr>
            <w:tcW w:w="417" w:type="pct"/>
            <w:vAlign w:val="center"/>
          </w:tcPr>
          <w:p w14:paraId="798642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3.55</w:t>
            </w:r>
          </w:p>
        </w:tc>
        <w:tc>
          <w:tcPr>
            <w:tcW w:w="443" w:type="pct"/>
            <w:vAlign w:val="center"/>
          </w:tcPr>
          <w:p w14:paraId="2EB2A6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5.90</w:t>
            </w:r>
          </w:p>
        </w:tc>
      </w:tr>
      <w:tr w:rsidR="00EB3B4C" w:rsidRPr="00DA3766" w14:paraId="76D2726A" w14:textId="77777777" w:rsidTr="001076ED">
        <w:trPr>
          <w:trHeight w:val="397"/>
          <w:jc w:val="center"/>
        </w:trPr>
        <w:tc>
          <w:tcPr>
            <w:tcW w:w="3725" w:type="pct"/>
            <w:gridSpan w:val="5"/>
            <w:vAlign w:val="center"/>
          </w:tcPr>
          <w:p w14:paraId="74B602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lastRenderedPageBreak/>
              <w:t>中位数</w:t>
            </w:r>
          </w:p>
        </w:tc>
        <w:tc>
          <w:tcPr>
            <w:tcW w:w="415" w:type="pct"/>
            <w:vAlign w:val="center"/>
          </w:tcPr>
          <w:p w14:paraId="057E061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28.81</w:t>
            </w:r>
          </w:p>
        </w:tc>
        <w:tc>
          <w:tcPr>
            <w:tcW w:w="417" w:type="pct"/>
            <w:vAlign w:val="center"/>
          </w:tcPr>
          <w:p w14:paraId="4EBB50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3.59</w:t>
            </w:r>
          </w:p>
        </w:tc>
        <w:tc>
          <w:tcPr>
            <w:tcW w:w="443" w:type="pct"/>
            <w:vAlign w:val="center"/>
          </w:tcPr>
          <w:p w14:paraId="030F23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6.12</w:t>
            </w:r>
          </w:p>
        </w:tc>
      </w:tr>
      <w:tr w:rsidR="00EB3B4C" w:rsidRPr="00DA3766" w14:paraId="702A758F" w14:textId="77777777" w:rsidTr="001076ED">
        <w:trPr>
          <w:trHeight w:val="397"/>
          <w:jc w:val="center"/>
        </w:trPr>
        <w:tc>
          <w:tcPr>
            <w:tcW w:w="3725" w:type="pct"/>
            <w:gridSpan w:val="5"/>
            <w:vAlign w:val="center"/>
          </w:tcPr>
          <w:p w14:paraId="027C49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t>标的公司</w:t>
            </w:r>
          </w:p>
        </w:tc>
        <w:tc>
          <w:tcPr>
            <w:tcW w:w="415" w:type="pct"/>
            <w:vAlign w:val="center"/>
          </w:tcPr>
          <w:p w14:paraId="7510B0F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13.91</w:t>
            </w:r>
          </w:p>
        </w:tc>
        <w:tc>
          <w:tcPr>
            <w:tcW w:w="417" w:type="pct"/>
            <w:vAlign w:val="center"/>
          </w:tcPr>
          <w:p w14:paraId="1C610D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7.47</w:t>
            </w:r>
          </w:p>
        </w:tc>
        <w:tc>
          <w:tcPr>
            <w:tcW w:w="443" w:type="pct"/>
            <w:vAlign w:val="center"/>
          </w:tcPr>
          <w:p w14:paraId="523FAF0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2.70</w:t>
            </w:r>
          </w:p>
        </w:tc>
      </w:tr>
    </w:tbl>
    <w:p w14:paraId="27ECDCD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本次评估中，所选取可比公司的首要标准是核心商业模式的一致性，即均属于</w:t>
      </w:r>
      <w:r w:rsidRPr="00DA3766">
        <w:rPr>
          <w:rFonts w:cs="Times New Roman"/>
          <w:kern w:val="2"/>
          <w:szCs w:val="22"/>
        </w:rPr>
        <w:t>“</w:t>
      </w:r>
      <w:r w:rsidRPr="00DA3766">
        <w:rPr>
          <w:rFonts w:ascii="Times New Roman" w:hAnsi="Times New Roman" w:cs="Times New Roman"/>
          <w:kern w:val="2"/>
          <w:szCs w:val="22"/>
        </w:rPr>
        <w:t>物联网（</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）智能硬件为入口，软件及云服务（</w:t>
      </w:r>
      <w:r w:rsidRPr="00DA3766">
        <w:rPr>
          <w:rFonts w:ascii="Times New Roman" w:hAnsi="Times New Roman" w:cs="Times New Roman"/>
          <w:kern w:val="2"/>
          <w:szCs w:val="22"/>
        </w:rPr>
        <w:t>SaaS</w:t>
      </w:r>
      <w:r w:rsidRPr="00DA3766">
        <w:rPr>
          <w:rFonts w:ascii="Times New Roman" w:hAnsi="Times New Roman" w:cs="Times New Roman"/>
          <w:kern w:val="2"/>
          <w:szCs w:val="22"/>
        </w:rPr>
        <w:t>）为长期价值变现载体</w:t>
      </w:r>
      <w:r w:rsidRPr="00DA3766">
        <w:rPr>
          <w:rFonts w:cs="Times New Roman"/>
          <w:kern w:val="2"/>
          <w:szCs w:val="22"/>
        </w:rPr>
        <w:t>”</w:t>
      </w:r>
      <w:r w:rsidRPr="00DA3766">
        <w:rPr>
          <w:rFonts w:ascii="Times New Roman" w:hAnsi="Times New Roman" w:cs="Times New Roman"/>
          <w:kern w:val="2"/>
          <w:szCs w:val="22"/>
        </w:rPr>
        <w:t>的行业范式。在此基础上，综合考虑了行业属性、产品形态及目标市场等因素。本次评估选取的可比上市公司的详细对比情况如下：</w:t>
      </w:r>
    </w:p>
    <w:tbl>
      <w:tblPr>
        <w:tblW w:w="641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2550"/>
        <w:gridCol w:w="2233"/>
        <w:gridCol w:w="2213"/>
        <w:gridCol w:w="2653"/>
      </w:tblGrid>
      <w:tr w:rsidR="00EB3B4C" w:rsidRPr="00DA3766" w14:paraId="60283045" w14:textId="77777777" w:rsidTr="00635015">
        <w:trPr>
          <w:trHeight w:val="397"/>
          <w:tblHeader/>
          <w:jc w:val="center"/>
        </w:trPr>
        <w:tc>
          <w:tcPr>
            <w:tcW w:w="592" w:type="pct"/>
            <w:vAlign w:val="center"/>
            <w:hideMark/>
          </w:tcPr>
          <w:p w14:paraId="44E21C78"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对比维度</w:t>
            </w:r>
          </w:p>
        </w:tc>
        <w:tc>
          <w:tcPr>
            <w:tcW w:w="1165" w:type="pct"/>
            <w:vAlign w:val="center"/>
            <w:hideMark/>
          </w:tcPr>
          <w:p w14:paraId="316B100C"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星云开物</w:t>
            </w:r>
          </w:p>
        </w:tc>
        <w:tc>
          <w:tcPr>
            <w:tcW w:w="1020" w:type="pct"/>
            <w:vAlign w:val="center"/>
            <w:hideMark/>
          </w:tcPr>
          <w:p w14:paraId="735357C6"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映翰通（</w:t>
            </w:r>
            <w:r w:rsidRPr="00DA3766">
              <w:rPr>
                <w:rFonts w:ascii="Times New Roman" w:hAnsi="Times New Roman" w:cs="Times New Roman"/>
                <w:b/>
                <w:color w:val="000000"/>
                <w:kern w:val="2"/>
                <w:sz w:val="21"/>
                <w14:ligatures w14:val="standardContextual"/>
              </w:rPr>
              <w:t>688080.SH</w:t>
            </w:r>
            <w:r w:rsidRPr="00DA3766">
              <w:rPr>
                <w:rFonts w:ascii="Times New Roman" w:hAnsi="Times New Roman" w:cs="Times New Roman"/>
                <w:b/>
                <w:color w:val="000000"/>
                <w:kern w:val="2"/>
                <w:sz w:val="21"/>
                <w14:ligatures w14:val="standardContextual"/>
              </w:rPr>
              <w:t>）</w:t>
            </w:r>
          </w:p>
        </w:tc>
        <w:tc>
          <w:tcPr>
            <w:tcW w:w="1011" w:type="pct"/>
            <w:vAlign w:val="center"/>
            <w:hideMark/>
          </w:tcPr>
          <w:p w14:paraId="5F5B48B4"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广联达（</w:t>
            </w:r>
            <w:r w:rsidRPr="00DA3766">
              <w:rPr>
                <w:rFonts w:ascii="Times New Roman" w:hAnsi="Times New Roman" w:cs="Times New Roman"/>
                <w:b/>
                <w:color w:val="000000"/>
                <w:kern w:val="2"/>
                <w:sz w:val="21"/>
                <w14:ligatures w14:val="standardContextual"/>
              </w:rPr>
              <w:t>002410.SZ</w:t>
            </w:r>
            <w:r w:rsidRPr="00DA3766">
              <w:rPr>
                <w:rFonts w:ascii="Times New Roman" w:hAnsi="Times New Roman" w:cs="Times New Roman"/>
                <w:b/>
                <w:color w:val="000000"/>
                <w:kern w:val="2"/>
                <w:sz w:val="21"/>
                <w14:ligatures w14:val="standardContextual"/>
              </w:rPr>
              <w:t>）</w:t>
            </w:r>
          </w:p>
        </w:tc>
        <w:tc>
          <w:tcPr>
            <w:tcW w:w="1213" w:type="pct"/>
            <w:vAlign w:val="center"/>
            <w:hideMark/>
          </w:tcPr>
          <w:p w14:paraId="4C01124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石基信息（</w:t>
            </w:r>
            <w:r w:rsidRPr="00DA3766">
              <w:rPr>
                <w:rFonts w:ascii="Times New Roman" w:hAnsi="Times New Roman" w:cs="Times New Roman"/>
                <w:b/>
                <w:color w:val="000000"/>
                <w:kern w:val="2"/>
                <w:sz w:val="21"/>
                <w14:ligatures w14:val="standardContextual"/>
              </w:rPr>
              <w:t>002153.SZ</w:t>
            </w:r>
            <w:r w:rsidRPr="00DA3766">
              <w:rPr>
                <w:rFonts w:ascii="Times New Roman" w:hAnsi="Times New Roman" w:cs="Times New Roman"/>
                <w:b/>
                <w:color w:val="000000"/>
                <w:kern w:val="2"/>
                <w:sz w:val="21"/>
                <w14:ligatures w14:val="standardContextual"/>
              </w:rPr>
              <w:t>）</w:t>
            </w:r>
          </w:p>
        </w:tc>
      </w:tr>
      <w:tr w:rsidR="00EB3B4C" w:rsidRPr="00DA3766" w14:paraId="37BA7C11" w14:textId="77777777" w:rsidTr="00635015">
        <w:trPr>
          <w:trHeight w:val="397"/>
          <w:jc w:val="center"/>
        </w:trPr>
        <w:tc>
          <w:tcPr>
            <w:tcW w:w="592" w:type="pct"/>
            <w:vAlign w:val="center"/>
            <w:hideMark/>
          </w:tcPr>
          <w:p w14:paraId="00D0C387"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业务结构</w:t>
            </w:r>
          </w:p>
        </w:tc>
        <w:tc>
          <w:tcPr>
            <w:tcW w:w="1165" w:type="pct"/>
            <w:vAlign w:val="center"/>
            <w:hideMark/>
          </w:tcPr>
          <w:p w14:paraId="63E9BA3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•IoT</w:t>
            </w:r>
            <w:r w:rsidRPr="00DA3766">
              <w:rPr>
                <w:rFonts w:ascii="Times New Roman" w:hAnsi="Times New Roman" w:cs="Times New Roman"/>
                <w:color w:val="000000"/>
                <w:kern w:val="2"/>
                <w:sz w:val="21"/>
                <w14:ligatures w14:val="standardContextual"/>
              </w:rPr>
              <w:t>智能硬件：通用型模块</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、智能通讯模组、四轮充电桩主板智能刷卡终端等</w:t>
            </w:r>
          </w:p>
          <w:p w14:paraId="18994485"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云平台服务：商家服务、会员服务、收单外包服务等</w:t>
            </w:r>
          </w:p>
          <w:p w14:paraId="4AE6694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14:ligatures w14:val="standardContextual"/>
              </w:rPr>
            </w:pPr>
            <w:r w:rsidRPr="00DA3766">
              <w:rPr>
                <w:rFonts w:ascii="Times New Roman" w:hAnsi="Times New Roman" w:cs="Times New Roman"/>
                <w:color w:val="000000"/>
                <w:kern w:val="2"/>
                <w:sz w:val="21"/>
                <w14:ligatures w14:val="standardContextual"/>
              </w:rPr>
              <w:t>数字增值服务：广告投放、流量引入等</w:t>
            </w:r>
          </w:p>
        </w:tc>
        <w:tc>
          <w:tcPr>
            <w:tcW w:w="1020" w:type="pct"/>
            <w:vAlign w:val="center"/>
            <w:hideMark/>
          </w:tcPr>
          <w:p w14:paraId="04617CCC"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智能终端：工业路由器、工业网关、边缘计算网关</w:t>
            </w:r>
          </w:p>
          <w:p w14:paraId="2AFD53D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w:t>
            </w:r>
            <w:r w:rsidRPr="00DA3766">
              <w:rPr>
                <w:rFonts w:ascii="Times New Roman" w:hAnsi="Times New Roman" w:cs="Times New Roman"/>
                <w:color w:val="000000"/>
                <w:kern w:val="2"/>
                <w:sz w:val="21"/>
                <w14:ligatures w14:val="standardContextual"/>
              </w:rPr>
              <w:t>InGatewayCloud</w:t>
            </w:r>
            <w:r w:rsidRPr="00DA3766">
              <w:rPr>
                <w:rFonts w:ascii="Times New Roman" w:hAnsi="Times New Roman" w:cs="Times New Roman"/>
                <w:color w:val="000000"/>
                <w:kern w:val="2"/>
                <w:sz w:val="21"/>
                <w14:ligatures w14:val="standardContextual"/>
              </w:rPr>
              <w:t>、映翰通云平台</w:t>
            </w:r>
          </w:p>
        </w:tc>
        <w:tc>
          <w:tcPr>
            <w:tcW w:w="1011" w:type="pct"/>
            <w:vAlign w:val="center"/>
            <w:hideMark/>
          </w:tcPr>
          <w:p w14:paraId="5385F549"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数字化产品：数字造价、施工、设计软件</w:t>
            </w:r>
          </w:p>
          <w:p w14:paraId="551FC25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w:t>
            </w:r>
            <w:r w:rsidRPr="00DA3766">
              <w:rPr>
                <w:rFonts w:ascii="Times New Roman" w:hAnsi="Times New Roman" w:cs="Times New Roman"/>
                <w:color w:val="000000"/>
                <w:kern w:val="2"/>
                <w:sz w:val="21"/>
                <w14:ligatures w14:val="standardContextual"/>
              </w:rPr>
              <w:t>BIM</w:t>
            </w:r>
            <w:r w:rsidRPr="00DA3766">
              <w:rPr>
                <w:rFonts w:ascii="Times New Roman" w:hAnsi="Times New Roman" w:cs="Times New Roman"/>
                <w:color w:val="000000"/>
                <w:kern w:val="2"/>
                <w:sz w:val="21"/>
                <w14:ligatures w14:val="standardContextual"/>
              </w:rPr>
              <w:t>设计协同平台、建筑业务平台</w:t>
            </w:r>
          </w:p>
        </w:tc>
        <w:tc>
          <w:tcPr>
            <w:tcW w:w="1213" w:type="pct"/>
            <w:vAlign w:val="center"/>
            <w:hideMark/>
          </w:tcPr>
          <w:p w14:paraId="3E70699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信息系统：酒店</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餐饮</w:t>
            </w:r>
            <w:r w:rsidRPr="00DA3766">
              <w:rPr>
                <w:rFonts w:ascii="Times New Roman" w:hAnsi="Times New Roman" w:cs="Times New Roman"/>
                <w:color w:val="000000"/>
                <w:kern w:val="2"/>
                <w:sz w:val="21"/>
                <w14:ligatures w14:val="standardContextual"/>
              </w:rPr>
              <w:t>POS</w:t>
            </w:r>
            <w:r w:rsidRPr="00DA3766">
              <w:rPr>
                <w:rFonts w:ascii="Times New Roman" w:hAnsi="Times New Roman" w:cs="Times New Roman"/>
                <w:color w:val="000000"/>
                <w:kern w:val="2"/>
                <w:sz w:val="21"/>
                <w14:ligatures w14:val="standardContextual"/>
              </w:rPr>
              <w:t>、支付网关</w:t>
            </w:r>
          </w:p>
          <w:p w14:paraId="7990813A"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、餐饮云</w:t>
            </w:r>
            <w:r w:rsidRPr="00DA3766">
              <w:rPr>
                <w:rFonts w:ascii="Times New Roman" w:hAnsi="Times New Roman" w:cs="Times New Roman"/>
                <w:color w:val="000000"/>
                <w:kern w:val="2"/>
                <w:sz w:val="21"/>
                <w14:ligatures w14:val="standardContextual"/>
              </w:rPr>
              <w:t>ERP</w:t>
            </w:r>
          </w:p>
        </w:tc>
      </w:tr>
      <w:tr w:rsidR="00EB3B4C" w:rsidRPr="00DA3766" w14:paraId="0E4F678D" w14:textId="77777777" w:rsidTr="00635015">
        <w:trPr>
          <w:trHeight w:val="397"/>
          <w:jc w:val="center"/>
        </w:trPr>
        <w:tc>
          <w:tcPr>
            <w:tcW w:w="592" w:type="pct"/>
            <w:vAlign w:val="center"/>
            <w:hideMark/>
          </w:tcPr>
          <w:p w14:paraId="0836648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经营模式</w:t>
            </w:r>
          </w:p>
        </w:tc>
        <w:tc>
          <w:tcPr>
            <w:tcW w:w="1165" w:type="pct"/>
            <w:vAlign w:val="center"/>
            <w:hideMark/>
          </w:tcPr>
          <w:p w14:paraId="29BB6C6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硬件</w:t>
            </w:r>
            <w:r w:rsidRPr="00DA3766">
              <w:rPr>
                <w:rFonts w:ascii="Times New Roman" w:hAnsi="Times New Roman" w:cs="Times New Roman"/>
                <w:color w:val="000000"/>
                <w:kern w:val="2"/>
                <w:sz w:val="21"/>
                <w14:ligatures w14:val="standardContextual"/>
              </w:rPr>
              <w:t>+SaaS</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双轮驱动。通过高性价比智能硬件快速获取客户，持续从</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订阅服务、数据增值服务中获得稳定、高毛利的经常性收入。</w:t>
            </w:r>
          </w:p>
        </w:tc>
        <w:tc>
          <w:tcPr>
            <w:tcW w:w="1020" w:type="pct"/>
            <w:vAlign w:val="center"/>
            <w:hideMark/>
          </w:tcPr>
          <w:p w14:paraId="163A91B3"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硬件</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云服务</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模式。硬件销售是基础，通过云平台提供远程管理、数据分析等增值服务，形成持续性收入。</w:t>
            </w:r>
          </w:p>
        </w:tc>
        <w:tc>
          <w:tcPr>
            <w:tcW w:w="1011" w:type="pct"/>
            <w:vAlign w:val="center"/>
            <w:hideMark/>
          </w:tcPr>
          <w:p w14:paraId="5FF4312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云转型</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模式。已基本完成从传统软件许可向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云订阅</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模式的转型，收入主要来源于云服务的持续订阅费。</w:t>
            </w:r>
          </w:p>
        </w:tc>
        <w:tc>
          <w:tcPr>
            <w:tcW w:w="1213" w:type="pct"/>
            <w:vAlign w:val="center"/>
            <w:hideMark/>
          </w:tcPr>
          <w:p w14:paraId="360F918C"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软件</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服务</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模式。正加速从本地部署软件向公有云</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模式转型，云业务收入占比持续提升。</w:t>
            </w:r>
          </w:p>
        </w:tc>
      </w:tr>
      <w:tr w:rsidR="00EB3B4C" w:rsidRPr="00DA3766" w14:paraId="65AD2CD2" w14:textId="77777777" w:rsidTr="00635015">
        <w:trPr>
          <w:trHeight w:val="397"/>
          <w:jc w:val="center"/>
        </w:trPr>
        <w:tc>
          <w:tcPr>
            <w:tcW w:w="592" w:type="pct"/>
            <w:vAlign w:val="center"/>
            <w:hideMark/>
          </w:tcPr>
          <w:p w14:paraId="17444ED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企业规模</w:t>
            </w:r>
          </w:p>
        </w:tc>
        <w:tc>
          <w:tcPr>
            <w:tcW w:w="1165" w:type="pct"/>
            <w:vAlign w:val="center"/>
            <w:hideMark/>
          </w:tcPr>
          <w:p w14:paraId="32912D9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4.5</w:t>
            </w:r>
            <w:r w:rsidRPr="00DA3766">
              <w:rPr>
                <w:rFonts w:ascii="Times New Roman" w:hAnsi="Times New Roman" w:cs="Times New Roman"/>
                <w:color w:val="000000"/>
                <w:kern w:val="2"/>
                <w:sz w:val="21"/>
                <w14:ligatures w14:val="standardContextual"/>
              </w:rPr>
              <w:t>亿元，员工约超</w:t>
            </w:r>
            <w:r w:rsidRPr="00DA3766">
              <w:rPr>
                <w:rFonts w:ascii="Times New Roman" w:hAnsi="Times New Roman" w:cs="Times New Roman"/>
                <w:color w:val="000000"/>
                <w:kern w:val="2"/>
                <w:sz w:val="21"/>
                <w14:ligatures w14:val="standardContextual"/>
              </w:rPr>
              <w:t>500</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年数据），整体处于成长期企业规模水平。</w:t>
            </w:r>
          </w:p>
        </w:tc>
        <w:tc>
          <w:tcPr>
            <w:tcW w:w="1020" w:type="pct"/>
            <w:vAlign w:val="center"/>
            <w:hideMark/>
          </w:tcPr>
          <w:p w14:paraId="068E455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6.1</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424</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年数据），具备成熟成长期企业规模。</w:t>
            </w:r>
          </w:p>
        </w:tc>
        <w:tc>
          <w:tcPr>
            <w:tcW w:w="1011" w:type="pct"/>
            <w:vAlign w:val="center"/>
            <w:hideMark/>
          </w:tcPr>
          <w:p w14:paraId="1B069B0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62.4</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8,463</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年数据），属于大型成熟企业。</w:t>
            </w:r>
          </w:p>
        </w:tc>
        <w:tc>
          <w:tcPr>
            <w:tcW w:w="1213" w:type="pct"/>
            <w:vAlign w:val="center"/>
            <w:hideMark/>
          </w:tcPr>
          <w:p w14:paraId="6777455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29.5</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5,018</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年数据），规模介于中大型之间，处于战略转型阶段。</w:t>
            </w:r>
          </w:p>
        </w:tc>
      </w:tr>
      <w:tr w:rsidR="00EB3B4C" w:rsidRPr="00DA3766" w14:paraId="0C61CB50" w14:textId="77777777" w:rsidTr="00635015">
        <w:trPr>
          <w:trHeight w:val="397"/>
          <w:jc w:val="center"/>
        </w:trPr>
        <w:tc>
          <w:tcPr>
            <w:tcW w:w="592" w:type="pct"/>
            <w:vAlign w:val="center"/>
            <w:hideMark/>
          </w:tcPr>
          <w:p w14:paraId="3F9D4FE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成长能力</w:t>
            </w:r>
          </w:p>
        </w:tc>
        <w:tc>
          <w:tcPr>
            <w:tcW w:w="1165" w:type="pct"/>
            <w:vAlign w:val="center"/>
            <w:hideMark/>
          </w:tcPr>
          <w:p w14:paraId="1110168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依托覆盖全国</w:t>
            </w:r>
            <w:r w:rsidRPr="00DA3766">
              <w:rPr>
                <w:rFonts w:ascii="Times New Roman" w:hAnsi="Times New Roman" w:cs="Times New Roman"/>
                <w:color w:val="000000"/>
                <w:kern w:val="2"/>
                <w:sz w:val="21"/>
                <w14:ligatures w14:val="standardContextual"/>
              </w:rPr>
              <w:t>600</w:t>
            </w:r>
            <w:r w:rsidRPr="00DA3766">
              <w:rPr>
                <w:rFonts w:ascii="Times New Roman" w:hAnsi="Times New Roman" w:cs="Times New Roman"/>
                <w:color w:val="000000"/>
                <w:kern w:val="2"/>
                <w:sz w:val="21"/>
                <w14:ligatures w14:val="standardContextual"/>
              </w:rPr>
              <w:t>余城市的</w:t>
            </w:r>
            <w:r w:rsidRPr="00DA3766">
              <w:rPr>
                <w:rFonts w:ascii="Times New Roman" w:hAnsi="Times New Roman" w:cs="Times New Roman"/>
                <w:color w:val="000000"/>
                <w:kern w:val="2"/>
                <w:sz w:val="21"/>
                <w14:ligatures w14:val="standardContextual"/>
              </w:rPr>
              <w:t>300</w:t>
            </w:r>
            <w:r w:rsidRPr="00DA3766">
              <w:rPr>
                <w:rFonts w:ascii="Times New Roman" w:hAnsi="Times New Roman" w:cs="Times New Roman"/>
                <w:color w:val="000000"/>
                <w:kern w:val="2"/>
                <w:sz w:val="21"/>
                <w14:ligatures w14:val="standardContextual"/>
              </w:rPr>
              <w:t>万</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台高频刚需自助设备网络，在社区充电、校园生活、交通枢纽等场景中形成强大网络效应与客户粘性，</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平台具备可持续变现能力，未来收入有望保持稳健增长。</w:t>
            </w:r>
          </w:p>
        </w:tc>
        <w:tc>
          <w:tcPr>
            <w:tcW w:w="1020" w:type="pct"/>
            <w:vAlign w:val="center"/>
            <w:hideMark/>
          </w:tcPr>
          <w:p w14:paraId="313E2F29"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受益于海外产能释放、</w:t>
            </w:r>
            <w:r w:rsidRPr="00DA3766">
              <w:rPr>
                <w:rFonts w:ascii="Times New Roman" w:hAnsi="Times New Roman" w:cs="Times New Roman"/>
                <w:color w:val="000000"/>
                <w:kern w:val="2"/>
                <w:sz w:val="21"/>
                <w14:ligatures w14:val="standardContextual"/>
              </w:rPr>
              <w:t>AI</w:t>
            </w:r>
            <w:r w:rsidRPr="00DA3766">
              <w:rPr>
                <w:rFonts w:ascii="Times New Roman" w:hAnsi="Times New Roman" w:cs="Times New Roman"/>
                <w:color w:val="000000"/>
                <w:kern w:val="2"/>
                <w:sz w:val="21"/>
                <w14:ligatures w14:val="standardContextual"/>
              </w:rPr>
              <w:t>边缘计算产品落地及电力</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零售物联网高景气，全球订单饱满，展现出高成长性。</w:t>
            </w:r>
          </w:p>
        </w:tc>
        <w:tc>
          <w:tcPr>
            <w:tcW w:w="1011" w:type="pct"/>
            <w:vAlign w:val="center"/>
            <w:hideMark/>
          </w:tcPr>
          <w:p w14:paraId="39A40F1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作为建筑信息化龙头，在行业调整期展现韧性，增长主要来自云服务</w:t>
            </w:r>
            <w:r w:rsidRPr="00DA3766">
              <w:rPr>
                <w:rFonts w:ascii="Times New Roman" w:hAnsi="Times New Roman" w:cs="Times New Roman"/>
                <w:color w:val="000000"/>
                <w:kern w:val="2"/>
                <w:sz w:val="21"/>
                <w14:ligatures w14:val="standardContextual"/>
              </w:rPr>
              <w:t>ARPU</w:t>
            </w:r>
            <w:r w:rsidRPr="00DA3766">
              <w:rPr>
                <w:rFonts w:ascii="Times New Roman" w:hAnsi="Times New Roman" w:cs="Times New Roman"/>
                <w:color w:val="000000"/>
                <w:kern w:val="2"/>
                <w:sz w:val="21"/>
                <w14:ligatures w14:val="standardContextual"/>
              </w:rPr>
              <w:t>值提升及</w:t>
            </w:r>
            <w:r w:rsidRPr="00DA3766">
              <w:rPr>
                <w:rFonts w:ascii="Times New Roman" w:hAnsi="Times New Roman" w:cs="Times New Roman"/>
                <w:color w:val="000000"/>
                <w:kern w:val="2"/>
                <w:sz w:val="21"/>
                <w14:ligatures w14:val="standardContextual"/>
              </w:rPr>
              <w:t>AI</w:t>
            </w:r>
            <w:r w:rsidRPr="00DA3766">
              <w:rPr>
                <w:rFonts w:ascii="Times New Roman" w:hAnsi="Times New Roman" w:cs="Times New Roman"/>
                <w:color w:val="000000"/>
                <w:kern w:val="2"/>
                <w:sz w:val="21"/>
                <w14:ligatures w14:val="standardContextual"/>
              </w:rPr>
              <w:t>新场景培育，维持低速稳健增长。</w:t>
            </w:r>
          </w:p>
        </w:tc>
        <w:tc>
          <w:tcPr>
            <w:tcW w:w="1213" w:type="pct"/>
            <w:vAlign w:val="center"/>
            <w:hideMark/>
          </w:tcPr>
          <w:p w14:paraId="65E48F7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国际酒店云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大客户切换基本完成，</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订阅收入进入加速确认期，云转型成效全面显现，重回恢复性高增长通道。</w:t>
            </w:r>
          </w:p>
        </w:tc>
      </w:tr>
      <w:tr w:rsidR="00EB3B4C" w:rsidRPr="00DA3766" w14:paraId="251F8AA1" w14:textId="77777777" w:rsidTr="00635015">
        <w:trPr>
          <w:trHeight w:val="397"/>
          <w:jc w:val="center"/>
        </w:trPr>
        <w:tc>
          <w:tcPr>
            <w:tcW w:w="592" w:type="pct"/>
            <w:vAlign w:val="center"/>
            <w:hideMark/>
          </w:tcPr>
          <w:p w14:paraId="1EC17D2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盈利能力</w:t>
            </w:r>
          </w:p>
        </w:tc>
        <w:tc>
          <w:tcPr>
            <w:tcW w:w="1165" w:type="pct"/>
            <w:vAlign w:val="center"/>
            <w:hideMark/>
          </w:tcPr>
          <w:p w14:paraId="7FEBFB4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毛利率为</w:t>
            </w:r>
            <w:r w:rsidRPr="00DA3766">
              <w:rPr>
                <w:rFonts w:ascii="Times New Roman" w:hAnsi="Times New Roman" w:cs="Times New Roman"/>
                <w:color w:val="000000"/>
                <w:kern w:val="2"/>
                <w:sz w:val="21"/>
                <w14:ligatures w14:val="standardContextual"/>
              </w:rPr>
              <w:t>62.96%</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占营业收入比重达</w:t>
            </w:r>
            <w:r w:rsidRPr="00DA3766">
              <w:rPr>
                <w:rFonts w:ascii="Times New Roman" w:hAnsi="Times New Roman" w:cs="Times New Roman"/>
                <w:color w:val="000000"/>
                <w:kern w:val="2"/>
                <w:sz w:val="21"/>
                <w14:ligatures w14:val="standardContextual"/>
              </w:rPr>
              <w:t>28.6%</w:t>
            </w:r>
            <w:r w:rsidRPr="00DA3766">
              <w:rPr>
                <w:rFonts w:ascii="Times New Roman" w:hAnsi="Times New Roman" w:cs="Times New Roman"/>
                <w:color w:val="000000"/>
                <w:kern w:val="2"/>
                <w:sz w:val="21"/>
                <w14:ligatures w14:val="standardContextual"/>
              </w:rPr>
              <w:t>，净利率为</w:t>
            </w:r>
            <w:r w:rsidRPr="00DA3766">
              <w:rPr>
                <w:rFonts w:ascii="Times New Roman" w:hAnsi="Times New Roman" w:cs="Times New Roman"/>
                <w:color w:val="000000"/>
                <w:kern w:val="2"/>
                <w:sz w:val="21"/>
                <w14:ligatures w14:val="standardContextual"/>
              </w:rPr>
              <w:t>19.4%</w:t>
            </w:r>
            <w:r w:rsidRPr="00DA3766">
              <w:rPr>
                <w:rFonts w:ascii="Times New Roman" w:hAnsi="Times New Roman" w:cs="Times New Roman"/>
                <w:color w:val="000000"/>
                <w:kern w:val="2"/>
                <w:sz w:val="21"/>
                <w14:ligatures w14:val="standardContextual"/>
              </w:rPr>
              <w:t>，反映出其以高毛利</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服务为核心、轻资产运营为支撑的商业模式已具备较强的盈利转化能力，整体盈利能力较强。</w:t>
            </w:r>
          </w:p>
        </w:tc>
        <w:tc>
          <w:tcPr>
            <w:tcW w:w="1020" w:type="pct"/>
            <w:vAlign w:val="center"/>
            <w:hideMark/>
          </w:tcPr>
          <w:p w14:paraId="1B134A5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毛利率为</w:t>
            </w:r>
            <w:r w:rsidRPr="00DA3766">
              <w:rPr>
                <w:rFonts w:ascii="Times New Roman" w:hAnsi="Times New Roman" w:cs="Times New Roman"/>
                <w:color w:val="000000"/>
                <w:kern w:val="2"/>
                <w:sz w:val="21"/>
                <w14:ligatures w14:val="standardContextual"/>
              </w:rPr>
              <w:t>48.2%</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22.3%</w:t>
            </w:r>
            <w:r w:rsidRPr="00DA3766">
              <w:rPr>
                <w:rFonts w:ascii="Times New Roman" w:hAnsi="Times New Roman" w:cs="Times New Roman"/>
                <w:color w:val="000000"/>
                <w:kern w:val="2"/>
                <w:sz w:val="21"/>
                <w14:ligatures w14:val="standardContextual"/>
              </w:rPr>
              <w:t>，净利率</w:t>
            </w: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，硬件与云服务协同发展，成本及费用控制较为稳健，整体盈利能力良好。</w:t>
            </w:r>
          </w:p>
        </w:tc>
        <w:tc>
          <w:tcPr>
            <w:tcW w:w="1011" w:type="pct"/>
            <w:vAlign w:val="center"/>
            <w:hideMark/>
          </w:tcPr>
          <w:p w14:paraId="4E173E4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w:t>
            </w:r>
            <w:r w:rsidRPr="00DA3766">
              <w:rPr>
                <w:rFonts w:ascii="Times New Roman" w:hAnsi="Times New Roman" w:cs="Times New Roman"/>
                <w:color w:val="000000"/>
                <w:kern w:val="2"/>
                <w:sz w:val="21"/>
                <w14:ligatures w14:val="standardContextual"/>
              </w:rPr>
              <w:t>89.1%</w:t>
            </w:r>
            <w:r w:rsidRPr="00DA3766">
              <w:rPr>
                <w:rFonts w:ascii="Times New Roman" w:hAnsi="Times New Roman" w:cs="Times New Roman"/>
                <w:color w:val="000000"/>
                <w:kern w:val="2"/>
                <w:sz w:val="21"/>
                <w14:ligatures w14:val="standardContextual"/>
              </w:rPr>
              <w:t>，但受持续高强度研发投入及市场拓展支出影响，</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18.5%</w:t>
            </w:r>
            <w:r w:rsidRPr="00DA3766">
              <w:rPr>
                <w:rFonts w:ascii="Times New Roman" w:hAnsi="Times New Roman" w:cs="Times New Roman"/>
                <w:color w:val="000000"/>
                <w:kern w:val="2"/>
                <w:sz w:val="21"/>
                <w14:ligatures w14:val="standardContextual"/>
              </w:rPr>
              <w:t>）与净利率（</w:t>
            </w:r>
            <w:r w:rsidRPr="00DA3766">
              <w:rPr>
                <w:rFonts w:ascii="Times New Roman" w:hAnsi="Times New Roman" w:cs="Times New Roman"/>
                <w:color w:val="000000"/>
                <w:kern w:val="2"/>
                <w:sz w:val="21"/>
                <w14:ligatures w14:val="standardContextual"/>
              </w:rPr>
              <w:t>10.0%</w:t>
            </w:r>
            <w:r w:rsidRPr="00DA3766">
              <w:rPr>
                <w:rFonts w:ascii="Times New Roman" w:hAnsi="Times New Roman" w:cs="Times New Roman"/>
                <w:color w:val="000000"/>
                <w:kern w:val="2"/>
                <w:sz w:val="21"/>
                <w14:ligatures w14:val="standardContextual"/>
              </w:rPr>
              <w:t>）相对偏低，整体盈利能力处于一般水平。</w:t>
            </w:r>
          </w:p>
        </w:tc>
        <w:tc>
          <w:tcPr>
            <w:tcW w:w="1213" w:type="pct"/>
            <w:vAlign w:val="center"/>
            <w:hideMark/>
          </w:tcPr>
          <w:p w14:paraId="6CBCE163"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毛利率为</w:t>
            </w:r>
            <w:r w:rsidRPr="00DA3766">
              <w:rPr>
                <w:rFonts w:ascii="Times New Roman" w:hAnsi="Times New Roman" w:cs="Times New Roman"/>
                <w:color w:val="000000"/>
                <w:kern w:val="2"/>
                <w:sz w:val="21"/>
                <w14:ligatures w14:val="standardContextual"/>
              </w:rPr>
              <w:t>42.5%</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5.2%</w:t>
            </w:r>
            <w:r w:rsidRPr="00DA3766">
              <w:rPr>
                <w:rFonts w:ascii="Times New Roman" w:hAnsi="Times New Roman" w:cs="Times New Roman"/>
                <w:color w:val="000000"/>
                <w:kern w:val="2"/>
                <w:sz w:val="21"/>
                <w14:ligatures w14:val="standardContextual"/>
              </w:rPr>
              <w:t>，净利率为</w:t>
            </w:r>
            <w:r w:rsidRPr="00DA3766">
              <w:rPr>
                <w:rFonts w:ascii="Times New Roman" w:hAnsi="Times New Roman" w:cs="Times New Roman"/>
                <w:color w:val="000000"/>
                <w:kern w:val="2"/>
                <w:sz w:val="21"/>
                <w14:ligatures w14:val="standardContextual"/>
              </w:rPr>
              <w:t>-8.3%</w:t>
            </w:r>
            <w:r w:rsidRPr="00DA3766">
              <w:rPr>
                <w:rFonts w:ascii="Times New Roman" w:hAnsi="Times New Roman" w:cs="Times New Roman"/>
                <w:color w:val="000000"/>
                <w:kern w:val="2"/>
                <w:sz w:val="21"/>
                <w14:ligatures w14:val="standardContextual"/>
              </w:rPr>
              <w:t>，主要系公司正处于国际酒店云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业务的战略投入阶段，相关研发与市场费用前置，当前盈利能力相对较弱，但具有阶段性特征。</w:t>
            </w:r>
          </w:p>
        </w:tc>
      </w:tr>
      <w:tr w:rsidR="00EB3B4C" w:rsidRPr="00DA3766" w14:paraId="25FB1436" w14:textId="77777777" w:rsidTr="00635015">
        <w:trPr>
          <w:trHeight w:val="397"/>
          <w:jc w:val="center"/>
        </w:trPr>
        <w:tc>
          <w:tcPr>
            <w:tcW w:w="592" w:type="pct"/>
            <w:vAlign w:val="center"/>
            <w:hideMark/>
          </w:tcPr>
          <w:p w14:paraId="71871083" w14:textId="77777777" w:rsidR="00635015"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所处经营</w:t>
            </w:r>
          </w:p>
          <w:p w14:paraId="4615F91C" w14:textId="65915B63"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阶段</w:t>
            </w:r>
          </w:p>
        </w:tc>
        <w:tc>
          <w:tcPr>
            <w:tcW w:w="1165" w:type="pct"/>
            <w:vAlign w:val="center"/>
            <w:hideMark/>
          </w:tcPr>
          <w:p w14:paraId="540290F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成长期：已完成核心技术与产品的验证，正处于市场快速扩张和规模化复制阶段。</w:t>
            </w:r>
          </w:p>
        </w:tc>
        <w:tc>
          <w:tcPr>
            <w:tcW w:w="1020" w:type="pct"/>
            <w:vAlign w:val="center"/>
            <w:hideMark/>
          </w:tcPr>
          <w:p w14:paraId="0180663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成熟成长期：在工业物联网细分市场已建立稳固地位，增长趋于稳健。</w:t>
            </w:r>
          </w:p>
        </w:tc>
        <w:tc>
          <w:tcPr>
            <w:tcW w:w="1011" w:type="pct"/>
            <w:vAlign w:val="center"/>
            <w:hideMark/>
          </w:tcPr>
          <w:p w14:paraId="35DE29F1"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成熟期：在建筑信息化领域占据绝对领先地位，进入高质量发展阶段。</w:t>
            </w:r>
          </w:p>
        </w:tc>
        <w:tc>
          <w:tcPr>
            <w:tcW w:w="1213" w:type="pct"/>
            <w:vAlign w:val="center"/>
            <w:hideMark/>
          </w:tcPr>
          <w:p w14:paraId="26FBD3DA"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战略转型期：正经历从传统软件向云服务的重大战略转型，短期业绩承压。</w:t>
            </w:r>
          </w:p>
        </w:tc>
      </w:tr>
    </w:tbl>
    <w:p w14:paraId="23CC3BB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综上，可比上市公司在企业规模、发展阶段及盈利水平上存在客观差异，使得估值水平有所差异，但其商业模式的核心逻辑高度一致，均以行业专用产品为入口，通过</w:t>
      </w:r>
      <w:r w:rsidRPr="00DA3766">
        <w:rPr>
          <w:rFonts w:ascii="Times New Roman" w:hAnsi="Times New Roman" w:cs="Times New Roman"/>
          <w:kern w:val="2"/>
          <w:szCs w:val="22"/>
        </w:rPr>
        <w:t>SaaS</w:t>
      </w:r>
      <w:r w:rsidRPr="00DA3766">
        <w:rPr>
          <w:rFonts w:ascii="Times New Roman" w:hAnsi="Times New Roman" w:cs="Times New Roman"/>
          <w:kern w:val="2"/>
          <w:szCs w:val="22"/>
        </w:rPr>
        <w:t>平台构建长期、高粘性、高毛利的经常性收入，使得可比上市公司与标的公司具有一定可比性，能合理反映行业估值水平。</w:t>
      </w:r>
    </w:p>
    <w:p w14:paraId="6D1B7F4B"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、可比交易案例选取方式及估值水平分析</w:t>
      </w:r>
    </w:p>
    <w:p w14:paraId="52EF59B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标的公司所属行业为</w:t>
      </w:r>
      <w:r w:rsidRPr="00DA3766">
        <w:rPr>
          <w:rFonts w:cs="Times New Roman"/>
          <w:kern w:val="2"/>
          <w:szCs w:val="22"/>
        </w:rPr>
        <w:t>“</w:t>
      </w:r>
      <w:r w:rsidRPr="00DA3766">
        <w:rPr>
          <w:rFonts w:ascii="Times New Roman" w:hAnsi="Times New Roman" w:cs="Times New Roman"/>
          <w:kern w:val="2"/>
          <w:szCs w:val="22"/>
        </w:rPr>
        <w:t>信息传输、软件和信息技术服务业</w:t>
      </w:r>
      <w:r w:rsidRPr="00DA3766">
        <w:rPr>
          <w:rFonts w:cs="Times New Roman"/>
          <w:kern w:val="2"/>
          <w:szCs w:val="22"/>
        </w:rPr>
        <w:t>”</w:t>
      </w:r>
      <w:r w:rsidRPr="00DA3766">
        <w:rPr>
          <w:rFonts w:ascii="Times New Roman" w:hAnsi="Times New Roman" w:cs="Times New Roman"/>
          <w:kern w:val="2"/>
          <w:szCs w:val="22"/>
        </w:rPr>
        <w:t>下的</w:t>
      </w:r>
      <w:r w:rsidRPr="00DA3766">
        <w:rPr>
          <w:rFonts w:cs="Times New Roman"/>
          <w:kern w:val="2"/>
          <w:szCs w:val="22"/>
        </w:rPr>
        <w:t>“</w:t>
      </w:r>
      <w:r w:rsidRPr="00DA3766">
        <w:rPr>
          <w:rFonts w:ascii="Times New Roman" w:hAnsi="Times New Roman" w:cs="Times New Roman"/>
          <w:kern w:val="2"/>
          <w:szCs w:val="22"/>
        </w:rPr>
        <w:t>信息系统集成和物联网技术服务</w:t>
      </w:r>
      <w:r w:rsidRPr="00DA3766">
        <w:rPr>
          <w:rFonts w:cs="Times New Roman"/>
          <w:kern w:val="2"/>
          <w:szCs w:val="22"/>
        </w:rPr>
        <w:t>”</w:t>
      </w:r>
      <w:r w:rsidRPr="00DA3766">
        <w:rPr>
          <w:rFonts w:ascii="Times New Roman" w:hAnsi="Times New Roman" w:cs="Times New Roman"/>
          <w:kern w:val="2"/>
          <w:szCs w:val="22"/>
        </w:rPr>
        <w:t>（</w:t>
      </w:r>
      <w:r w:rsidRPr="00DA3766">
        <w:rPr>
          <w:rFonts w:ascii="Times New Roman" w:hAnsi="Times New Roman" w:cs="Times New Roman"/>
          <w:kern w:val="2"/>
          <w:szCs w:val="22"/>
        </w:rPr>
        <w:t>I653</w:t>
      </w:r>
      <w:r w:rsidRPr="00DA3766">
        <w:rPr>
          <w:rFonts w:ascii="Times New Roman" w:hAnsi="Times New Roman" w:cs="Times New Roman"/>
          <w:kern w:val="2"/>
          <w:szCs w:val="22"/>
        </w:rPr>
        <w:t>），由于市场尚无与标的公司主营业务、所处细分行业以及应用领域完全一致的并购标的，故本次选取近期交易标的从事软件技术信息行业相关的交易案例进行比较，对比情况如下：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313"/>
        <w:gridCol w:w="1097"/>
        <w:gridCol w:w="1412"/>
        <w:gridCol w:w="1938"/>
        <w:gridCol w:w="851"/>
        <w:gridCol w:w="1242"/>
      </w:tblGrid>
      <w:tr w:rsidR="00EB3B4C" w:rsidRPr="00DA3766" w14:paraId="3F5957DE" w14:textId="77777777" w:rsidTr="00DA3766">
        <w:trPr>
          <w:trHeight w:val="397"/>
          <w:tblHeader/>
          <w:jc w:val="center"/>
        </w:trPr>
        <w:tc>
          <w:tcPr>
            <w:tcW w:w="396" w:type="pct"/>
            <w:tcMar>
              <w:top w:w="0" w:type="dxa"/>
              <w:left w:w="108" w:type="dxa"/>
              <w:bottom w:w="0" w:type="dxa"/>
              <w:right w:w="108" w:type="dxa"/>
            </w:tcMar>
            <w:vAlign w:val="center"/>
          </w:tcPr>
          <w:p w14:paraId="435139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序号</w:t>
            </w:r>
          </w:p>
        </w:tc>
        <w:tc>
          <w:tcPr>
            <w:tcW w:w="770" w:type="pct"/>
            <w:tcMar>
              <w:top w:w="0" w:type="dxa"/>
              <w:left w:w="108" w:type="dxa"/>
              <w:bottom w:w="0" w:type="dxa"/>
              <w:right w:w="108" w:type="dxa"/>
            </w:tcMar>
            <w:vAlign w:val="center"/>
          </w:tcPr>
          <w:p w14:paraId="1E0AD3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证券代码</w:t>
            </w:r>
          </w:p>
        </w:tc>
        <w:tc>
          <w:tcPr>
            <w:tcW w:w="643" w:type="pct"/>
            <w:tcMar>
              <w:top w:w="0" w:type="dxa"/>
              <w:left w:w="108" w:type="dxa"/>
              <w:bottom w:w="0" w:type="dxa"/>
              <w:right w:w="108" w:type="dxa"/>
            </w:tcMar>
            <w:vAlign w:val="center"/>
          </w:tcPr>
          <w:p w14:paraId="206F2D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上市公司</w:t>
            </w:r>
          </w:p>
        </w:tc>
        <w:tc>
          <w:tcPr>
            <w:tcW w:w="828" w:type="pct"/>
            <w:tcMar>
              <w:top w:w="0" w:type="dxa"/>
              <w:left w:w="108" w:type="dxa"/>
              <w:bottom w:w="0" w:type="dxa"/>
              <w:right w:w="108" w:type="dxa"/>
            </w:tcMar>
            <w:vAlign w:val="center"/>
          </w:tcPr>
          <w:p w14:paraId="6430EA9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标的资产</w:t>
            </w:r>
          </w:p>
        </w:tc>
        <w:tc>
          <w:tcPr>
            <w:tcW w:w="1136" w:type="pct"/>
            <w:tcMar>
              <w:top w:w="0" w:type="dxa"/>
              <w:left w:w="108" w:type="dxa"/>
              <w:bottom w:w="0" w:type="dxa"/>
              <w:right w:w="108" w:type="dxa"/>
            </w:tcMar>
            <w:vAlign w:val="center"/>
          </w:tcPr>
          <w:p w14:paraId="43A4054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评估基准日</w:t>
            </w:r>
          </w:p>
        </w:tc>
        <w:tc>
          <w:tcPr>
            <w:tcW w:w="499" w:type="pct"/>
            <w:tcMar>
              <w:top w:w="0" w:type="dxa"/>
              <w:left w:w="108" w:type="dxa"/>
              <w:bottom w:w="0" w:type="dxa"/>
              <w:right w:w="108" w:type="dxa"/>
            </w:tcMar>
            <w:vAlign w:val="center"/>
          </w:tcPr>
          <w:p w14:paraId="066A98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市净率</w:t>
            </w:r>
          </w:p>
        </w:tc>
        <w:tc>
          <w:tcPr>
            <w:tcW w:w="728" w:type="pct"/>
            <w:tcMar>
              <w:top w:w="0" w:type="dxa"/>
              <w:left w:w="108" w:type="dxa"/>
              <w:bottom w:w="0" w:type="dxa"/>
              <w:right w:w="108" w:type="dxa"/>
            </w:tcMar>
            <w:vAlign w:val="center"/>
          </w:tcPr>
          <w:p w14:paraId="426888E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市盈率</w:t>
            </w:r>
          </w:p>
        </w:tc>
      </w:tr>
      <w:tr w:rsidR="00EB3B4C" w:rsidRPr="00DA3766" w14:paraId="1E83D298" w14:textId="77777777" w:rsidTr="00DA3766">
        <w:trPr>
          <w:trHeight w:val="397"/>
          <w:jc w:val="center"/>
        </w:trPr>
        <w:tc>
          <w:tcPr>
            <w:tcW w:w="396" w:type="pct"/>
            <w:tcMar>
              <w:top w:w="0" w:type="dxa"/>
              <w:left w:w="108" w:type="dxa"/>
              <w:bottom w:w="0" w:type="dxa"/>
              <w:right w:w="108" w:type="dxa"/>
            </w:tcMar>
            <w:vAlign w:val="center"/>
          </w:tcPr>
          <w:p w14:paraId="618CB7D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770" w:type="pct"/>
            <w:tcMar>
              <w:top w:w="0" w:type="dxa"/>
              <w:left w:w="108" w:type="dxa"/>
              <w:bottom w:w="0" w:type="dxa"/>
              <w:right w:w="108" w:type="dxa"/>
            </w:tcMar>
            <w:vAlign w:val="center"/>
          </w:tcPr>
          <w:p w14:paraId="6E7584E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688258.SH</w:t>
            </w:r>
          </w:p>
        </w:tc>
        <w:tc>
          <w:tcPr>
            <w:tcW w:w="643" w:type="pct"/>
            <w:tcMar>
              <w:top w:w="0" w:type="dxa"/>
              <w:left w:w="108" w:type="dxa"/>
              <w:bottom w:w="0" w:type="dxa"/>
              <w:right w:w="108" w:type="dxa"/>
            </w:tcMar>
            <w:vAlign w:val="center"/>
          </w:tcPr>
          <w:p w14:paraId="2D795F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卓易信息</w:t>
            </w:r>
          </w:p>
        </w:tc>
        <w:tc>
          <w:tcPr>
            <w:tcW w:w="828" w:type="pct"/>
            <w:tcMar>
              <w:top w:w="0" w:type="dxa"/>
              <w:left w:w="108" w:type="dxa"/>
              <w:bottom w:w="0" w:type="dxa"/>
              <w:right w:w="108" w:type="dxa"/>
            </w:tcMar>
            <w:vAlign w:val="center"/>
          </w:tcPr>
          <w:p w14:paraId="244E9EA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艾普阳深圳</w:t>
            </w:r>
            <w:r w:rsidRPr="00DA3766">
              <w:rPr>
                <w:rFonts w:ascii="Times New Roman" w:hAnsi="Times New Roman" w:cs="Times New Roman"/>
                <w:color w:val="000000"/>
                <w:sz w:val="21"/>
                <w:szCs w:val="21"/>
              </w:rPr>
              <w:t>52%</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772966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0A4E23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7.11</w:t>
            </w:r>
          </w:p>
        </w:tc>
        <w:tc>
          <w:tcPr>
            <w:tcW w:w="728" w:type="pct"/>
            <w:tcMar>
              <w:top w:w="0" w:type="dxa"/>
              <w:left w:w="108" w:type="dxa"/>
              <w:bottom w:w="0" w:type="dxa"/>
              <w:right w:w="108" w:type="dxa"/>
            </w:tcMar>
            <w:vAlign w:val="center"/>
          </w:tcPr>
          <w:p w14:paraId="72BB82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12.78</w:t>
            </w:r>
          </w:p>
        </w:tc>
      </w:tr>
      <w:tr w:rsidR="00EB3B4C" w:rsidRPr="00DA3766" w14:paraId="7E5D22FA" w14:textId="77777777" w:rsidTr="00DA3766">
        <w:trPr>
          <w:trHeight w:val="397"/>
          <w:jc w:val="center"/>
        </w:trPr>
        <w:tc>
          <w:tcPr>
            <w:tcW w:w="396" w:type="pct"/>
            <w:tcMar>
              <w:top w:w="0" w:type="dxa"/>
              <w:left w:w="108" w:type="dxa"/>
              <w:bottom w:w="0" w:type="dxa"/>
              <w:right w:w="108" w:type="dxa"/>
            </w:tcMar>
            <w:vAlign w:val="center"/>
          </w:tcPr>
          <w:p w14:paraId="4232D14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770" w:type="pct"/>
            <w:tcMar>
              <w:top w:w="0" w:type="dxa"/>
              <w:left w:w="108" w:type="dxa"/>
              <w:bottom w:w="0" w:type="dxa"/>
              <w:right w:w="108" w:type="dxa"/>
            </w:tcMar>
            <w:vAlign w:val="center"/>
          </w:tcPr>
          <w:p w14:paraId="32939C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300188.SZ</w:t>
            </w:r>
          </w:p>
        </w:tc>
        <w:tc>
          <w:tcPr>
            <w:tcW w:w="643" w:type="pct"/>
            <w:tcMar>
              <w:top w:w="0" w:type="dxa"/>
              <w:left w:w="108" w:type="dxa"/>
              <w:bottom w:w="0" w:type="dxa"/>
              <w:right w:w="108" w:type="dxa"/>
            </w:tcMar>
            <w:vAlign w:val="center"/>
          </w:tcPr>
          <w:p w14:paraId="63EBE4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国投智能</w:t>
            </w:r>
          </w:p>
        </w:tc>
        <w:tc>
          <w:tcPr>
            <w:tcW w:w="828" w:type="pct"/>
            <w:tcMar>
              <w:top w:w="0" w:type="dxa"/>
              <w:left w:w="108" w:type="dxa"/>
              <w:bottom w:w="0" w:type="dxa"/>
              <w:right w:w="108" w:type="dxa"/>
            </w:tcMar>
            <w:vAlign w:val="center"/>
          </w:tcPr>
          <w:p w14:paraId="6BA0C5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南京金鼎</w:t>
            </w:r>
            <w:r w:rsidRPr="00DA3766">
              <w:rPr>
                <w:rFonts w:ascii="Times New Roman" w:hAnsi="Times New Roman" w:cs="Times New Roman"/>
                <w:color w:val="000000"/>
                <w:sz w:val="21"/>
                <w:szCs w:val="21"/>
              </w:rPr>
              <w:t>55%</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11B7D8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54E6AE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12.23</w:t>
            </w:r>
          </w:p>
        </w:tc>
        <w:tc>
          <w:tcPr>
            <w:tcW w:w="728" w:type="pct"/>
            <w:tcMar>
              <w:top w:w="0" w:type="dxa"/>
              <w:left w:w="108" w:type="dxa"/>
              <w:bottom w:w="0" w:type="dxa"/>
              <w:right w:w="108" w:type="dxa"/>
            </w:tcMar>
            <w:vAlign w:val="center"/>
          </w:tcPr>
          <w:p w14:paraId="30B3D7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6.26</w:t>
            </w:r>
          </w:p>
        </w:tc>
      </w:tr>
      <w:tr w:rsidR="00EB3B4C" w:rsidRPr="00DA3766" w14:paraId="3E912875" w14:textId="77777777" w:rsidTr="00DA3766">
        <w:trPr>
          <w:trHeight w:val="397"/>
          <w:jc w:val="center"/>
        </w:trPr>
        <w:tc>
          <w:tcPr>
            <w:tcW w:w="396" w:type="pct"/>
            <w:tcMar>
              <w:top w:w="0" w:type="dxa"/>
              <w:left w:w="108" w:type="dxa"/>
              <w:bottom w:w="0" w:type="dxa"/>
              <w:right w:w="108" w:type="dxa"/>
            </w:tcMar>
            <w:vAlign w:val="center"/>
          </w:tcPr>
          <w:p w14:paraId="5613C69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770" w:type="pct"/>
            <w:tcMar>
              <w:top w:w="0" w:type="dxa"/>
              <w:left w:w="108" w:type="dxa"/>
              <w:bottom w:w="0" w:type="dxa"/>
              <w:right w:w="108" w:type="dxa"/>
            </w:tcMar>
            <w:vAlign w:val="center"/>
          </w:tcPr>
          <w:p w14:paraId="4FB716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688201.SH</w:t>
            </w:r>
          </w:p>
        </w:tc>
        <w:tc>
          <w:tcPr>
            <w:tcW w:w="643" w:type="pct"/>
            <w:tcMar>
              <w:top w:w="0" w:type="dxa"/>
              <w:left w:w="108" w:type="dxa"/>
              <w:bottom w:w="0" w:type="dxa"/>
              <w:right w:w="108" w:type="dxa"/>
            </w:tcMar>
            <w:vAlign w:val="center"/>
          </w:tcPr>
          <w:p w14:paraId="3DF399C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信安世纪</w:t>
            </w:r>
          </w:p>
        </w:tc>
        <w:tc>
          <w:tcPr>
            <w:tcW w:w="828" w:type="pct"/>
            <w:tcMar>
              <w:top w:w="0" w:type="dxa"/>
              <w:left w:w="108" w:type="dxa"/>
              <w:bottom w:w="0" w:type="dxa"/>
              <w:right w:w="108" w:type="dxa"/>
            </w:tcMar>
            <w:vAlign w:val="center"/>
          </w:tcPr>
          <w:p w14:paraId="455F74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普世科技</w:t>
            </w:r>
            <w:r w:rsidRPr="00DA3766">
              <w:rPr>
                <w:rFonts w:ascii="Times New Roman" w:hAnsi="Times New Roman" w:cs="Times New Roman"/>
                <w:color w:val="000000"/>
                <w:sz w:val="21"/>
                <w:szCs w:val="21"/>
              </w:rPr>
              <w:t>80%</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7A066E4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30</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63C28B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10.69</w:t>
            </w:r>
          </w:p>
        </w:tc>
        <w:tc>
          <w:tcPr>
            <w:tcW w:w="728" w:type="pct"/>
            <w:tcMar>
              <w:top w:w="0" w:type="dxa"/>
              <w:left w:w="108" w:type="dxa"/>
              <w:bottom w:w="0" w:type="dxa"/>
              <w:right w:w="108" w:type="dxa"/>
            </w:tcMar>
            <w:vAlign w:val="center"/>
          </w:tcPr>
          <w:p w14:paraId="3970FC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15.51</w:t>
            </w:r>
          </w:p>
        </w:tc>
      </w:tr>
      <w:tr w:rsidR="00EB3B4C" w:rsidRPr="00DA3766" w14:paraId="172539B5" w14:textId="77777777" w:rsidTr="00DA3766">
        <w:trPr>
          <w:trHeight w:val="397"/>
          <w:jc w:val="center"/>
        </w:trPr>
        <w:tc>
          <w:tcPr>
            <w:tcW w:w="396" w:type="pct"/>
            <w:tcMar>
              <w:top w:w="0" w:type="dxa"/>
              <w:left w:w="108" w:type="dxa"/>
              <w:bottom w:w="0" w:type="dxa"/>
              <w:right w:w="108" w:type="dxa"/>
            </w:tcMar>
            <w:vAlign w:val="center"/>
          </w:tcPr>
          <w:p w14:paraId="61C9ED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770" w:type="pct"/>
            <w:tcMar>
              <w:top w:w="0" w:type="dxa"/>
              <w:left w:w="108" w:type="dxa"/>
              <w:bottom w:w="0" w:type="dxa"/>
              <w:right w:w="108" w:type="dxa"/>
            </w:tcMar>
            <w:vAlign w:val="center"/>
          </w:tcPr>
          <w:p w14:paraId="1A9D3E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002153.SZ</w:t>
            </w:r>
          </w:p>
        </w:tc>
        <w:tc>
          <w:tcPr>
            <w:tcW w:w="643" w:type="pct"/>
            <w:tcMar>
              <w:top w:w="0" w:type="dxa"/>
              <w:left w:w="108" w:type="dxa"/>
              <w:bottom w:w="0" w:type="dxa"/>
              <w:right w:w="108" w:type="dxa"/>
            </w:tcMar>
            <w:vAlign w:val="center"/>
          </w:tcPr>
          <w:p w14:paraId="1D7C3B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石基信息</w:t>
            </w:r>
          </w:p>
        </w:tc>
        <w:tc>
          <w:tcPr>
            <w:tcW w:w="828" w:type="pct"/>
            <w:tcMar>
              <w:top w:w="0" w:type="dxa"/>
              <w:left w:w="108" w:type="dxa"/>
              <w:bottom w:w="0" w:type="dxa"/>
              <w:right w:w="108" w:type="dxa"/>
            </w:tcMar>
            <w:vAlign w:val="center"/>
          </w:tcPr>
          <w:p w14:paraId="420F77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思迅软件</w:t>
            </w:r>
            <w:r w:rsidRPr="00DA3766">
              <w:rPr>
                <w:rFonts w:ascii="Times New Roman" w:hAnsi="Times New Roman" w:cs="Times New Roman"/>
                <w:color w:val="000000"/>
                <w:sz w:val="21"/>
                <w:szCs w:val="21"/>
              </w:rPr>
              <w:t>13.50%</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665600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30</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0C6076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4.21</w:t>
            </w:r>
          </w:p>
        </w:tc>
        <w:tc>
          <w:tcPr>
            <w:tcW w:w="728" w:type="pct"/>
            <w:tcMar>
              <w:top w:w="0" w:type="dxa"/>
              <w:left w:w="108" w:type="dxa"/>
              <w:bottom w:w="0" w:type="dxa"/>
              <w:right w:w="108" w:type="dxa"/>
            </w:tcMar>
            <w:vAlign w:val="center"/>
          </w:tcPr>
          <w:p w14:paraId="6BBEF0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12.96</w:t>
            </w:r>
          </w:p>
        </w:tc>
      </w:tr>
      <w:tr w:rsidR="00EB3B4C" w:rsidRPr="00DA3766" w14:paraId="5014EC88" w14:textId="77777777" w:rsidTr="00DA3766">
        <w:trPr>
          <w:trHeight w:val="397"/>
          <w:jc w:val="center"/>
        </w:trPr>
        <w:tc>
          <w:tcPr>
            <w:tcW w:w="3773" w:type="pct"/>
            <w:gridSpan w:val="5"/>
            <w:tcMar>
              <w:top w:w="0" w:type="dxa"/>
              <w:left w:w="108" w:type="dxa"/>
              <w:bottom w:w="0" w:type="dxa"/>
              <w:right w:w="108" w:type="dxa"/>
            </w:tcMar>
            <w:vAlign w:val="center"/>
          </w:tcPr>
          <w:p w14:paraId="0A23823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平均数</w:t>
            </w:r>
          </w:p>
        </w:tc>
        <w:tc>
          <w:tcPr>
            <w:tcW w:w="499" w:type="pct"/>
            <w:tcMar>
              <w:top w:w="0" w:type="dxa"/>
              <w:left w:w="108" w:type="dxa"/>
              <w:bottom w:w="0" w:type="dxa"/>
              <w:right w:w="108" w:type="dxa"/>
            </w:tcMar>
            <w:vAlign w:val="center"/>
          </w:tcPr>
          <w:p w14:paraId="0F481B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8.56</w:t>
            </w:r>
          </w:p>
        </w:tc>
        <w:tc>
          <w:tcPr>
            <w:tcW w:w="728" w:type="pct"/>
            <w:tcMar>
              <w:top w:w="0" w:type="dxa"/>
              <w:left w:w="108" w:type="dxa"/>
              <w:bottom w:w="0" w:type="dxa"/>
              <w:right w:w="108" w:type="dxa"/>
            </w:tcMar>
            <w:vAlign w:val="center"/>
          </w:tcPr>
          <w:p w14:paraId="5C51FA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11.88</w:t>
            </w:r>
          </w:p>
        </w:tc>
      </w:tr>
      <w:tr w:rsidR="00EB3B4C" w:rsidRPr="00DA3766" w14:paraId="417E8566" w14:textId="77777777" w:rsidTr="00DA3766">
        <w:trPr>
          <w:trHeight w:val="397"/>
          <w:jc w:val="center"/>
        </w:trPr>
        <w:tc>
          <w:tcPr>
            <w:tcW w:w="3773" w:type="pct"/>
            <w:gridSpan w:val="5"/>
            <w:tcMar>
              <w:top w:w="0" w:type="dxa"/>
              <w:left w:w="108" w:type="dxa"/>
              <w:bottom w:w="0" w:type="dxa"/>
              <w:right w:w="108" w:type="dxa"/>
            </w:tcMar>
            <w:vAlign w:val="center"/>
          </w:tcPr>
          <w:p w14:paraId="4DC2F6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中位数</w:t>
            </w:r>
          </w:p>
        </w:tc>
        <w:tc>
          <w:tcPr>
            <w:tcW w:w="499" w:type="pct"/>
            <w:tcMar>
              <w:top w:w="0" w:type="dxa"/>
              <w:left w:w="108" w:type="dxa"/>
              <w:bottom w:w="0" w:type="dxa"/>
              <w:right w:w="108" w:type="dxa"/>
            </w:tcMar>
            <w:vAlign w:val="center"/>
          </w:tcPr>
          <w:p w14:paraId="4B717F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 xml:space="preserve">8.90 </w:t>
            </w:r>
          </w:p>
        </w:tc>
        <w:tc>
          <w:tcPr>
            <w:tcW w:w="728" w:type="pct"/>
            <w:tcMar>
              <w:top w:w="0" w:type="dxa"/>
              <w:left w:w="108" w:type="dxa"/>
              <w:bottom w:w="0" w:type="dxa"/>
              <w:right w:w="108" w:type="dxa"/>
            </w:tcMar>
            <w:vAlign w:val="center"/>
          </w:tcPr>
          <w:p w14:paraId="5C2639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12.87</w:t>
            </w:r>
          </w:p>
        </w:tc>
      </w:tr>
      <w:tr w:rsidR="00EB3B4C" w:rsidRPr="00DA3766" w14:paraId="16FECB80" w14:textId="77777777" w:rsidTr="00DA3766">
        <w:trPr>
          <w:trHeight w:val="397"/>
          <w:jc w:val="center"/>
        </w:trPr>
        <w:tc>
          <w:tcPr>
            <w:tcW w:w="3773" w:type="pct"/>
            <w:gridSpan w:val="5"/>
            <w:tcMar>
              <w:top w:w="0" w:type="dxa"/>
              <w:left w:w="108" w:type="dxa"/>
              <w:bottom w:w="0" w:type="dxa"/>
              <w:right w:w="108" w:type="dxa"/>
            </w:tcMar>
            <w:vAlign w:val="center"/>
          </w:tcPr>
          <w:p w14:paraId="2DD069B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本次交易</w:t>
            </w:r>
          </w:p>
        </w:tc>
        <w:tc>
          <w:tcPr>
            <w:tcW w:w="499" w:type="pct"/>
            <w:tcMar>
              <w:top w:w="0" w:type="dxa"/>
              <w:left w:w="108" w:type="dxa"/>
              <w:bottom w:w="0" w:type="dxa"/>
              <w:right w:w="108" w:type="dxa"/>
            </w:tcMar>
            <w:vAlign w:val="center"/>
          </w:tcPr>
          <w:p w14:paraId="2F73FB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7.47</w:t>
            </w:r>
          </w:p>
        </w:tc>
        <w:tc>
          <w:tcPr>
            <w:tcW w:w="728" w:type="pct"/>
            <w:tcMar>
              <w:top w:w="0" w:type="dxa"/>
              <w:left w:w="108" w:type="dxa"/>
              <w:bottom w:w="0" w:type="dxa"/>
              <w:right w:w="108" w:type="dxa"/>
            </w:tcMar>
            <w:vAlign w:val="center"/>
          </w:tcPr>
          <w:p w14:paraId="0F825B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13.91</w:t>
            </w:r>
          </w:p>
        </w:tc>
      </w:tr>
    </w:tbl>
    <w:p w14:paraId="47D1A579"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1</w:t>
      </w:r>
      <w:r w:rsidRPr="00DA3766">
        <w:rPr>
          <w:rFonts w:ascii="Times New Roman" w:hAnsi="Times New Roman" w:cs="Times New Roman"/>
          <w:bCs/>
          <w:sz w:val="21"/>
        </w:rPr>
        <w:t>：艾普阳深圳可比交易案例市净率根据交易对价对应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年末净资产计算，市盈率根据交易对价对应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年度净利润计算；</w:t>
      </w:r>
    </w:p>
    <w:p w14:paraId="50C5E0BB"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2</w:t>
      </w:r>
      <w:r w:rsidRPr="00DA3766">
        <w:rPr>
          <w:rFonts w:ascii="Times New Roman" w:hAnsi="Times New Roman" w:cs="Times New Roman"/>
          <w:bCs/>
          <w:sz w:val="21"/>
        </w:rPr>
        <w:t>：南京金鼎可比交易案例市净率根据交易对价对应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2023</w:t>
      </w:r>
      <w:r w:rsidRPr="00DA3766">
        <w:rPr>
          <w:rFonts w:ascii="Times New Roman" w:hAnsi="Times New Roman" w:cs="Times New Roman"/>
          <w:bCs/>
          <w:sz w:val="21"/>
        </w:rPr>
        <w:t>年末归属于母公司所有者权益计算，静态市盈率根据交易对价对应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2023</w:t>
      </w:r>
      <w:r w:rsidRPr="00DA3766">
        <w:rPr>
          <w:rFonts w:ascii="Times New Roman" w:hAnsi="Times New Roman" w:cs="Times New Roman"/>
          <w:bCs/>
          <w:sz w:val="21"/>
        </w:rPr>
        <w:t>年归属于母公司所有者的净利润计算；</w:t>
      </w:r>
    </w:p>
    <w:p w14:paraId="524B549A"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3</w:t>
      </w:r>
      <w:r w:rsidRPr="00DA3766">
        <w:rPr>
          <w:rFonts w:ascii="Times New Roman" w:hAnsi="Times New Roman" w:cs="Times New Roman"/>
          <w:bCs/>
          <w:sz w:val="21"/>
        </w:rPr>
        <w:t>：普世科技可比交易案例市净率根据交易对价对应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w:t>
      </w:r>
      <w:r w:rsidRPr="00DA3766">
        <w:rPr>
          <w:rFonts w:ascii="Times New Roman" w:hAnsi="Times New Roman" w:cs="Times New Roman"/>
          <w:bCs/>
          <w:sz w:val="21"/>
        </w:rPr>
        <w:t>6</w:t>
      </w:r>
      <w:r w:rsidRPr="00DA3766">
        <w:rPr>
          <w:rFonts w:ascii="Times New Roman" w:hAnsi="Times New Roman" w:cs="Times New Roman"/>
          <w:bCs/>
          <w:sz w:val="21"/>
        </w:rPr>
        <w:t>月末净资产计算，市盈率根据交易对价对应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2021</w:t>
      </w:r>
      <w:r w:rsidRPr="00DA3766">
        <w:rPr>
          <w:rFonts w:ascii="Times New Roman" w:hAnsi="Times New Roman" w:cs="Times New Roman"/>
          <w:bCs/>
          <w:sz w:val="21"/>
        </w:rPr>
        <w:t>年度净利润计算；</w:t>
      </w:r>
    </w:p>
    <w:p w14:paraId="2EF97CA6"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4</w:t>
      </w:r>
      <w:r w:rsidRPr="00DA3766">
        <w:rPr>
          <w:rFonts w:ascii="Times New Roman" w:hAnsi="Times New Roman" w:cs="Times New Roman"/>
          <w:bCs/>
          <w:sz w:val="21"/>
        </w:rPr>
        <w:t>：思迅软件可比交易案例市净率根据交易对价对应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2024</w:t>
      </w:r>
      <w:r w:rsidRPr="00DA3766">
        <w:rPr>
          <w:rFonts w:ascii="Times New Roman" w:hAnsi="Times New Roman" w:cs="Times New Roman"/>
          <w:bCs/>
          <w:sz w:val="21"/>
        </w:rPr>
        <w:t>年</w:t>
      </w:r>
      <w:r w:rsidRPr="00DA3766">
        <w:rPr>
          <w:rFonts w:ascii="Times New Roman" w:hAnsi="Times New Roman" w:cs="Times New Roman"/>
          <w:bCs/>
          <w:sz w:val="21"/>
        </w:rPr>
        <w:t>12</w:t>
      </w:r>
      <w:r w:rsidRPr="00DA3766">
        <w:rPr>
          <w:rFonts w:ascii="Times New Roman" w:hAnsi="Times New Roman" w:cs="Times New Roman"/>
          <w:bCs/>
          <w:sz w:val="21"/>
        </w:rPr>
        <w:t>月</w:t>
      </w:r>
      <w:r w:rsidRPr="00DA3766">
        <w:rPr>
          <w:rFonts w:ascii="Times New Roman" w:hAnsi="Times New Roman" w:cs="Times New Roman"/>
          <w:bCs/>
          <w:sz w:val="21"/>
        </w:rPr>
        <w:t>31</w:t>
      </w:r>
      <w:r w:rsidRPr="00DA3766">
        <w:rPr>
          <w:rFonts w:ascii="Times New Roman" w:hAnsi="Times New Roman" w:cs="Times New Roman"/>
          <w:bCs/>
          <w:sz w:val="21"/>
        </w:rPr>
        <w:t>日归属于母公司所有者权益计算，市盈率根据交易对价对应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2024</w:t>
      </w:r>
      <w:r w:rsidRPr="00DA3766">
        <w:rPr>
          <w:rFonts w:ascii="Times New Roman" w:hAnsi="Times New Roman" w:cs="Times New Roman"/>
          <w:bCs/>
          <w:sz w:val="21"/>
        </w:rPr>
        <w:t>年度归属于母公司所有者的净利润计算；</w:t>
      </w:r>
    </w:p>
    <w:p w14:paraId="342FCAF1"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lastRenderedPageBreak/>
        <w:t>注</w:t>
      </w:r>
      <w:r w:rsidRPr="00DA3766">
        <w:rPr>
          <w:rFonts w:ascii="Times New Roman" w:hAnsi="Times New Roman" w:cs="Times New Roman"/>
          <w:bCs/>
          <w:sz w:val="21"/>
        </w:rPr>
        <w:t>5</w:t>
      </w:r>
      <w:r w:rsidRPr="00DA3766">
        <w:rPr>
          <w:rFonts w:ascii="Times New Roman" w:hAnsi="Times New Roman" w:cs="Times New Roman"/>
          <w:bCs/>
          <w:sz w:val="21"/>
        </w:rPr>
        <w:t>：标的公司市净率</w:t>
      </w:r>
      <w:r w:rsidRPr="00DA3766">
        <w:rPr>
          <w:rFonts w:ascii="Times New Roman" w:hAnsi="Times New Roman" w:cs="Times New Roman"/>
          <w:bCs/>
          <w:sz w:val="21"/>
        </w:rPr>
        <w:t>=</w:t>
      </w:r>
      <w:r w:rsidRPr="00DA3766">
        <w:rPr>
          <w:rFonts w:ascii="Times New Roman" w:hAnsi="Times New Roman" w:cs="Times New Roman"/>
          <w:bCs/>
          <w:sz w:val="21"/>
        </w:rPr>
        <w:t>本次交易对价对应</w:t>
      </w:r>
      <w:r w:rsidRPr="00DA3766">
        <w:rPr>
          <w:rFonts w:ascii="Times New Roman" w:hAnsi="Times New Roman" w:cs="Times New Roman"/>
          <w:bCs/>
          <w:sz w:val="21"/>
        </w:rPr>
        <w:t>100%</w:t>
      </w:r>
      <w:r w:rsidRPr="00DA3766">
        <w:rPr>
          <w:rFonts w:ascii="Times New Roman" w:hAnsi="Times New Roman" w:cs="Times New Roman"/>
          <w:bCs/>
          <w:sz w:val="21"/>
        </w:rPr>
        <w:t>股权作价</w:t>
      </w:r>
      <w:r w:rsidRPr="00DA3766">
        <w:rPr>
          <w:rFonts w:ascii="Times New Roman" w:hAnsi="Times New Roman" w:cs="Times New Roman"/>
          <w:bCs/>
          <w:sz w:val="21"/>
        </w:rPr>
        <w:t>/2025</w:t>
      </w:r>
      <w:r w:rsidRPr="00DA3766">
        <w:rPr>
          <w:rFonts w:ascii="Times New Roman" w:hAnsi="Times New Roman" w:cs="Times New Roman"/>
          <w:bCs/>
          <w:sz w:val="21"/>
        </w:rPr>
        <w:t>年</w:t>
      </w:r>
      <w:r w:rsidRPr="00DA3766">
        <w:rPr>
          <w:rFonts w:ascii="Times New Roman" w:hAnsi="Times New Roman" w:cs="Times New Roman"/>
          <w:bCs/>
          <w:sz w:val="21"/>
        </w:rPr>
        <w:t>6</w:t>
      </w:r>
      <w:r w:rsidRPr="00DA3766">
        <w:rPr>
          <w:rFonts w:ascii="Times New Roman" w:hAnsi="Times New Roman" w:cs="Times New Roman"/>
          <w:bCs/>
          <w:sz w:val="21"/>
        </w:rPr>
        <w:t>月</w:t>
      </w:r>
      <w:r w:rsidRPr="00DA3766">
        <w:rPr>
          <w:rFonts w:ascii="Times New Roman" w:hAnsi="Times New Roman" w:cs="Times New Roman"/>
          <w:bCs/>
          <w:sz w:val="21"/>
        </w:rPr>
        <w:t>30</w:t>
      </w:r>
      <w:r w:rsidRPr="00DA3766">
        <w:rPr>
          <w:rFonts w:ascii="Times New Roman" w:hAnsi="Times New Roman" w:cs="Times New Roman"/>
          <w:bCs/>
          <w:sz w:val="21"/>
        </w:rPr>
        <w:t>日归属于母公司所有者权益；标的公司市盈率</w:t>
      </w:r>
      <w:r w:rsidRPr="00DA3766">
        <w:rPr>
          <w:rFonts w:ascii="Times New Roman" w:hAnsi="Times New Roman" w:cs="Times New Roman"/>
          <w:bCs/>
          <w:sz w:val="21"/>
        </w:rPr>
        <w:t>=</w:t>
      </w:r>
      <w:r w:rsidRPr="00DA3766">
        <w:rPr>
          <w:rFonts w:ascii="Times New Roman" w:hAnsi="Times New Roman" w:cs="Times New Roman"/>
          <w:bCs/>
          <w:sz w:val="21"/>
        </w:rPr>
        <w:t>本次交易对价对应</w:t>
      </w:r>
      <w:r w:rsidRPr="00DA3766">
        <w:rPr>
          <w:rFonts w:ascii="Times New Roman" w:hAnsi="Times New Roman" w:cs="Times New Roman"/>
          <w:bCs/>
          <w:sz w:val="21"/>
        </w:rPr>
        <w:t>100%</w:t>
      </w:r>
      <w:r w:rsidRPr="00DA3766">
        <w:rPr>
          <w:rFonts w:ascii="Times New Roman" w:hAnsi="Times New Roman" w:cs="Times New Roman"/>
          <w:bCs/>
          <w:sz w:val="21"/>
        </w:rPr>
        <w:t>股权作价</w:t>
      </w:r>
      <w:r w:rsidRPr="00DA3766">
        <w:rPr>
          <w:rFonts w:ascii="Times New Roman" w:hAnsi="Times New Roman" w:cs="Times New Roman"/>
          <w:bCs/>
          <w:sz w:val="21"/>
        </w:rPr>
        <w:t>/2024</w:t>
      </w:r>
      <w:r w:rsidRPr="00DA3766">
        <w:rPr>
          <w:rFonts w:ascii="Times New Roman" w:hAnsi="Times New Roman" w:cs="Times New Roman"/>
          <w:bCs/>
          <w:sz w:val="21"/>
        </w:rPr>
        <w:t>年度归属于母公司所有者的净利润。</w:t>
      </w:r>
    </w:p>
    <w:p w14:paraId="288942D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经查询近期交易标的从事软件技术信息行业相关的交易案例，本次交易市盈率、市净率与同行业可比交易的平均值不存在较大差异，与标的资产具有可比性，能合理反映行业估值水平。</w:t>
      </w:r>
    </w:p>
    <w:p w14:paraId="34D5E9E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本次交易与可比公司估值存在差异的原因受企业规模、发展阶段及盈利水平影响，本次交易与可比交易案例估值水平不存在较大差异。可比公司、可比交易案例与标的资产具有一定可比性，能合理反映行业估值水平。</w:t>
      </w:r>
    </w:p>
    <w:p w14:paraId="0D7C0F4E"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十、补充披露标的资产最近三年内减资、股权转让的交易作价情况，并计算出对应标的资产的估值及增减值情况，与本次重组评估结果存在差异的原因及合理性</w:t>
      </w:r>
    </w:p>
    <w:p w14:paraId="6ED04B45" w14:textId="4439CCE5" w:rsidR="00EB3B4C" w:rsidRPr="00DA3766" w:rsidRDefault="00EB3B4C" w:rsidP="00DA3766">
      <w:pPr>
        <w:pStyle w:val="004"/>
        <w:spacing w:before="120" w:after="120"/>
        <w:ind w:firstLine="482"/>
      </w:pPr>
      <w:r w:rsidRPr="00DA3766">
        <w:t>1</w:t>
      </w:r>
      <w:r w:rsidRPr="00DA3766">
        <w:t>、标的资产最近三年内减资、股权转让的交易作价情况及交易作价</w:t>
      </w:r>
    </w:p>
    <w:tbl>
      <w:tblPr>
        <w:tblStyle w:val="afc"/>
        <w:tblW w:w="6384" w:type="pct"/>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476"/>
        <w:gridCol w:w="996"/>
        <w:gridCol w:w="1170"/>
        <w:gridCol w:w="1224"/>
        <w:gridCol w:w="1276"/>
        <w:gridCol w:w="1638"/>
        <w:gridCol w:w="2108"/>
        <w:gridCol w:w="2001"/>
      </w:tblGrid>
      <w:tr w:rsidR="00847360" w:rsidRPr="00DA3766" w14:paraId="0F0E9264" w14:textId="77777777" w:rsidTr="00635015">
        <w:trPr>
          <w:trHeight w:val="397"/>
          <w:tblHeader/>
          <w:jc w:val="center"/>
        </w:trPr>
        <w:tc>
          <w:tcPr>
            <w:tcW w:w="218" w:type="pct"/>
            <w:tcMar>
              <w:top w:w="0" w:type="dxa"/>
              <w:left w:w="108" w:type="dxa"/>
              <w:bottom w:w="0" w:type="dxa"/>
              <w:right w:w="108" w:type="dxa"/>
            </w:tcMar>
            <w:vAlign w:val="center"/>
          </w:tcPr>
          <w:p w14:paraId="47E47BE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序号</w:t>
            </w:r>
          </w:p>
        </w:tc>
        <w:tc>
          <w:tcPr>
            <w:tcW w:w="457" w:type="pct"/>
            <w:tcMar>
              <w:top w:w="0" w:type="dxa"/>
              <w:left w:w="108" w:type="dxa"/>
              <w:bottom w:w="0" w:type="dxa"/>
              <w:right w:w="108" w:type="dxa"/>
            </w:tcMar>
            <w:vAlign w:val="center"/>
          </w:tcPr>
          <w:p w14:paraId="76582416" w14:textId="77777777" w:rsidR="001076ED"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发生</w:t>
            </w:r>
          </w:p>
          <w:p w14:paraId="2371D457" w14:textId="2E6D57A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时间</w:t>
            </w:r>
          </w:p>
        </w:tc>
        <w:tc>
          <w:tcPr>
            <w:tcW w:w="537" w:type="pct"/>
            <w:tcMar>
              <w:top w:w="0" w:type="dxa"/>
              <w:left w:w="108" w:type="dxa"/>
              <w:bottom w:w="0" w:type="dxa"/>
              <w:right w:w="108" w:type="dxa"/>
            </w:tcMar>
            <w:vAlign w:val="center"/>
          </w:tcPr>
          <w:p w14:paraId="33C87EA8" w14:textId="77777777" w:rsidR="001076ED"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转让方</w:t>
            </w:r>
          </w:p>
          <w:p w14:paraId="60EBC068" w14:textId="2DAFB678"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w:t>
            </w:r>
            <w:r w:rsidRPr="00DA3766">
              <w:rPr>
                <w:rFonts w:ascii="Times New Roman" w:hAnsi="Times New Roman" w:cs="Times New Roman"/>
                <w:b/>
                <w:sz w:val="21"/>
                <w:szCs w:val="21"/>
              </w:rPr>
              <w:t>减资方</w:t>
            </w:r>
          </w:p>
        </w:tc>
        <w:tc>
          <w:tcPr>
            <w:tcW w:w="562" w:type="pct"/>
            <w:tcMar>
              <w:top w:w="0" w:type="dxa"/>
              <w:left w:w="108" w:type="dxa"/>
              <w:bottom w:w="0" w:type="dxa"/>
              <w:right w:w="108" w:type="dxa"/>
            </w:tcMar>
            <w:vAlign w:val="center"/>
          </w:tcPr>
          <w:p w14:paraId="4F41357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受让方</w:t>
            </w:r>
          </w:p>
        </w:tc>
        <w:tc>
          <w:tcPr>
            <w:tcW w:w="586" w:type="pct"/>
            <w:tcMar>
              <w:top w:w="0" w:type="dxa"/>
              <w:left w:w="108" w:type="dxa"/>
              <w:bottom w:w="0" w:type="dxa"/>
              <w:right w:w="108" w:type="dxa"/>
            </w:tcMar>
            <w:vAlign w:val="center"/>
          </w:tcPr>
          <w:p w14:paraId="13ACEE5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转让价款</w:t>
            </w:r>
            <w:r w:rsidRPr="00DA3766">
              <w:rPr>
                <w:rFonts w:ascii="Times New Roman" w:hAnsi="Times New Roman" w:cs="Times New Roman"/>
                <w:b/>
                <w:sz w:val="21"/>
                <w:szCs w:val="21"/>
              </w:rPr>
              <w:t>/</w:t>
            </w:r>
            <w:r w:rsidRPr="00DA3766">
              <w:rPr>
                <w:rFonts w:ascii="Times New Roman" w:hAnsi="Times New Roman" w:cs="Times New Roman"/>
                <w:b/>
                <w:sz w:val="21"/>
                <w:szCs w:val="21"/>
              </w:rPr>
              <w:t>减资价款（万元）</w:t>
            </w:r>
          </w:p>
        </w:tc>
        <w:tc>
          <w:tcPr>
            <w:tcW w:w="752" w:type="pct"/>
            <w:tcMar>
              <w:top w:w="0" w:type="dxa"/>
              <w:left w:w="108" w:type="dxa"/>
              <w:bottom w:w="0" w:type="dxa"/>
              <w:right w:w="108" w:type="dxa"/>
            </w:tcMar>
            <w:vAlign w:val="center"/>
          </w:tcPr>
          <w:p w14:paraId="3F16C770"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股份变动</w:t>
            </w:r>
          </w:p>
          <w:p w14:paraId="67EDF1A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的原因</w:t>
            </w:r>
          </w:p>
        </w:tc>
        <w:tc>
          <w:tcPr>
            <w:tcW w:w="968" w:type="pct"/>
            <w:tcMar>
              <w:top w:w="0" w:type="dxa"/>
              <w:left w:w="108" w:type="dxa"/>
              <w:bottom w:w="0" w:type="dxa"/>
              <w:right w:w="108" w:type="dxa"/>
            </w:tcMar>
            <w:vAlign w:val="center"/>
          </w:tcPr>
          <w:p w14:paraId="2E5C3E9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作价依据及合理性</w:t>
            </w:r>
          </w:p>
        </w:tc>
        <w:tc>
          <w:tcPr>
            <w:tcW w:w="919" w:type="pct"/>
            <w:vAlign w:val="center"/>
          </w:tcPr>
          <w:p w14:paraId="23DA76D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关联关系</w:t>
            </w:r>
          </w:p>
        </w:tc>
      </w:tr>
      <w:tr w:rsidR="00847360" w:rsidRPr="00DA3766" w14:paraId="34A73069" w14:textId="77777777" w:rsidTr="00635015">
        <w:trPr>
          <w:trHeight w:val="397"/>
          <w:jc w:val="center"/>
        </w:trPr>
        <w:tc>
          <w:tcPr>
            <w:tcW w:w="218" w:type="pct"/>
            <w:tcMar>
              <w:top w:w="0" w:type="dxa"/>
              <w:left w:w="108" w:type="dxa"/>
              <w:bottom w:w="0" w:type="dxa"/>
              <w:right w:w="108" w:type="dxa"/>
            </w:tcMar>
            <w:vAlign w:val="center"/>
          </w:tcPr>
          <w:p w14:paraId="3D12D03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457" w:type="pct"/>
            <w:tcMar>
              <w:top w:w="0" w:type="dxa"/>
              <w:left w:w="108" w:type="dxa"/>
              <w:bottom w:w="0" w:type="dxa"/>
              <w:right w:w="108" w:type="dxa"/>
            </w:tcMar>
            <w:vAlign w:val="center"/>
          </w:tcPr>
          <w:p w14:paraId="15CA5ED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0FA532E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蕙富皓玥</w:t>
            </w:r>
          </w:p>
        </w:tc>
        <w:tc>
          <w:tcPr>
            <w:tcW w:w="562" w:type="pct"/>
            <w:tcMar>
              <w:top w:w="0" w:type="dxa"/>
              <w:left w:w="108" w:type="dxa"/>
              <w:bottom w:w="0" w:type="dxa"/>
              <w:right w:w="108" w:type="dxa"/>
            </w:tcMar>
            <w:vAlign w:val="center"/>
          </w:tcPr>
          <w:p w14:paraId="4F9F794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33FB6D3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4,100.00</w:t>
            </w:r>
          </w:p>
        </w:tc>
        <w:tc>
          <w:tcPr>
            <w:tcW w:w="752" w:type="pct"/>
            <w:tcMar>
              <w:top w:w="0" w:type="dxa"/>
              <w:left w:w="108" w:type="dxa"/>
              <w:bottom w:w="0" w:type="dxa"/>
              <w:right w:w="108" w:type="dxa"/>
            </w:tcMar>
            <w:vAlign w:val="center"/>
          </w:tcPr>
          <w:p w14:paraId="4AE0FB8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341EF550" w14:textId="34F0977F"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22B5D48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E48417A" w14:textId="77777777" w:rsidTr="00635015">
        <w:trPr>
          <w:trHeight w:val="397"/>
          <w:jc w:val="center"/>
        </w:trPr>
        <w:tc>
          <w:tcPr>
            <w:tcW w:w="218" w:type="pct"/>
            <w:tcMar>
              <w:top w:w="0" w:type="dxa"/>
              <w:left w:w="108" w:type="dxa"/>
              <w:bottom w:w="0" w:type="dxa"/>
              <w:right w:w="108" w:type="dxa"/>
            </w:tcMar>
            <w:vAlign w:val="center"/>
          </w:tcPr>
          <w:p w14:paraId="0CF8FF2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457" w:type="pct"/>
            <w:tcMar>
              <w:top w:w="0" w:type="dxa"/>
              <w:left w:w="108" w:type="dxa"/>
              <w:bottom w:w="0" w:type="dxa"/>
              <w:right w:w="108" w:type="dxa"/>
            </w:tcMar>
            <w:vAlign w:val="center"/>
          </w:tcPr>
          <w:p w14:paraId="4761D1F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0EC1A7B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汇垠众富</w:t>
            </w:r>
          </w:p>
        </w:tc>
        <w:tc>
          <w:tcPr>
            <w:tcW w:w="562" w:type="pct"/>
            <w:tcMar>
              <w:top w:w="0" w:type="dxa"/>
              <w:left w:w="108" w:type="dxa"/>
              <w:bottom w:w="0" w:type="dxa"/>
              <w:right w:w="108" w:type="dxa"/>
            </w:tcMar>
            <w:vAlign w:val="center"/>
          </w:tcPr>
          <w:p w14:paraId="364AB71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6B5E06D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400.00</w:t>
            </w:r>
          </w:p>
        </w:tc>
        <w:tc>
          <w:tcPr>
            <w:tcW w:w="752" w:type="pct"/>
            <w:tcMar>
              <w:top w:w="0" w:type="dxa"/>
              <w:left w:w="108" w:type="dxa"/>
              <w:bottom w:w="0" w:type="dxa"/>
              <w:right w:w="108" w:type="dxa"/>
            </w:tcMar>
            <w:vAlign w:val="center"/>
          </w:tcPr>
          <w:p w14:paraId="708D0FD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6EA6D6F2" w14:textId="5ADD93DF"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1190E25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AAD34AB" w14:textId="77777777" w:rsidTr="00635015">
        <w:trPr>
          <w:trHeight w:val="397"/>
          <w:jc w:val="center"/>
        </w:trPr>
        <w:tc>
          <w:tcPr>
            <w:tcW w:w="218" w:type="pct"/>
            <w:tcMar>
              <w:top w:w="0" w:type="dxa"/>
              <w:left w:w="108" w:type="dxa"/>
              <w:bottom w:w="0" w:type="dxa"/>
              <w:right w:w="108" w:type="dxa"/>
            </w:tcMar>
            <w:vAlign w:val="center"/>
          </w:tcPr>
          <w:p w14:paraId="3504DAA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457" w:type="pct"/>
            <w:tcMar>
              <w:top w:w="0" w:type="dxa"/>
              <w:left w:w="108" w:type="dxa"/>
              <w:bottom w:w="0" w:type="dxa"/>
              <w:right w:w="108" w:type="dxa"/>
            </w:tcMar>
            <w:vAlign w:val="center"/>
          </w:tcPr>
          <w:p w14:paraId="16454A4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7B3E76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中信证券</w:t>
            </w:r>
          </w:p>
        </w:tc>
        <w:tc>
          <w:tcPr>
            <w:tcW w:w="562" w:type="pct"/>
            <w:tcMar>
              <w:top w:w="0" w:type="dxa"/>
              <w:left w:w="108" w:type="dxa"/>
              <w:bottom w:w="0" w:type="dxa"/>
              <w:right w:w="108" w:type="dxa"/>
            </w:tcMar>
            <w:vAlign w:val="center"/>
          </w:tcPr>
          <w:p w14:paraId="265BCD9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2AEB3F1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5,000.00</w:t>
            </w:r>
          </w:p>
        </w:tc>
        <w:tc>
          <w:tcPr>
            <w:tcW w:w="752" w:type="pct"/>
            <w:tcMar>
              <w:top w:w="0" w:type="dxa"/>
              <w:left w:w="108" w:type="dxa"/>
              <w:bottom w:w="0" w:type="dxa"/>
              <w:right w:w="108" w:type="dxa"/>
            </w:tcMar>
            <w:vAlign w:val="center"/>
          </w:tcPr>
          <w:p w14:paraId="22BA6BA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64C03A0F" w14:textId="34671865"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3D80363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B02C91D" w14:textId="77777777" w:rsidTr="00635015">
        <w:trPr>
          <w:trHeight w:val="397"/>
          <w:jc w:val="center"/>
        </w:trPr>
        <w:tc>
          <w:tcPr>
            <w:tcW w:w="218" w:type="pct"/>
            <w:tcMar>
              <w:top w:w="0" w:type="dxa"/>
              <w:left w:w="108" w:type="dxa"/>
              <w:bottom w:w="0" w:type="dxa"/>
              <w:right w:w="108" w:type="dxa"/>
            </w:tcMar>
            <w:vAlign w:val="center"/>
          </w:tcPr>
          <w:p w14:paraId="61CA900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457" w:type="pct"/>
            <w:tcMar>
              <w:top w:w="0" w:type="dxa"/>
              <w:left w:w="108" w:type="dxa"/>
              <w:bottom w:w="0" w:type="dxa"/>
              <w:right w:w="108" w:type="dxa"/>
            </w:tcMar>
            <w:vAlign w:val="center"/>
          </w:tcPr>
          <w:p w14:paraId="3303A1BA"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2D601FD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睿信创投</w:t>
            </w:r>
          </w:p>
        </w:tc>
        <w:tc>
          <w:tcPr>
            <w:tcW w:w="562" w:type="pct"/>
            <w:tcMar>
              <w:top w:w="0" w:type="dxa"/>
              <w:left w:w="108" w:type="dxa"/>
              <w:bottom w:w="0" w:type="dxa"/>
              <w:right w:w="108" w:type="dxa"/>
            </w:tcMar>
            <w:vAlign w:val="center"/>
          </w:tcPr>
          <w:p w14:paraId="5BB2F2B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7B17493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1,000.00</w:t>
            </w:r>
          </w:p>
        </w:tc>
        <w:tc>
          <w:tcPr>
            <w:tcW w:w="752" w:type="pct"/>
            <w:tcMar>
              <w:top w:w="0" w:type="dxa"/>
              <w:left w:w="108" w:type="dxa"/>
              <w:bottom w:w="0" w:type="dxa"/>
              <w:right w:w="108" w:type="dxa"/>
            </w:tcMar>
            <w:vAlign w:val="center"/>
          </w:tcPr>
          <w:p w14:paraId="7047BF6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0B87A53F" w14:textId="7172F1A4"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6DDB240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3B69DBEE" w14:textId="77777777" w:rsidTr="00635015">
        <w:trPr>
          <w:trHeight w:val="397"/>
          <w:jc w:val="center"/>
        </w:trPr>
        <w:tc>
          <w:tcPr>
            <w:tcW w:w="218" w:type="pct"/>
            <w:tcMar>
              <w:top w:w="0" w:type="dxa"/>
              <w:left w:w="108" w:type="dxa"/>
              <w:bottom w:w="0" w:type="dxa"/>
              <w:right w:w="108" w:type="dxa"/>
            </w:tcMar>
            <w:vAlign w:val="center"/>
          </w:tcPr>
          <w:p w14:paraId="04EA0E9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457" w:type="pct"/>
            <w:tcMar>
              <w:top w:w="0" w:type="dxa"/>
              <w:left w:w="108" w:type="dxa"/>
              <w:bottom w:w="0" w:type="dxa"/>
              <w:right w:w="108" w:type="dxa"/>
            </w:tcMar>
            <w:vAlign w:val="center"/>
          </w:tcPr>
          <w:p w14:paraId="223F75E7"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779AE2B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睿启创投</w:t>
            </w:r>
          </w:p>
        </w:tc>
        <w:tc>
          <w:tcPr>
            <w:tcW w:w="562" w:type="pct"/>
            <w:tcMar>
              <w:top w:w="0" w:type="dxa"/>
              <w:left w:w="108" w:type="dxa"/>
              <w:bottom w:w="0" w:type="dxa"/>
              <w:right w:w="108" w:type="dxa"/>
            </w:tcMar>
            <w:vAlign w:val="center"/>
          </w:tcPr>
          <w:p w14:paraId="0BF8E22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66097B5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1,000.00</w:t>
            </w:r>
          </w:p>
        </w:tc>
        <w:tc>
          <w:tcPr>
            <w:tcW w:w="752" w:type="pct"/>
            <w:tcMar>
              <w:top w:w="0" w:type="dxa"/>
              <w:left w:w="108" w:type="dxa"/>
              <w:bottom w:w="0" w:type="dxa"/>
              <w:right w:w="108" w:type="dxa"/>
            </w:tcMar>
            <w:vAlign w:val="center"/>
          </w:tcPr>
          <w:p w14:paraId="2C781C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16EDE21E" w14:textId="34949C8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3F0845C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23290962" w14:textId="77777777" w:rsidTr="00635015">
        <w:trPr>
          <w:trHeight w:val="397"/>
          <w:jc w:val="center"/>
        </w:trPr>
        <w:tc>
          <w:tcPr>
            <w:tcW w:w="218" w:type="pct"/>
            <w:tcMar>
              <w:top w:w="0" w:type="dxa"/>
              <w:left w:w="108" w:type="dxa"/>
              <w:bottom w:w="0" w:type="dxa"/>
              <w:right w:w="108" w:type="dxa"/>
            </w:tcMar>
            <w:vAlign w:val="center"/>
          </w:tcPr>
          <w:p w14:paraId="6726FDD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6</w:t>
            </w:r>
          </w:p>
        </w:tc>
        <w:tc>
          <w:tcPr>
            <w:tcW w:w="457" w:type="pct"/>
            <w:tcMar>
              <w:top w:w="0" w:type="dxa"/>
              <w:left w:w="108" w:type="dxa"/>
              <w:bottom w:w="0" w:type="dxa"/>
              <w:right w:w="108" w:type="dxa"/>
            </w:tcMar>
            <w:vAlign w:val="center"/>
          </w:tcPr>
          <w:p w14:paraId="5DE627A1"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618B40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三七科技</w:t>
            </w:r>
          </w:p>
        </w:tc>
        <w:tc>
          <w:tcPr>
            <w:tcW w:w="562" w:type="pct"/>
            <w:tcMar>
              <w:top w:w="0" w:type="dxa"/>
              <w:left w:w="108" w:type="dxa"/>
              <w:bottom w:w="0" w:type="dxa"/>
              <w:right w:w="108" w:type="dxa"/>
            </w:tcMar>
            <w:vAlign w:val="center"/>
          </w:tcPr>
          <w:p w14:paraId="363A2A1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706E700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600.00</w:t>
            </w:r>
          </w:p>
        </w:tc>
        <w:tc>
          <w:tcPr>
            <w:tcW w:w="752" w:type="pct"/>
            <w:tcMar>
              <w:top w:w="0" w:type="dxa"/>
              <w:left w:w="108" w:type="dxa"/>
              <w:bottom w:w="0" w:type="dxa"/>
              <w:right w:w="108" w:type="dxa"/>
            </w:tcMar>
            <w:vAlign w:val="center"/>
          </w:tcPr>
          <w:p w14:paraId="6024CE9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968" w:type="pct"/>
            <w:tcMar>
              <w:top w:w="0" w:type="dxa"/>
              <w:left w:w="108" w:type="dxa"/>
              <w:bottom w:w="0" w:type="dxa"/>
              <w:right w:w="108" w:type="dxa"/>
            </w:tcMar>
            <w:vAlign w:val="center"/>
          </w:tcPr>
          <w:p w14:paraId="7F1655B6" w14:textId="19BBBAF3"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16E325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2020139" w14:textId="77777777" w:rsidTr="00635015">
        <w:trPr>
          <w:trHeight w:val="397"/>
          <w:jc w:val="center"/>
        </w:trPr>
        <w:tc>
          <w:tcPr>
            <w:tcW w:w="218" w:type="pct"/>
            <w:tcMar>
              <w:top w:w="0" w:type="dxa"/>
              <w:left w:w="108" w:type="dxa"/>
              <w:bottom w:w="0" w:type="dxa"/>
              <w:right w:w="108" w:type="dxa"/>
            </w:tcMar>
            <w:vAlign w:val="center"/>
          </w:tcPr>
          <w:p w14:paraId="7859BC8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7</w:t>
            </w:r>
          </w:p>
        </w:tc>
        <w:tc>
          <w:tcPr>
            <w:tcW w:w="457" w:type="pct"/>
            <w:tcMar>
              <w:top w:w="0" w:type="dxa"/>
              <w:left w:w="108" w:type="dxa"/>
              <w:bottom w:w="0" w:type="dxa"/>
              <w:right w:w="108" w:type="dxa"/>
            </w:tcMar>
            <w:vAlign w:val="center"/>
          </w:tcPr>
          <w:p w14:paraId="25A295A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37" w:type="pct"/>
            <w:tcMar>
              <w:top w:w="0" w:type="dxa"/>
              <w:left w:w="108" w:type="dxa"/>
              <w:bottom w:w="0" w:type="dxa"/>
              <w:right w:w="108" w:type="dxa"/>
            </w:tcMar>
            <w:vAlign w:val="center"/>
          </w:tcPr>
          <w:p w14:paraId="695334C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三七乐心</w:t>
            </w:r>
          </w:p>
        </w:tc>
        <w:tc>
          <w:tcPr>
            <w:tcW w:w="562" w:type="pct"/>
            <w:tcMar>
              <w:top w:w="0" w:type="dxa"/>
              <w:left w:w="108" w:type="dxa"/>
              <w:bottom w:w="0" w:type="dxa"/>
              <w:right w:w="108" w:type="dxa"/>
            </w:tcMar>
            <w:vAlign w:val="center"/>
          </w:tcPr>
          <w:p w14:paraId="381D8B38"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6072A8A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1,900.00</w:t>
            </w:r>
          </w:p>
        </w:tc>
        <w:tc>
          <w:tcPr>
            <w:tcW w:w="752" w:type="pct"/>
            <w:tcMar>
              <w:top w:w="0" w:type="dxa"/>
              <w:left w:w="108" w:type="dxa"/>
              <w:bottom w:w="0" w:type="dxa"/>
              <w:right w:w="108" w:type="dxa"/>
            </w:tcMar>
            <w:vAlign w:val="center"/>
          </w:tcPr>
          <w:p w14:paraId="4F4A73B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968" w:type="pct"/>
            <w:tcMar>
              <w:top w:w="0" w:type="dxa"/>
              <w:left w:w="108" w:type="dxa"/>
              <w:bottom w:w="0" w:type="dxa"/>
              <w:right w:w="108" w:type="dxa"/>
            </w:tcMar>
            <w:vAlign w:val="center"/>
          </w:tcPr>
          <w:p w14:paraId="7646CDF5" w14:textId="712A0952"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155827F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0A3521F" w14:textId="77777777" w:rsidTr="00635015">
        <w:trPr>
          <w:trHeight w:val="397"/>
          <w:jc w:val="center"/>
        </w:trPr>
        <w:tc>
          <w:tcPr>
            <w:tcW w:w="218" w:type="pct"/>
            <w:tcMar>
              <w:top w:w="0" w:type="dxa"/>
              <w:left w:w="108" w:type="dxa"/>
              <w:bottom w:w="0" w:type="dxa"/>
              <w:right w:w="108" w:type="dxa"/>
            </w:tcMar>
            <w:vAlign w:val="center"/>
          </w:tcPr>
          <w:p w14:paraId="51F5E76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8</w:t>
            </w:r>
          </w:p>
        </w:tc>
        <w:tc>
          <w:tcPr>
            <w:tcW w:w="457" w:type="pct"/>
            <w:tcMar>
              <w:top w:w="0" w:type="dxa"/>
              <w:left w:w="108" w:type="dxa"/>
              <w:bottom w:w="0" w:type="dxa"/>
              <w:right w:w="108" w:type="dxa"/>
            </w:tcMar>
            <w:vAlign w:val="center"/>
          </w:tcPr>
          <w:p w14:paraId="61BA883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lastRenderedPageBreak/>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4C08C29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粤财基金</w:t>
            </w:r>
          </w:p>
        </w:tc>
        <w:tc>
          <w:tcPr>
            <w:tcW w:w="562" w:type="pct"/>
            <w:tcMar>
              <w:top w:w="0" w:type="dxa"/>
              <w:left w:w="108" w:type="dxa"/>
              <w:bottom w:w="0" w:type="dxa"/>
              <w:right w:w="108" w:type="dxa"/>
            </w:tcMar>
            <w:vAlign w:val="center"/>
          </w:tcPr>
          <w:p w14:paraId="071D99B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159F7F5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3,000.00</w:t>
            </w:r>
          </w:p>
        </w:tc>
        <w:tc>
          <w:tcPr>
            <w:tcW w:w="752" w:type="pct"/>
            <w:tcMar>
              <w:top w:w="0" w:type="dxa"/>
              <w:left w:w="108" w:type="dxa"/>
              <w:bottom w:w="0" w:type="dxa"/>
              <w:right w:w="108" w:type="dxa"/>
            </w:tcMar>
            <w:vAlign w:val="center"/>
          </w:tcPr>
          <w:p w14:paraId="43BFBCE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w:t>
            </w:r>
            <w:r w:rsidRPr="00DA3766">
              <w:rPr>
                <w:rFonts w:ascii="Times New Roman" w:hAnsi="Times New Roman" w:cs="Times New Roman"/>
                <w:bCs/>
                <w:sz w:val="21"/>
                <w:szCs w:val="21"/>
              </w:rPr>
              <w:lastRenderedPageBreak/>
              <w:t>投资计划，协商减资退出</w:t>
            </w:r>
          </w:p>
        </w:tc>
        <w:tc>
          <w:tcPr>
            <w:tcW w:w="968" w:type="pct"/>
            <w:tcMar>
              <w:top w:w="0" w:type="dxa"/>
              <w:left w:w="108" w:type="dxa"/>
              <w:bottom w:w="0" w:type="dxa"/>
              <w:right w:w="108" w:type="dxa"/>
            </w:tcMar>
            <w:vAlign w:val="center"/>
          </w:tcPr>
          <w:p w14:paraId="2DBF600F" w14:textId="3E307041"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w:t>
            </w:r>
            <w:r w:rsidRPr="00DA3766">
              <w:rPr>
                <w:rFonts w:ascii="Times New Roman" w:hAnsi="Times New Roman" w:cs="Times New Roman"/>
                <w:bCs/>
                <w:sz w:val="21"/>
                <w:szCs w:val="21"/>
              </w:rPr>
              <w:lastRenderedPageBreak/>
              <w:t>协商以取得成本退出</w:t>
            </w:r>
          </w:p>
        </w:tc>
        <w:tc>
          <w:tcPr>
            <w:tcW w:w="919" w:type="pct"/>
            <w:vAlign w:val="center"/>
          </w:tcPr>
          <w:p w14:paraId="21D4ED6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无</w:t>
            </w:r>
          </w:p>
        </w:tc>
      </w:tr>
      <w:tr w:rsidR="00847360" w:rsidRPr="00DA3766" w14:paraId="0A61474C" w14:textId="77777777" w:rsidTr="00635015">
        <w:trPr>
          <w:trHeight w:val="397"/>
          <w:jc w:val="center"/>
        </w:trPr>
        <w:tc>
          <w:tcPr>
            <w:tcW w:w="218" w:type="pct"/>
            <w:tcMar>
              <w:top w:w="0" w:type="dxa"/>
              <w:left w:w="108" w:type="dxa"/>
              <w:bottom w:w="0" w:type="dxa"/>
              <w:right w:w="108" w:type="dxa"/>
            </w:tcMar>
            <w:vAlign w:val="center"/>
          </w:tcPr>
          <w:p w14:paraId="1492255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9</w:t>
            </w:r>
          </w:p>
        </w:tc>
        <w:tc>
          <w:tcPr>
            <w:tcW w:w="457" w:type="pct"/>
            <w:tcMar>
              <w:top w:w="0" w:type="dxa"/>
              <w:left w:w="108" w:type="dxa"/>
              <w:bottom w:w="0" w:type="dxa"/>
              <w:right w:w="108" w:type="dxa"/>
            </w:tcMar>
            <w:vAlign w:val="center"/>
          </w:tcPr>
          <w:p w14:paraId="45B019C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FDAE1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粤财源合</w:t>
            </w:r>
          </w:p>
        </w:tc>
        <w:tc>
          <w:tcPr>
            <w:tcW w:w="562" w:type="pct"/>
            <w:tcMar>
              <w:top w:w="0" w:type="dxa"/>
              <w:left w:w="108" w:type="dxa"/>
              <w:bottom w:w="0" w:type="dxa"/>
              <w:right w:w="108" w:type="dxa"/>
            </w:tcMar>
            <w:vAlign w:val="center"/>
          </w:tcPr>
          <w:p w14:paraId="5B1AC48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2CF13632"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3,000.00</w:t>
            </w:r>
          </w:p>
        </w:tc>
        <w:tc>
          <w:tcPr>
            <w:tcW w:w="752" w:type="pct"/>
            <w:tcMar>
              <w:top w:w="0" w:type="dxa"/>
              <w:left w:w="108" w:type="dxa"/>
              <w:bottom w:w="0" w:type="dxa"/>
              <w:right w:w="108" w:type="dxa"/>
            </w:tcMar>
            <w:vAlign w:val="center"/>
          </w:tcPr>
          <w:p w14:paraId="1E243D2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6F4AB0AC" w14:textId="4CC4475A"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1F6896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53BA5095" w14:textId="77777777" w:rsidTr="00635015">
        <w:trPr>
          <w:trHeight w:val="397"/>
          <w:jc w:val="center"/>
        </w:trPr>
        <w:tc>
          <w:tcPr>
            <w:tcW w:w="218" w:type="pct"/>
            <w:tcMar>
              <w:top w:w="0" w:type="dxa"/>
              <w:left w:w="108" w:type="dxa"/>
              <w:bottom w:w="0" w:type="dxa"/>
              <w:right w:w="108" w:type="dxa"/>
            </w:tcMar>
            <w:vAlign w:val="center"/>
          </w:tcPr>
          <w:p w14:paraId="50F8EF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10</w:t>
            </w:r>
          </w:p>
        </w:tc>
        <w:tc>
          <w:tcPr>
            <w:tcW w:w="457" w:type="pct"/>
            <w:tcMar>
              <w:top w:w="0" w:type="dxa"/>
              <w:left w:w="108" w:type="dxa"/>
              <w:bottom w:w="0" w:type="dxa"/>
              <w:right w:w="108" w:type="dxa"/>
            </w:tcMar>
            <w:vAlign w:val="center"/>
          </w:tcPr>
          <w:p w14:paraId="7919FFB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7574D3E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依星伴月</w:t>
            </w:r>
          </w:p>
        </w:tc>
        <w:tc>
          <w:tcPr>
            <w:tcW w:w="562" w:type="pct"/>
            <w:tcMar>
              <w:top w:w="0" w:type="dxa"/>
              <w:left w:w="108" w:type="dxa"/>
              <w:bottom w:w="0" w:type="dxa"/>
              <w:right w:w="108" w:type="dxa"/>
            </w:tcMar>
            <w:vAlign w:val="center"/>
          </w:tcPr>
          <w:p w14:paraId="1DF2CBB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067D1FBE"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w:t>
            </w:r>
          </w:p>
        </w:tc>
        <w:tc>
          <w:tcPr>
            <w:tcW w:w="752" w:type="pct"/>
            <w:tcMar>
              <w:top w:w="0" w:type="dxa"/>
              <w:left w:w="108" w:type="dxa"/>
              <w:bottom w:w="0" w:type="dxa"/>
              <w:right w:w="108" w:type="dxa"/>
            </w:tcMar>
            <w:vAlign w:val="center"/>
          </w:tcPr>
          <w:p w14:paraId="301EE34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2C0178ED" w14:textId="5887F775"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4F88F20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3A7820F" w14:textId="77777777" w:rsidTr="00635015">
        <w:trPr>
          <w:trHeight w:val="397"/>
          <w:jc w:val="center"/>
        </w:trPr>
        <w:tc>
          <w:tcPr>
            <w:tcW w:w="218" w:type="pct"/>
            <w:tcMar>
              <w:top w:w="0" w:type="dxa"/>
              <w:left w:w="108" w:type="dxa"/>
              <w:bottom w:w="0" w:type="dxa"/>
              <w:right w:w="108" w:type="dxa"/>
            </w:tcMar>
            <w:vAlign w:val="center"/>
          </w:tcPr>
          <w:p w14:paraId="2DB2540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11</w:t>
            </w:r>
          </w:p>
        </w:tc>
        <w:tc>
          <w:tcPr>
            <w:tcW w:w="457" w:type="pct"/>
            <w:tcMar>
              <w:top w:w="0" w:type="dxa"/>
              <w:left w:w="108" w:type="dxa"/>
              <w:bottom w:w="0" w:type="dxa"/>
              <w:right w:w="108" w:type="dxa"/>
            </w:tcMar>
            <w:vAlign w:val="center"/>
          </w:tcPr>
          <w:p w14:paraId="2D4D3EB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76CE87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远方资本</w:t>
            </w:r>
          </w:p>
        </w:tc>
        <w:tc>
          <w:tcPr>
            <w:tcW w:w="562" w:type="pct"/>
            <w:tcMar>
              <w:top w:w="0" w:type="dxa"/>
              <w:left w:w="108" w:type="dxa"/>
              <w:bottom w:w="0" w:type="dxa"/>
              <w:right w:w="108" w:type="dxa"/>
            </w:tcMar>
            <w:vAlign w:val="center"/>
          </w:tcPr>
          <w:p w14:paraId="781E4D0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3D7F04A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627.00</w:t>
            </w:r>
          </w:p>
        </w:tc>
        <w:tc>
          <w:tcPr>
            <w:tcW w:w="752" w:type="pct"/>
            <w:tcMar>
              <w:top w:w="0" w:type="dxa"/>
              <w:left w:w="108" w:type="dxa"/>
              <w:bottom w:w="0" w:type="dxa"/>
              <w:right w:w="108" w:type="dxa"/>
            </w:tcMar>
            <w:vAlign w:val="center"/>
          </w:tcPr>
          <w:p w14:paraId="204422B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70F5CC08" w14:textId="63C7E34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20A136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66141C2" w14:textId="77777777" w:rsidTr="00635015">
        <w:trPr>
          <w:trHeight w:val="397"/>
          <w:jc w:val="center"/>
        </w:trPr>
        <w:tc>
          <w:tcPr>
            <w:tcW w:w="218" w:type="pct"/>
            <w:tcMar>
              <w:top w:w="0" w:type="dxa"/>
              <w:left w:w="108" w:type="dxa"/>
              <w:bottom w:w="0" w:type="dxa"/>
              <w:right w:w="108" w:type="dxa"/>
            </w:tcMar>
            <w:vAlign w:val="center"/>
          </w:tcPr>
          <w:p w14:paraId="2C35580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12</w:t>
            </w:r>
          </w:p>
        </w:tc>
        <w:tc>
          <w:tcPr>
            <w:tcW w:w="457" w:type="pct"/>
            <w:tcMar>
              <w:top w:w="0" w:type="dxa"/>
              <w:left w:w="108" w:type="dxa"/>
              <w:bottom w:w="0" w:type="dxa"/>
              <w:right w:w="108" w:type="dxa"/>
            </w:tcMar>
            <w:vAlign w:val="center"/>
          </w:tcPr>
          <w:p w14:paraId="157E276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23BAA31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三七乐心</w:t>
            </w:r>
          </w:p>
        </w:tc>
        <w:tc>
          <w:tcPr>
            <w:tcW w:w="562" w:type="pct"/>
            <w:tcMar>
              <w:top w:w="0" w:type="dxa"/>
              <w:left w:w="108" w:type="dxa"/>
              <w:bottom w:w="0" w:type="dxa"/>
              <w:right w:w="108" w:type="dxa"/>
            </w:tcMar>
            <w:vAlign w:val="center"/>
          </w:tcPr>
          <w:p w14:paraId="4A0F68D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4C35145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600.00</w:t>
            </w:r>
          </w:p>
        </w:tc>
        <w:tc>
          <w:tcPr>
            <w:tcW w:w="752" w:type="pct"/>
            <w:tcMar>
              <w:top w:w="0" w:type="dxa"/>
              <w:left w:w="108" w:type="dxa"/>
              <w:bottom w:w="0" w:type="dxa"/>
              <w:right w:w="108" w:type="dxa"/>
            </w:tcMar>
            <w:vAlign w:val="center"/>
          </w:tcPr>
          <w:p w14:paraId="5841943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66DF66A1" w14:textId="2F6B92E8"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2371233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F08CC63" w14:textId="77777777" w:rsidTr="00635015">
        <w:trPr>
          <w:trHeight w:val="397"/>
          <w:jc w:val="center"/>
        </w:trPr>
        <w:tc>
          <w:tcPr>
            <w:tcW w:w="218" w:type="pct"/>
            <w:tcMar>
              <w:top w:w="0" w:type="dxa"/>
              <w:left w:w="108" w:type="dxa"/>
              <w:bottom w:w="0" w:type="dxa"/>
              <w:right w:w="108" w:type="dxa"/>
            </w:tcMar>
            <w:vAlign w:val="center"/>
          </w:tcPr>
          <w:p w14:paraId="1C24999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13</w:t>
            </w:r>
          </w:p>
        </w:tc>
        <w:tc>
          <w:tcPr>
            <w:tcW w:w="457" w:type="pct"/>
            <w:tcMar>
              <w:top w:w="0" w:type="dxa"/>
              <w:left w:w="108" w:type="dxa"/>
              <w:bottom w:w="0" w:type="dxa"/>
              <w:right w:w="108" w:type="dxa"/>
            </w:tcMar>
            <w:vAlign w:val="center"/>
          </w:tcPr>
          <w:p w14:paraId="43247E0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6A03ECB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三七科技</w:t>
            </w:r>
          </w:p>
        </w:tc>
        <w:tc>
          <w:tcPr>
            <w:tcW w:w="562" w:type="pct"/>
            <w:tcMar>
              <w:top w:w="0" w:type="dxa"/>
              <w:left w:w="108" w:type="dxa"/>
              <w:bottom w:w="0" w:type="dxa"/>
              <w:right w:w="108" w:type="dxa"/>
            </w:tcMar>
            <w:vAlign w:val="center"/>
          </w:tcPr>
          <w:p w14:paraId="339E2E2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565E8FE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1,900.00</w:t>
            </w:r>
          </w:p>
        </w:tc>
        <w:tc>
          <w:tcPr>
            <w:tcW w:w="752" w:type="pct"/>
            <w:tcMar>
              <w:top w:w="0" w:type="dxa"/>
              <w:left w:w="108" w:type="dxa"/>
              <w:bottom w:w="0" w:type="dxa"/>
              <w:right w:w="108" w:type="dxa"/>
            </w:tcMar>
            <w:vAlign w:val="center"/>
          </w:tcPr>
          <w:p w14:paraId="52A222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3119045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投资机构与公司协商以取得成本退出</w:t>
            </w:r>
          </w:p>
        </w:tc>
        <w:tc>
          <w:tcPr>
            <w:tcW w:w="919" w:type="pct"/>
            <w:vAlign w:val="center"/>
          </w:tcPr>
          <w:p w14:paraId="27C9427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FAECD00" w14:textId="77777777" w:rsidTr="00635015">
        <w:trPr>
          <w:trHeight w:val="397"/>
          <w:jc w:val="center"/>
        </w:trPr>
        <w:tc>
          <w:tcPr>
            <w:tcW w:w="218" w:type="pct"/>
            <w:tcMar>
              <w:top w:w="0" w:type="dxa"/>
              <w:left w:w="108" w:type="dxa"/>
              <w:bottom w:w="0" w:type="dxa"/>
              <w:right w:w="108" w:type="dxa"/>
            </w:tcMar>
            <w:vAlign w:val="center"/>
          </w:tcPr>
          <w:p w14:paraId="3F95F26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14</w:t>
            </w:r>
          </w:p>
        </w:tc>
        <w:tc>
          <w:tcPr>
            <w:tcW w:w="457" w:type="pct"/>
            <w:tcMar>
              <w:top w:w="0" w:type="dxa"/>
              <w:left w:w="108" w:type="dxa"/>
              <w:bottom w:w="0" w:type="dxa"/>
              <w:right w:w="108" w:type="dxa"/>
            </w:tcMar>
            <w:vAlign w:val="center"/>
          </w:tcPr>
          <w:p w14:paraId="7680CD0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46476D0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科金二号</w:t>
            </w:r>
          </w:p>
        </w:tc>
        <w:tc>
          <w:tcPr>
            <w:tcW w:w="562" w:type="pct"/>
            <w:tcMar>
              <w:top w:w="0" w:type="dxa"/>
              <w:left w:w="108" w:type="dxa"/>
              <w:bottom w:w="0" w:type="dxa"/>
              <w:right w:w="108" w:type="dxa"/>
            </w:tcMar>
            <w:vAlign w:val="center"/>
          </w:tcPr>
          <w:p w14:paraId="3D2F52FB"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5B8F370E"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w:t>
            </w:r>
          </w:p>
        </w:tc>
        <w:tc>
          <w:tcPr>
            <w:tcW w:w="752" w:type="pct"/>
            <w:tcMar>
              <w:top w:w="0" w:type="dxa"/>
              <w:left w:w="108" w:type="dxa"/>
              <w:bottom w:w="0" w:type="dxa"/>
              <w:right w:w="108" w:type="dxa"/>
            </w:tcMar>
            <w:vAlign w:val="center"/>
          </w:tcPr>
          <w:p w14:paraId="5335052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341285C0" w14:textId="405F8A4B"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45A1EA8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9E3B3AF" w14:textId="77777777" w:rsidTr="00635015">
        <w:trPr>
          <w:trHeight w:val="397"/>
          <w:jc w:val="center"/>
        </w:trPr>
        <w:tc>
          <w:tcPr>
            <w:tcW w:w="218" w:type="pct"/>
            <w:tcMar>
              <w:top w:w="0" w:type="dxa"/>
              <w:left w:w="108" w:type="dxa"/>
              <w:bottom w:w="0" w:type="dxa"/>
              <w:right w:w="108" w:type="dxa"/>
            </w:tcMar>
            <w:vAlign w:val="center"/>
          </w:tcPr>
          <w:p w14:paraId="1FFB6D4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15</w:t>
            </w:r>
          </w:p>
        </w:tc>
        <w:tc>
          <w:tcPr>
            <w:tcW w:w="457" w:type="pct"/>
            <w:tcMar>
              <w:top w:w="0" w:type="dxa"/>
              <w:left w:w="108" w:type="dxa"/>
              <w:bottom w:w="0" w:type="dxa"/>
              <w:right w:w="108" w:type="dxa"/>
            </w:tcMar>
            <w:vAlign w:val="center"/>
          </w:tcPr>
          <w:p w14:paraId="0B9C8621"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ED2561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枣庄哈拿</w:t>
            </w:r>
          </w:p>
        </w:tc>
        <w:tc>
          <w:tcPr>
            <w:tcW w:w="562" w:type="pct"/>
            <w:tcMar>
              <w:top w:w="0" w:type="dxa"/>
              <w:left w:w="108" w:type="dxa"/>
              <w:bottom w:w="0" w:type="dxa"/>
              <w:right w:w="108" w:type="dxa"/>
            </w:tcMar>
            <w:vAlign w:val="center"/>
          </w:tcPr>
          <w:p w14:paraId="363D696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6D006A7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w:t>
            </w:r>
          </w:p>
        </w:tc>
        <w:tc>
          <w:tcPr>
            <w:tcW w:w="752" w:type="pct"/>
            <w:tcMar>
              <w:top w:w="0" w:type="dxa"/>
              <w:left w:w="108" w:type="dxa"/>
              <w:bottom w:w="0" w:type="dxa"/>
              <w:right w:w="108" w:type="dxa"/>
            </w:tcMar>
            <w:vAlign w:val="center"/>
          </w:tcPr>
          <w:p w14:paraId="13FCC5D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633EA3C4" w14:textId="57021BEE"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919" w:type="pct"/>
            <w:vAlign w:val="center"/>
          </w:tcPr>
          <w:p w14:paraId="751D8E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8BFB153" w14:textId="77777777" w:rsidTr="00635015">
        <w:trPr>
          <w:trHeight w:val="397"/>
          <w:jc w:val="center"/>
        </w:trPr>
        <w:tc>
          <w:tcPr>
            <w:tcW w:w="218" w:type="pct"/>
            <w:tcMar>
              <w:top w:w="0" w:type="dxa"/>
              <w:left w:w="108" w:type="dxa"/>
              <w:bottom w:w="0" w:type="dxa"/>
              <w:right w:w="108" w:type="dxa"/>
            </w:tcMar>
            <w:vAlign w:val="center"/>
          </w:tcPr>
          <w:p w14:paraId="7F70EC8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16</w:t>
            </w:r>
          </w:p>
        </w:tc>
        <w:tc>
          <w:tcPr>
            <w:tcW w:w="457" w:type="pct"/>
            <w:tcMar>
              <w:top w:w="0" w:type="dxa"/>
              <w:left w:w="108" w:type="dxa"/>
              <w:bottom w:w="0" w:type="dxa"/>
              <w:right w:w="108" w:type="dxa"/>
            </w:tcMar>
            <w:vAlign w:val="center"/>
          </w:tcPr>
          <w:p w14:paraId="2A2FF55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CE3672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璀璨远见</w:t>
            </w:r>
          </w:p>
        </w:tc>
        <w:tc>
          <w:tcPr>
            <w:tcW w:w="562" w:type="pct"/>
            <w:tcMar>
              <w:top w:w="0" w:type="dxa"/>
              <w:left w:w="108" w:type="dxa"/>
              <w:bottom w:w="0" w:type="dxa"/>
              <w:right w:w="108" w:type="dxa"/>
            </w:tcMar>
            <w:vAlign w:val="center"/>
          </w:tcPr>
          <w:p w14:paraId="0AF9935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23957B32"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1,440.00</w:t>
            </w:r>
          </w:p>
        </w:tc>
        <w:tc>
          <w:tcPr>
            <w:tcW w:w="752" w:type="pct"/>
            <w:tcMar>
              <w:top w:w="0" w:type="dxa"/>
              <w:left w:w="108" w:type="dxa"/>
              <w:bottom w:w="0" w:type="dxa"/>
              <w:right w:w="108" w:type="dxa"/>
            </w:tcMar>
            <w:vAlign w:val="center"/>
          </w:tcPr>
          <w:p w14:paraId="040D0CD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968" w:type="pct"/>
            <w:tcMar>
              <w:top w:w="0" w:type="dxa"/>
              <w:left w:w="108" w:type="dxa"/>
              <w:bottom w:w="0" w:type="dxa"/>
              <w:right w:w="108" w:type="dxa"/>
            </w:tcMar>
            <w:vAlign w:val="center"/>
          </w:tcPr>
          <w:p w14:paraId="03B12EFB" w14:textId="76EF5B30"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919" w:type="pct"/>
            <w:vAlign w:val="center"/>
          </w:tcPr>
          <w:p w14:paraId="3F63F52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D6B8355" w14:textId="77777777" w:rsidTr="00635015">
        <w:trPr>
          <w:trHeight w:val="397"/>
          <w:jc w:val="center"/>
        </w:trPr>
        <w:tc>
          <w:tcPr>
            <w:tcW w:w="218" w:type="pct"/>
            <w:tcMar>
              <w:top w:w="0" w:type="dxa"/>
              <w:left w:w="108" w:type="dxa"/>
              <w:bottom w:w="0" w:type="dxa"/>
              <w:right w:w="108" w:type="dxa"/>
            </w:tcMar>
            <w:vAlign w:val="center"/>
          </w:tcPr>
          <w:p w14:paraId="6D02C22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17</w:t>
            </w:r>
          </w:p>
        </w:tc>
        <w:tc>
          <w:tcPr>
            <w:tcW w:w="457" w:type="pct"/>
            <w:tcMar>
              <w:top w:w="0" w:type="dxa"/>
              <w:left w:w="108" w:type="dxa"/>
              <w:bottom w:w="0" w:type="dxa"/>
              <w:right w:w="108" w:type="dxa"/>
            </w:tcMar>
            <w:vAlign w:val="center"/>
          </w:tcPr>
          <w:p w14:paraId="1DDF1588"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1249C14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璀璨德商</w:t>
            </w:r>
          </w:p>
        </w:tc>
        <w:tc>
          <w:tcPr>
            <w:tcW w:w="562" w:type="pct"/>
            <w:tcMar>
              <w:top w:w="0" w:type="dxa"/>
              <w:left w:w="108" w:type="dxa"/>
              <w:bottom w:w="0" w:type="dxa"/>
              <w:right w:w="108" w:type="dxa"/>
            </w:tcMar>
            <w:vAlign w:val="center"/>
          </w:tcPr>
          <w:p w14:paraId="32885D1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346914B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467.8969</w:t>
            </w:r>
          </w:p>
        </w:tc>
        <w:tc>
          <w:tcPr>
            <w:tcW w:w="752" w:type="pct"/>
            <w:tcMar>
              <w:top w:w="0" w:type="dxa"/>
              <w:left w:w="108" w:type="dxa"/>
              <w:bottom w:w="0" w:type="dxa"/>
              <w:right w:w="108" w:type="dxa"/>
            </w:tcMar>
            <w:vAlign w:val="center"/>
          </w:tcPr>
          <w:p w14:paraId="036F9A4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968" w:type="pct"/>
            <w:tcMar>
              <w:top w:w="0" w:type="dxa"/>
              <w:left w:w="108" w:type="dxa"/>
              <w:bottom w:w="0" w:type="dxa"/>
              <w:right w:w="108" w:type="dxa"/>
            </w:tcMar>
            <w:vAlign w:val="center"/>
          </w:tcPr>
          <w:p w14:paraId="6B7F0902" w14:textId="4986B8B5"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919" w:type="pct"/>
            <w:vAlign w:val="center"/>
          </w:tcPr>
          <w:p w14:paraId="038982C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3C801DC3" w14:textId="77777777" w:rsidTr="00635015">
        <w:trPr>
          <w:trHeight w:val="397"/>
          <w:jc w:val="center"/>
        </w:trPr>
        <w:tc>
          <w:tcPr>
            <w:tcW w:w="218" w:type="pct"/>
            <w:tcMar>
              <w:top w:w="0" w:type="dxa"/>
              <w:left w:w="108" w:type="dxa"/>
              <w:bottom w:w="0" w:type="dxa"/>
              <w:right w:w="108" w:type="dxa"/>
            </w:tcMar>
            <w:vAlign w:val="center"/>
          </w:tcPr>
          <w:p w14:paraId="309A28B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18</w:t>
            </w:r>
          </w:p>
        </w:tc>
        <w:tc>
          <w:tcPr>
            <w:tcW w:w="457" w:type="pct"/>
            <w:tcMar>
              <w:top w:w="0" w:type="dxa"/>
              <w:left w:w="108" w:type="dxa"/>
              <w:bottom w:w="0" w:type="dxa"/>
              <w:right w:w="108" w:type="dxa"/>
            </w:tcMar>
            <w:vAlign w:val="center"/>
          </w:tcPr>
          <w:p w14:paraId="2518262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2A7D93A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林芝利新</w:t>
            </w:r>
          </w:p>
        </w:tc>
        <w:tc>
          <w:tcPr>
            <w:tcW w:w="562" w:type="pct"/>
            <w:tcMar>
              <w:top w:w="0" w:type="dxa"/>
              <w:left w:w="108" w:type="dxa"/>
              <w:bottom w:w="0" w:type="dxa"/>
              <w:right w:w="108" w:type="dxa"/>
            </w:tcMar>
            <w:vAlign w:val="center"/>
          </w:tcPr>
          <w:p w14:paraId="2E96E29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6D804C3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6,636.3633</w:t>
            </w:r>
          </w:p>
        </w:tc>
        <w:tc>
          <w:tcPr>
            <w:tcW w:w="752" w:type="pct"/>
            <w:tcMar>
              <w:top w:w="0" w:type="dxa"/>
              <w:left w:w="108" w:type="dxa"/>
              <w:bottom w:w="0" w:type="dxa"/>
              <w:right w:w="108" w:type="dxa"/>
            </w:tcMar>
            <w:vAlign w:val="center"/>
          </w:tcPr>
          <w:p w14:paraId="5A30B4F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968" w:type="pct"/>
            <w:tcMar>
              <w:top w:w="0" w:type="dxa"/>
              <w:left w:w="108" w:type="dxa"/>
              <w:bottom w:w="0" w:type="dxa"/>
              <w:right w:w="108" w:type="dxa"/>
            </w:tcMar>
            <w:vAlign w:val="center"/>
          </w:tcPr>
          <w:p w14:paraId="199A539A" w14:textId="67FD5550"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919" w:type="pct"/>
            <w:vAlign w:val="center"/>
          </w:tcPr>
          <w:p w14:paraId="5085EA73"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003F774" w14:textId="77777777" w:rsidTr="00635015">
        <w:trPr>
          <w:trHeight w:val="397"/>
          <w:jc w:val="center"/>
        </w:trPr>
        <w:tc>
          <w:tcPr>
            <w:tcW w:w="218" w:type="pct"/>
            <w:tcMar>
              <w:top w:w="0" w:type="dxa"/>
              <w:left w:w="108" w:type="dxa"/>
              <w:bottom w:w="0" w:type="dxa"/>
              <w:right w:w="108" w:type="dxa"/>
            </w:tcMar>
            <w:vAlign w:val="center"/>
          </w:tcPr>
          <w:p w14:paraId="1A028F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19</w:t>
            </w:r>
          </w:p>
        </w:tc>
        <w:tc>
          <w:tcPr>
            <w:tcW w:w="457" w:type="pct"/>
            <w:tcMar>
              <w:top w:w="0" w:type="dxa"/>
              <w:left w:w="108" w:type="dxa"/>
              <w:bottom w:w="0" w:type="dxa"/>
              <w:right w:w="108" w:type="dxa"/>
            </w:tcMar>
            <w:vAlign w:val="center"/>
          </w:tcPr>
          <w:p w14:paraId="6F46A8F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4CCD25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原本俱甲</w:t>
            </w:r>
          </w:p>
        </w:tc>
        <w:tc>
          <w:tcPr>
            <w:tcW w:w="562" w:type="pct"/>
            <w:tcMar>
              <w:top w:w="0" w:type="dxa"/>
              <w:left w:w="108" w:type="dxa"/>
              <w:bottom w:w="0" w:type="dxa"/>
              <w:right w:w="108" w:type="dxa"/>
            </w:tcMar>
            <w:vAlign w:val="center"/>
          </w:tcPr>
          <w:p w14:paraId="40AD251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璀璨远见</w:t>
            </w:r>
          </w:p>
        </w:tc>
        <w:tc>
          <w:tcPr>
            <w:tcW w:w="586" w:type="pct"/>
            <w:tcMar>
              <w:top w:w="0" w:type="dxa"/>
              <w:left w:w="108" w:type="dxa"/>
              <w:bottom w:w="0" w:type="dxa"/>
              <w:right w:w="108" w:type="dxa"/>
            </w:tcMar>
            <w:vAlign w:val="center"/>
          </w:tcPr>
          <w:p w14:paraId="4D75085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1,481.6</w:t>
            </w:r>
          </w:p>
        </w:tc>
        <w:tc>
          <w:tcPr>
            <w:tcW w:w="752" w:type="pct"/>
            <w:tcMar>
              <w:top w:w="0" w:type="dxa"/>
              <w:left w:w="108" w:type="dxa"/>
              <w:bottom w:w="0" w:type="dxa"/>
              <w:right w:w="108" w:type="dxa"/>
            </w:tcMar>
            <w:vAlign w:val="center"/>
          </w:tcPr>
          <w:p w14:paraId="0659E3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投资机构之间协商确定的股份转让</w:t>
            </w:r>
          </w:p>
        </w:tc>
        <w:tc>
          <w:tcPr>
            <w:tcW w:w="968" w:type="pct"/>
            <w:tcMar>
              <w:top w:w="0" w:type="dxa"/>
              <w:left w:w="108" w:type="dxa"/>
              <w:bottom w:w="0" w:type="dxa"/>
              <w:right w:w="108" w:type="dxa"/>
            </w:tcMar>
            <w:vAlign w:val="center"/>
          </w:tcPr>
          <w:p w14:paraId="417838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投资机构之间协商以取得成本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一定利息转让</w:t>
            </w:r>
          </w:p>
        </w:tc>
        <w:tc>
          <w:tcPr>
            <w:tcW w:w="919" w:type="pct"/>
            <w:vMerge w:val="restart"/>
            <w:vAlign w:val="center"/>
          </w:tcPr>
          <w:p w14:paraId="3C2DB19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璀璨远见与璀璨德商均受</w:t>
            </w:r>
            <w:hyperlink r:id="rId16" w:tgtFrame="https://www.qcc.com/firm/_blank" w:history="1">
              <w:r w:rsidRPr="00DA3766">
                <w:rPr>
                  <w:rFonts w:ascii="Times New Roman" w:hAnsi="Times New Roman" w:cs="Times New Roman"/>
                  <w:bCs/>
                  <w:sz w:val="21"/>
                  <w:szCs w:val="21"/>
                </w:rPr>
                <w:t>西藏泽泽创业投资管理有限公司</w:t>
              </w:r>
            </w:hyperlink>
            <w:r w:rsidRPr="00DA3766">
              <w:rPr>
                <w:rFonts w:ascii="Times New Roman" w:hAnsi="Times New Roman" w:cs="Times New Roman"/>
                <w:bCs/>
                <w:sz w:val="21"/>
                <w:szCs w:val="21"/>
              </w:rPr>
              <w:t>控制，原本俱甲原为西藏泽泽创业投资管理有限公司投资企业</w:t>
            </w:r>
          </w:p>
        </w:tc>
      </w:tr>
      <w:tr w:rsidR="00847360" w:rsidRPr="00DA3766" w14:paraId="6D570EF7" w14:textId="77777777" w:rsidTr="00635015">
        <w:trPr>
          <w:trHeight w:val="397"/>
          <w:jc w:val="center"/>
        </w:trPr>
        <w:tc>
          <w:tcPr>
            <w:tcW w:w="218" w:type="pct"/>
            <w:tcMar>
              <w:top w:w="0" w:type="dxa"/>
              <w:left w:w="108" w:type="dxa"/>
              <w:bottom w:w="0" w:type="dxa"/>
              <w:right w:w="108" w:type="dxa"/>
            </w:tcMar>
            <w:vAlign w:val="center"/>
          </w:tcPr>
          <w:p w14:paraId="7338FD0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w:t>
            </w:r>
          </w:p>
        </w:tc>
        <w:tc>
          <w:tcPr>
            <w:tcW w:w="457" w:type="pct"/>
            <w:tcMar>
              <w:top w:w="0" w:type="dxa"/>
              <w:left w:w="108" w:type="dxa"/>
              <w:bottom w:w="0" w:type="dxa"/>
              <w:right w:w="108" w:type="dxa"/>
            </w:tcMar>
            <w:vAlign w:val="center"/>
          </w:tcPr>
          <w:p w14:paraId="6C50A2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6C7248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原本俱甲</w:t>
            </w:r>
          </w:p>
        </w:tc>
        <w:tc>
          <w:tcPr>
            <w:tcW w:w="562" w:type="pct"/>
            <w:tcMar>
              <w:top w:w="0" w:type="dxa"/>
              <w:left w:w="108" w:type="dxa"/>
              <w:bottom w:w="0" w:type="dxa"/>
              <w:right w:w="108" w:type="dxa"/>
            </w:tcMar>
            <w:vAlign w:val="center"/>
          </w:tcPr>
          <w:p w14:paraId="774766D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璀璨德商</w:t>
            </w:r>
          </w:p>
        </w:tc>
        <w:tc>
          <w:tcPr>
            <w:tcW w:w="586" w:type="pct"/>
            <w:tcMar>
              <w:top w:w="0" w:type="dxa"/>
              <w:left w:w="108" w:type="dxa"/>
              <w:bottom w:w="0" w:type="dxa"/>
              <w:right w:w="108" w:type="dxa"/>
            </w:tcMar>
            <w:vAlign w:val="center"/>
          </w:tcPr>
          <w:p w14:paraId="09425D58"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467.8969</w:t>
            </w:r>
          </w:p>
        </w:tc>
        <w:tc>
          <w:tcPr>
            <w:tcW w:w="752" w:type="pct"/>
            <w:tcMar>
              <w:top w:w="0" w:type="dxa"/>
              <w:left w:w="108" w:type="dxa"/>
              <w:bottom w:w="0" w:type="dxa"/>
              <w:right w:w="108" w:type="dxa"/>
            </w:tcMar>
            <w:vAlign w:val="center"/>
          </w:tcPr>
          <w:p w14:paraId="733D54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投资机构之间协商确定的股份转让</w:t>
            </w:r>
          </w:p>
        </w:tc>
        <w:tc>
          <w:tcPr>
            <w:tcW w:w="968" w:type="pct"/>
            <w:tcMar>
              <w:top w:w="0" w:type="dxa"/>
              <w:left w:w="108" w:type="dxa"/>
              <w:bottom w:w="0" w:type="dxa"/>
              <w:right w:w="108" w:type="dxa"/>
            </w:tcMar>
            <w:vAlign w:val="center"/>
          </w:tcPr>
          <w:p w14:paraId="12E3702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投资机构之间协商以取得成本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一定利息转让</w:t>
            </w:r>
          </w:p>
        </w:tc>
        <w:tc>
          <w:tcPr>
            <w:tcW w:w="919" w:type="pct"/>
            <w:vMerge/>
            <w:vAlign w:val="center"/>
          </w:tcPr>
          <w:p w14:paraId="3A51C09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p>
        </w:tc>
      </w:tr>
      <w:tr w:rsidR="00847360" w:rsidRPr="00DA3766" w14:paraId="042AB45B" w14:textId="77777777" w:rsidTr="00635015">
        <w:trPr>
          <w:trHeight w:val="397"/>
          <w:jc w:val="center"/>
        </w:trPr>
        <w:tc>
          <w:tcPr>
            <w:tcW w:w="218" w:type="pct"/>
            <w:tcMar>
              <w:top w:w="0" w:type="dxa"/>
              <w:left w:w="108" w:type="dxa"/>
              <w:bottom w:w="0" w:type="dxa"/>
              <w:right w:w="108" w:type="dxa"/>
            </w:tcMar>
            <w:vAlign w:val="center"/>
          </w:tcPr>
          <w:p w14:paraId="3FE601F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21</w:t>
            </w:r>
          </w:p>
        </w:tc>
        <w:tc>
          <w:tcPr>
            <w:tcW w:w="457" w:type="pct"/>
            <w:tcMar>
              <w:top w:w="0" w:type="dxa"/>
              <w:left w:w="108" w:type="dxa"/>
              <w:bottom w:w="0" w:type="dxa"/>
              <w:right w:w="108" w:type="dxa"/>
            </w:tcMar>
            <w:vAlign w:val="center"/>
          </w:tcPr>
          <w:p w14:paraId="75E5E0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EF3DF6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金浦文创</w:t>
            </w:r>
          </w:p>
        </w:tc>
        <w:tc>
          <w:tcPr>
            <w:tcW w:w="562" w:type="pct"/>
            <w:tcMar>
              <w:top w:w="0" w:type="dxa"/>
              <w:left w:w="108" w:type="dxa"/>
              <w:bottom w:w="0" w:type="dxa"/>
              <w:right w:w="108" w:type="dxa"/>
            </w:tcMar>
            <w:vAlign w:val="center"/>
          </w:tcPr>
          <w:p w14:paraId="3CCD9E6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586" w:type="pct"/>
            <w:tcMar>
              <w:top w:w="0" w:type="dxa"/>
              <w:left w:w="108" w:type="dxa"/>
              <w:bottom w:w="0" w:type="dxa"/>
              <w:right w:w="108" w:type="dxa"/>
            </w:tcMar>
            <w:vAlign w:val="center"/>
          </w:tcPr>
          <w:p w14:paraId="37437DAF"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4,000.00</w:t>
            </w:r>
          </w:p>
        </w:tc>
        <w:tc>
          <w:tcPr>
            <w:tcW w:w="752" w:type="pct"/>
            <w:tcMar>
              <w:top w:w="0" w:type="dxa"/>
              <w:left w:w="108" w:type="dxa"/>
              <w:bottom w:w="0" w:type="dxa"/>
              <w:right w:w="108" w:type="dxa"/>
            </w:tcMar>
            <w:vAlign w:val="center"/>
          </w:tcPr>
          <w:p w14:paraId="4097727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968" w:type="pct"/>
            <w:tcMar>
              <w:top w:w="0" w:type="dxa"/>
              <w:left w:w="108" w:type="dxa"/>
              <w:bottom w:w="0" w:type="dxa"/>
              <w:right w:w="108" w:type="dxa"/>
            </w:tcMar>
            <w:vAlign w:val="center"/>
          </w:tcPr>
          <w:p w14:paraId="0D0F5684" w14:textId="2D2B724D"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919" w:type="pct"/>
            <w:vAlign w:val="center"/>
          </w:tcPr>
          <w:p w14:paraId="2076AF2A"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ADD92DC" w14:textId="77777777" w:rsidTr="00635015">
        <w:trPr>
          <w:trHeight w:val="397"/>
          <w:jc w:val="center"/>
        </w:trPr>
        <w:tc>
          <w:tcPr>
            <w:tcW w:w="218" w:type="pct"/>
            <w:tcMar>
              <w:top w:w="0" w:type="dxa"/>
              <w:left w:w="108" w:type="dxa"/>
              <w:bottom w:w="0" w:type="dxa"/>
              <w:right w:w="108" w:type="dxa"/>
            </w:tcMar>
            <w:vAlign w:val="center"/>
          </w:tcPr>
          <w:p w14:paraId="7555AF3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22</w:t>
            </w:r>
          </w:p>
        </w:tc>
        <w:tc>
          <w:tcPr>
            <w:tcW w:w="457" w:type="pct"/>
            <w:tcMar>
              <w:top w:w="0" w:type="dxa"/>
              <w:left w:w="108" w:type="dxa"/>
              <w:bottom w:w="0" w:type="dxa"/>
              <w:right w:w="108" w:type="dxa"/>
            </w:tcMar>
            <w:vAlign w:val="center"/>
          </w:tcPr>
          <w:p w14:paraId="732FDEF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E89B20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蜜芽宝贝</w:t>
            </w:r>
          </w:p>
        </w:tc>
        <w:tc>
          <w:tcPr>
            <w:tcW w:w="562" w:type="pct"/>
            <w:tcMar>
              <w:top w:w="0" w:type="dxa"/>
              <w:left w:w="108" w:type="dxa"/>
              <w:bottom w:w="0" w:type="dxa"/>
              <w:right w:w="108" w:type="dxa"/>
            </w:tcMar>
            <w:vAlign w:val="center"/>
          </w:tcPr>
          <w:p w14:paraId="537F799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杨裕雄</w:t>
            </w:r>
          </w:p>
        </w:tc>
        <w:tc>
          <w:tcPr>
            <w:tcW w:w="586" w:type="pct"/>
            <w:tcMar>
              <w:top w:w="0" w:type="dxa"/>
              <w:left w:w="108" w:type="dxa"/>
              <w:bottom w:w="0" w:type="dxa"/>
              <w:right w:w="108" w:type="dxa"/>
            </w:tcMar>
            <w:vAlign w:val="center"/>
          </w:tcPr>
          <w:p w14:paraId="5C68F89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195.00</w:t>
            </w:r>
          </w:p>
        </w:tc>
        <w:tc>
          <w:tcPr>
            <w:tcW w:w="752" w:type="pct"/>
            <w:tcMar>
              <w:top w:w="0" w:type="dxa"/>
              <w:left w:w="108" w:type="dxa"/>
              <w:bottom w:w="0" w:type="dxa"/>
              <w:right w:w="108" w:type="dxa"/>
            </w:tcMar>
            <w:vAlign w:val="center"/>
          </w:tcPr>
          <w:p w14:paraId="4E9E5FD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外部投资人之间协商转让</w:t>
            </w:r>
          </w:p>
        </w:tc>
        <w:tc>
          <w:tcPr>
            <w:tcW w:w="968" w:type="pct"/>
            <w:tcMar>
              <w:top w:w="0" w:type="dxa"/>
              <w:left w:w="108" w:type="dxa"/>
              <w:bottom w:w="0" w:type="dxa"/>
              <w:right w:w="108" w:type="dxa"/>
            </w:tcMar>
            <w:vAlign w:val="center"/>
          </w:tcPr>
          <w:p w14:paraId="2CD0DC88" w14:textId="4A83511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基于星云开物面临其他投资机构的对赌触</w:t>
            </w:r>
            <w:r w:rsidRPr="00DA3766">
              <w:rPr>
                <w:rFonts w:ascii="Times New Roman" w:hAnsi="Times New Roman" w:cs="Times New Roman"/>
                <w:sz w:val="21"/>
                <w:szCs w:val="21"/>
              </w:rPr>
              <w:lastRenderedPageBreak/>
              <w:t>发风险，双方以</w:t>
            </w:r>
            <w:r w:rsidR="00506CB2" w:rsidRPr="00DA3766">
              <w:rPr>
                <w:rFonts w:ascii="Times New Roman" w:hAnsi="Times New Roman" w:cs="Times New Roman"/>
                <w:bCs/>
                <w:sz w:val="21"/>
                <w:szCs w:val="21"/>
              </w:rPr>
              <w:t>标的</w:t>
            </w:r>
            <w:r w:rsidRPr="00DA3766">
              <w:rPr>
                <w:rFonts w:ascii="Times New Roman" w:hAnsi="Times New Roman" w:cs="Times New Roman"/>
                <w:sz w:val="21"/>
                <w:szCs w:val="21"/>
              </w:rPr>
              <w:t>公司净资产为基础协商确定价格</w:t>
            </w:r>
          </w:p>
        </w:tc>
        <w:tc>
          <w:tcPr>
            <w:tcW w:w="919" w:type="pct"/>
            <w:vAlign w:val="center"/>
          </w:tcPr>
          <w:p w14:paraId="63A9242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lastRenderedPageBreak/>
              <w:t>无</w:t>
            </w:r>
          </w:p>
        </w:tc>
      </w:tr>
      <w:tr w:rsidR="00847360" w:rsidRPr="00DA3766" w14:paraId="35BC10B9" w14:textId="77777777" w:rsidTr="00635015">
        <w:trPr>
          <w:trHeight w:val="397"/>
          <w:jc w:val="center"/>
        </w:trPr>
        <w:tc>
          <w:tcPr>
            <w:tcW w:w="218" w:type="pct"/>
            <w:tcMar>
              <w:top w:w="0" w:type="dxa"/>
              <w:left w:w="108" w:type="dxa"/>
              <w:bottom w:w="0" w:type="dxa"/>
              <w:right w:w="108" w:type="dxa"/>
            </w:tcMar>
            <w:vAlign w:val="center"/>
          </w:tcPr>
          <w:p w14:paraId="5157EAD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23</w:t>
            </w:r>
          </w:p>
        </w:tc>
        <w:tc>
          <w:tcPr>
            <w:tcW w:w="457" w:type="pct"/>
            <w:tcMar>
              <w:top w:w="0" w:type="dxa"/>
              <w:left w:w="108" w:type="dxa"/>
              <w:bottom w:w="0" w:type="dxa"/>
              <w:right w:w="108" w:type="dxa"/>
            </w:tcMar>
            <w:vAlign w:val="center"/>
          </w:tcPr>
          <w:p w14:paraId="34D85F8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6BD5340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562" w:type="pct"/>
            <w:tcMar>
              <w:top w:w="0" w:type="dxa"/>
              <w:left w:w="108" w:type="dxa"/>
              <w:bottom w:w="0" w:type="dxa"/>
              <w:right w:w="108" w:type="dxa"/>
            </w:tcMar>
            <w:vAlign w:val="center"/>
          </w:tcPr>
          <w:p w14:paraId="6D38D7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586" w:type="pct"/>
            <w:tcMar>
              <w:top w:w="0" w:type="dxa"/>
              <w:left w:w="108" w:type="dxa"/>
              <w:bottom w:w="0" w:type="dxa"/>
              <w:right w:w="108" w:type="dxa"/>
            </w:tcMar>
            <w:vAlign w:val="center"/>
          </w:tcPr>
          <w:p w14:paraId="38A3472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val="restart"/>
            <w:tcMar>
              <w:top w:w="0" w:type="dxa"/>
              <w:left w:w="108" w:type="dxa"/>
              <w:bottom w:w="0" w:type="dxa"/>
              <w:right w:w="108" w:type="dxa"/>
            </w:tcMar>
            <w:vAlign w:val="center"/>
          </w:tcPr>
          <w:p w14:paraId="21D91719" w14:textId="13A00894"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968" w:type="pct"/>
            <w:vMerge w:val="restart"/>
            <w:tcMar>
              <w:top w:w="0" w:type="dxa"/>
              <w:left w:w="108" w:type="dxa"/>
              <w:bottom w:w="0" w:type="dxa"/>
              <w:right w:w="108" w:type="dxa"/>
            </w:tcMar>
            <w:vAlign w:val="center"/>
          </w:tcPr>
          <w:p w14:paraId="2057E10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杨凯然持股由间接持股变为直接持股，其持有标的公司权益未发生实质变化，无需实际支付对价</w:t>
            </w:r>
          </w:p>
        </w:tc>
        <w:tc>
          <w:tcPr>
            <w:tcW w:w="919" w:type="pct"/>
            <w:vMerge w:val="restart"/>
            <w:vAlign w:val="center"/>
          </w:tcPr>
          <w:p w14:paraId="666116F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杨凯然系该等持股平台合伙人</w:t>
            </w:r>
          </w:p>
        </w:tc>
      </w:tr>
      <w:tr w:rsidR="00847360" w:rsidRPr="00DA3766" w14:paraId="5262A61B" w14:textId="77777777" w:rsidTr="00635015">
        <w:trPr>
          <w:trHeight w:val="397"/>
          <w:jc w:val="center"/>
        </w:trPr>
        <w:tc>
          <w:tcPr>
            <w:tcW w:w="218" w:type="pct"/>
            <w:tcMar>
              <w:top w:w="0" w:type="dxa"/>
              <w:left w:w="108" w:type="dxa"/>
              <w:bottom w:w="0" w:type="dxa"/>
              <w:right w:w="108" w:type="dxa"/>
            </w:tcMar>
            <w:vAlign w:val="center"/>
          </w:tcPr>
          <w:p w14:paraId="0ADA6C1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24</w:t>
            </w:r>
          </w:p>
        </w:tc>
        <w:tc>
          <w:tcPr>
            <w:tcW w:w="457" w:type="pct"/>
            <w:tcMar>
              <w:top w:w="0" w:type="dxa"/>
              <w:left w:w="108" w:type="dxa"/>
              <w:bottom w:w="0" w:type="dxa"/>
              <w:right w:w="108" w:type="dxa"/>
            </w:tcMar>
            <w:vAlign w:val="center"/>
          </w:tcPr>
          <w:p w14:paraId="787265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57A83A1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乐腾腾</w:t>
            </w:r>
          </w:p>
        </w:tc>
        <w:tc>
          <w:tcPr>
            <w:tcW w:w="562" w:type="pct"/>
            <w:tcMar>
              <w:top w:w="0" w:type="dxa"/>
              <w:left w:w="108" w:type="dxa"/>
              <w:bottom w:w="0" w:type="dxa"/>
              <w:right w:w="108" w:type="dxa"/>
            </w:tcMar>
            <w:vAlign w:val="center"/>
          </w:tcPr>
          <w:p w14:paraId="6BC8738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586" w:type="pct"/>
            <w:tcMar>
              <w:top w:w="0" w:type="dxa"/>
              <w:left w:w="108" w:type="dxa"/>
              <w:bottom w:w="0" w:type="dxa"/>
              <w:right w:w="108" w:type="dxa"/>
            </w:tcMar>
            <w:vAlign w:val="center"/>
          </w:tcPr>
          <w:p w14:paraId="04048AE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6449A74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78A23F9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036EF2B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71537F10" w14:textId="77777777" w:rsidTr="00635015">
        <w:trPr>
          <w:trHeight w:val="397"/>
          <w:jc w:val="center"/>
        </w:trPr>
        <w:tc>
          <w:tcPr>
            <w:tcW w:w="218" w:type="pct"/>
            <w:tcMar>
              <w:top w:w="0" w:type="dxa"/>
              <w:left w:w="108" w:type="dxa"/>
              <w:bottom w:w="0" w:type="dxa"/>
              <w:right w:w="108" w:type="dxa"/>
            </w:tcMar>
            <w:vAlign w:val="center"/>
          </w:tcPr>
          <w:p w14:paraId="2D8B40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25</w:t>
            </w:r>
          </w:p>
        </w:tc>
        <w:tc>
          <w:tcPr>
            <w:tcW w:w="457" w:type="pct"/>
            <w:tcMar>
              <w:top w:w="0" w:type="dxa"/>
              <w:left w:w="108" w:type="dxa"/>
              <w:bottom w:w="0" w:type="dxa"/>
              <w:right w:w="108" w:type="dxa"/>
            </w:tcMar>
            <w:vAlign w:val="center"/>
          </w:tcPr>
          <w:p w14:paraId="522943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140ABB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562" w:type="pct"/>
            <w:tcMar>
              <w:top w:w="0" w:type="dxa"/>
              <w:left w:w="108" w:type="dxa"/>
              <w:bottom w:w="0" w:type="dxa"/>
              <w:right w:w="108" w:type="dxa"/>
            </w:tcMar>
            <w:vAlign w:val="center"/>
          </w:tcPr>
          <w:p w14:paraId="7AD93FB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586" w:type="pct"/>
            <w:tcMar>
              <w:top w:w="0" w:type="dxa"/>
              <w:left w:w="108" w:type="dxa"/>
              <w:bottom w:w="0" w:type="dxa"/>
              <w:right w:w="108" w:type="dxa"/>
            </w:tcMar>
            <w:vAlign w:val="center"/>
          </w:tcPr>
          <w:p w14:paraId="7B6DC1D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202F0D1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481525D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6E59425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25EB6F8C" w14:textId="77777777" w:rsidTr="00635015">
        <w:trPr>
          <w:trHeight w:val="397"/>
          <w:jc w:val="center"/>
        </w:trPr>
        <w:tc>
          <w:tcPr>
            <w:tcW w:w="218" w:type="pct"/>
            <w:tcMar>
              <w:top w:w="0" w:type="dxa"/>
              <w:left w:w="108" w:type="dxa"/>
              <w:bottom w:w="0" w:type="dxa"/>
              <w:right w:w="108" w:type="dxa"/>
            </w:tcMar>
            <w:vAlign w:val="center"/>
          </w:tcPr>
          <w:p w14:paraId="2B3E792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26</w:t>
            </w:r>
          </w:p>
        </w:tc>
        <w:tc>
          <w:tcPr>
            <w:tcW w:w="457" w:type="pct"/>
            <w:tcMar>
              <w:top w:w="0" w:type="dxa"/>
              <w:left w:w="108" w:type="dxa"/>
              <w:bottom w:w="0" w:type="dxa"/>
              <w:right w:w="108" w:type="dxa"/>
            </w:tcMar>
            <w:vAlign w:val="center"/>
          </w:tcPr>
          <w:p w14:paraId="16B9CB9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70C5441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562" w:type="pct"/>
            <w:tcMar>
              <w:top w:w="0" w:type="dxa"/>
              <w:left w:w="108" w:type="dxa"/>
              <w:bottom w:w="0" w:type="dxa"/>
              <w:right w:w="108" w:type="dxa"/>
            </w:tcMar>
            <w:vAlign w:val="center"/>
          </w:tcPr>
          <w:p w14:paraId="5AD1079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586" w:type="pct"/>
            <w:tcMar>
              <w:top w:w="0" w:type="dxa"/>
              <w:left w:w="108" w:type="dxa"/>
              <w:bottom w:w="0" w:type="dxa"/>
              <w:right w:w="108" w:type="dxa"/>
            </w:tcMar>
            <w:vAlign w:val="center"/>
          </w:tcPr>
          <w:p w14:paraId="201CBD0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5CD335B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2DBF836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2720871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0417CD1B" w14:textId="77777777" w:rsidTr="00635015">
        <w:trPr>
          <w:trHeight w:val="397"/>
          <w:jc w:val="center"/>
        </w:trPr>
        <w:tc>
          <w:tcPr>
            <w:tcW w:w="218" w:type="pct"/>
            <w:tcMar>
              <w:top w:w="0" w:type="dxa"/>
              <w:left w:w="108" w:type="dxa"/>
              <w:bottom w:w="0" w:type="dxa"/>
              <w:right w:w="108" w:type="dxa"/>
            </w:tcMar>
            <w:vAlign w:val="center"/>
          </w:tcPr>
          <w:p w14:paraId="542320C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27</w:t>
            </w:r>
          </w:p>
        </w:tc>
        <w:tc>
          <w:tcPr>
            <w:tcW w:w="457" w:type="pct"/>
            <w:tcMar>
              <w:top w:w="0" w:type="dxa"/>
              <w:left w:w="108" w:type="dxa"/>
              <w:bottom w:w="0" w:type="dxa"/>
              <w:right w:w="108" w:type="dxa"/>
            </w:tcMar>
            <w:vAlign w:val="center"/>
          </w:tcPr>
          <w:p w14:paraId="62AE5B9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55FCD17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562" w:type="pct"/>
            <w:tcMar>
              <w:top w:w="0" w:type="dxa"/>
              <w:left w:w="108" w:type="dxa"/>
              <w:bottom w:w="0" w:type="dxa"/>
              <w:right w:w="108" w:type="dxa"/>
            </w:tcMar>
            <w:vAlign w:val="center"/>
          </w:tcPr>
          <w:p w14:paraId="5EFD077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586" w:type="pct"/>
            <w:tcMar>
              <w:top w:w="0" w:type="dxa"/>
              <w:left w:w="108" w:type="dxa"/>
              <w:bottom w:w="0" w:type="dxa"/>
              <w:right w:w="108" w:type="dxa"/>
            </w:tcMar>
            <w:vAlign w:val="center"/>
          </w:tcPr>
          <w:p w14:paraId="2C1356E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7C0D4A8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24F0873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3A810E8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17E0C23D" w14:textId="77777777" w:rsidTr="00635015">
        <w:trPr>
          <w:trHeight w:val="397"/>
          <w:jc w:val="center"/>
        </w:trPr>
        <w:tc>
          <w:tcPr>
            <w:tcW w:w="218" w:type="pct"/>
            <w:tcMar>
              <w:top w:w="0" w:type="dxa"/>
              <w:left w:w="108" w:type="dxa"/>
              <w:bottom w:w="0" w:type="dxa"/>
              <w:right w:w="108" w:type="dxa"/>
            </w:tcMar>
            <w:vAlign w:val="center"/>
          </w:tcPr>
          <w:p w14:paraId="202439C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28</w:t>
            </w:r>
          </w:p>
        </w:tc>
        <w:tc>
          <w:tcPr>
            <w:tcW w:w="457" w:type="pct"/>
            <w:tcMar>
              <w:top w:w="0" w:type="dxa"/>
              <w:left w:w="108" w:type="dxa"/>
              <w:bottom w:w="0" w:type="dxa"/>
              <w:right w:w="108" w:type="dxa"/>
            </w:tcMar>
            <w:vAlign w:val="center"/>
          </w:tcPr>
          <w:p w14:paraId="28C9979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58C9E90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562" w:type="pct"/>
            <w:tcMar>
              <w:top w:w="0" w:type="dxa"/>
              <w:left w:w="108" w:type="dxa"/>
              <w:bottom w:w="0" w:type="dxa"/>
              <w:right w:w="108" w:type="dxa"/>
            </w:tcMar>
            <w:vAlign w:val="center"/>
          </w:tcPr>
          <w:p w14:paraId="54FCA11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张杰波</w:t>
            </w:r>
          </w:p>
        </w:tc>
        <w:tc>
          <w:tcPr>
            <w:tcW w:w="586" w:type="pct"/>
            <w:tcMar>
              <w:top w:w="0" w:type="dxa"/>
              <w:left w:w="108" w:type="dxa"/>
              <w:bottom w:w="0" w:type="dxa"/>
              <w:right w:w="108" w:type="dxa"/>
            </w:tcMar>
            <w:vAlign w:val="center"/>
          </w:tcPr>
          <w:p w14:paraId="7ABC74A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val="restart"/>
            <w:tcMar>
              <w:top w:w="0" w:type="dxa"/>
              <w:left w:w="108" w:type="dxa"/>
              <w:bottom w:w="0" w:type="dxa"/>
              <w:right w:w="108" w:type="dxa"/>
            </w:tcMar>
            <w:vAlign w:val="center"/>
          </w:tcPr>
          <w:p w14:paraId="44A3DA9D" w14:textId="696CC8C8"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968" w:type="pct"/>
            <w:vMerge w:val="restart"/>
            <w:tcMar>
              <w:top w:w="0" w:type="dxa"/>
              <w:left w:w="108" w:type="dxa"/>
              <w:bottom w:w="0" w:type="dxa"/>
              <w:right w:w="108" w:type="dxa"/>
            </w:tcMar>
            <w:vAlign w:val="center"/>
          </w:tcPr>
          <w:p w14:paraId="5D0694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张杰波持股由间接持股变为直接持股，其持有标的公司权益未发生实质变化，无需实际支付对价</w:t>
            </w:r>
          </w:p>
        </w:tc>
        <w:tc>
          <w:tcPr>
            <w:tcW w:w="919" w:type="pct"/>
            <w:vMerge w:val="restart"/>
            <w:vAlign w:val="center"/>
          </w:tcPr>
          <w:p w14:paraId="607F8A1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张杰波系该等持股平台合伙人</w:t>
            </w:r>
          </w:p>
        </w:tc>
      </w:tr>
      <w:tr w:rsidR="00847360" w:rsidRPr="00DA3766" w14:paraId="68B0DD9E" w14:textId="77777777" w:rsidTr="00635015">
        <w:trPr>
          <w:trHeight w:val="397"/>
          <w:jc w:val="center"/>
        </w:trPr>
        <w:tc>
          <w:tcPr>
            <w:tcW w:w="218" w:type="pct"/>
            <w:tcMar>
              <w:top w:w="0" w:type="dxa"/>
              <w:left w:w="108" w:type="dxa"/>
              <w:bottom w:w="0" w:type="dxa"/>
              <w:right w:w="108" w:type="dxa"/>
            </w:tcMar>
            <w:vAlign w:val="center"/>
          </w:tcPr>
          <w:p w14:paraId="24884EA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29</w:t>
            </w:r>
          </w:p>
        </w:tc>
        <w:tc>
          <w:tcPr>
            <w:tcW w:w="457" w:type="pct"/>
            <w:tcMar>
              <w:top w:w="0" w:type="dxa"/>
              <w:left w:w="108" w:type="dxa"/>
              <w:bottom w:w="0" w:type="dxa"/>
              <w:right w:w="108" w:type="dxa"/>
            </w:tcMar>
            <w:vAlign w:val="center"/>
          </w:tcPr>
          <w:p w14:paraId="1C3DB11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5BE713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562" w:type="pct"/>
            <w:tcMar>
              <w:top w:w="0" w:type="dxa"/>
              <w:left w:w="108" w:type="dxa"/>
              <w:bottom w:w="0" w:type="dxa"/>
              <w:right w:w="108" w:type="dxa"/>
            </w:tcMar>
            <w:vAlign w:val="center"/>
          </w:tcPr>
          <w:p w14:paraId="760AA3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张杰波</w:t>
            </w:r>
          </w:p>
        </w:tc>
        <w:tc>
          <w:tcPr>
            <w:tcW w:w="586" w:type="pct"/>
            <w:tcMar>
              <w:top w:w="0" w:type="dxa"/>
              <w:left w:w="108" w:type="dxa"/>
              <w:bottom w:w="0" w:type="dxa"/>
              <w:right w:w="108" w:type="dxa"/>
            </w:tcMar>
            <w:vAlign w:val="center"/>
          </w:tcPr>
          <w:p w14:paraId="1135E30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11EB4AD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0AA391B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401B0C3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64DCEE83" w14:textId="77777777" w:rsidTr="00635015">
        <w:trPr>
          <w:trHeight w:val="397"/>
          <w:jc w:val="center"/>
        </w:trPr>
        <w:tc>
          <w:tcPr>
            <w:tcW w:w="218" w:type="pct"/>
            <w:tcMar>
              <w:top w:w="0" w:type="dxa"/>
              <w:left w:w="108" w:type="dxa"/>
              <w:bottom w:w="0" w:type="dxa"/>
              <w:right w:w="108" w:type="dxa"/>
            </w:tcMar>
            <w:vAlign w:val="center"/>
          </w:tcPr>
          <w:p w14:paraId="6432DA5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30</w:t>
            </w:r>
          </w:p>
        </w:tc>
        <w:tc>
          <w:tcPr>
            <w:tcW w:w="457" w:type="pct"/>
            <w:tcMar>
              <w:top w:w="0" w:type="dxa"/>
              <w:left w:w="108" w:type="dxa"/>
              <w:bottom w:w="0" w:type="dxa"/>
              <w:right w:w="108" w:type="dxa"/>
            </w:tcMar>
            <w:vAlign w:val="center"/>
          </w:tcPr>
          <w:p w14:paraId="0DEF946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3B1BED0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乐腾腾</w:t>
            </w:r>
          </w:p>
        </w:tc>
        <w:tc>
          <w:tcPr>
            <w:tcW w:w="562" w:type="pct"/>
            <w:tcMar>
              <w:top w:w="0" w:type="dxa"/>
              <w:left w:w="108" w:type="dxa"/>
              <w:bottom w:w="0" w:type="dxa"/>
              <w:right w:w="108" w:type="dxa"/>
            </w:tcMar>
            <w:vAlign w:val="center"/>
          </w:tcPr>
          <w:p w14:paraId="396040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王佳</w:t>
            </w:r>
          </w:p>
        </w:tc>
        <w:tc>
          <w:tcPr>
            <w:tcW w:w="586" w:type="pct"/>
            <w:tcMar>
              <w:top w:w="0" w:type="dxa"/>
              <w:left w:w="108" w:type="dxa"/>
              <w:bottom w:w="0" w:type="dxa"/>
              <w:right w:w="108" w:type="dxa"/>
            </w:tcMar>
            <w:vAlign w:val="center"/>
          </w:tcPr>
          <w:p w14:paraId="3C8A6E50"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val="restart"/>
            <w:tcMar>
              <w:top w:w="0" w:type="dxa"/>
              <w:left w:w="108" w:type="dxa"/>
              <w:bottom w:w="0" w:type="dxa"/>
              <w:right w:w="108" w:type="dxa"/>
            </w:tcMar>
            <w:vAlign w:val="center"/>
          </w:tcPr>
          <w:p w14:paraId="719D430D" w14:textId="66FFBBAE"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968" w:type="pct"/>
            <w:vMerge w:val="restart"/>
            <w:tcMar>
              <w:top w:w="0" w:type="dxa"/>
              <w:left w:w="108" w:type="dxa"/>
              <w:bottom w:w="0" w:type="dxa"/>
              <w:right w:w="108" w:type="dxa"/>
            </w:tcMar>
            <w:vAlign w:val="center"/>
          </w:tcPr>
          <w:p w14:paraId="3922460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王佳持股由间接持股变为直接持股，其持有标的公司权益未发生实质变化，无需实际支付对价</w:t>
            </w:r>
          </w:p>
        </w:tc>
        <w:tc>
          <w:tcPr>
            <w:tcW w:w="919" w:type="pct"/>
            <w:vMerge w:val="restart"/>
            <w:vAlign w:val="center"/>
          </w:tcPr>
          <w:p w14:paraId="72E5619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王佳系该等持股平台合伙人</w:t>
            </w:r>
          </w:p>
        </w:tc>
      </w:tr>
      <w:tr w:rsidR="00847360" w:rsidRPr="00DA3766" w14:paraId="22CCAC62" w14:textId="77777777" w:rsidTr="00635015">
        <w:trPr>
          <w:trHeight w:val="397"/>
          <w:jc w:val="center"/>
        </w:trPr>
        <w:tc>
          <w:tcPr>
            <w:tcW w:w="218" w:type="pct"/>
            <w:tcMar>
              <w:top w:w="0" w:type="dxa"/>
              <w:left w:w="108" w:type="dxa"/>
              <w:bottom w:w="0" w:type="dxa"/>
              <w:right w:w="108" w:type="dxa"/>
            </w:tcMar>
            <w:vAlign w:val="center"/>
          </w:tcPr>
          <w:p w14:paraId="0AB6F4B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31</w:t>
            </w:r>
          </w:p>
        </w:tc>
        <w:tc>
          <w:tcPr>
            <w:tcW w:w="457" w:type="pct"/>
            <w:tcMar>
              <w:top w:w="0" w:type="dxa"/>
              <w:left w:w="108" w:type="dxa"/>
              <w:bottom w:w="0" w:type="dxa"/>
              <w:right w:w="108" w:type="dxa"/>
            </w:tcMar>
            <w:vAlign w:val="center"/>
          </w:tcPr>
          <w:p w14:paraId="27D754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AE2856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562" w:type="pct"/>
            <w:tcMar>
              <w:top w:w="0" w:type="dxa"/>
              <w:left w:w="108" w:type="dxa"/>
              <w:bottom w:w="0" w:type="dxa"/>
              <w:right w:w="108" w:type="dxa"/>
            </w:tcMar>
            <w:vAlign w:val="center"/>
          </w:tcPr>
          <w:p w14:paraId="2F25AB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王佳</w:t>
            </w:r>
          </w:p>
        </w:tc>
        <w:tc>
          <w:tcPr>
            <w:tcW w:w="586" w:type="pct"/>
            <w:tcMar>
              <w:top w:w="0" w:type="dxa"/>
              <w:left w:w="108" w:type="dxa"/>
              <w:bottom w:w="0" w:type="dxa"/>
              <w:right w:w="108" w:type="dxa"/>
            </w:tcMar>
            <w:vAlign w:val="center"/>
          </w:tcPr>
          <w:p w14:paraId="5337AFBD"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199102C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6B24A60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7802E9B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74A572E7" w14:textId="77777777" w:rsidTr="00635015">
        <w:trPr>
          <w:trHeight w:val="397"/>
          <w:jc w:val="center"/>
        </w:trPr>
        <w:tc>
          <w:tcPr>
            <w:tcW w:w="218" w:type="pct"/>
            <w:tcMar>
              <w:top w:w="0" w:type="dxa"/>
              <w:left w:w="108" w:type="dxa"/>
              <w:bottom w:w="0" w:type="dxa"/>
              <w:right w:w="108" w:type="dxa"/>
            </w:tcMar>
            <w:vAlign w:val="center"/>
          </w:tcPr>
          <w:p w14:paraId="20FDE72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32</w:t>
            </w:r>
          </w:p>
        </w:tc>
        <w:tc>
          <w:tcPr>
            <w:tcW w:w="457" w:type="pct"/>
            <w:tcMar>
              <w:top w:w="0" w:type="dxa"/>
              <w:left w:w="108" w:type="dxa"/>
              <w:bottom w:w="0" w:type="dxa"/>
              <w:right w:w="108" w:type="dxa"/>
            </w:tcMar>
            <w:vAlign w:val="center"/>
          </w:tcPr>
          <w:p w14:paraId="479A45F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047B23C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562" w:type="pct"/>
            <w:tcMar>
              <w:top w:w="0" w:type="dxa"/>
              <w:left w:w="108" w:type="dxa"/>
              <w:bottom w:w="0" w:type="dxa"/>
              <w:right w:w="108" w:type="dxa"/>
            </w:tcMar>
            <w:vAlign w:val="center"/>
          </w:tcPr>
          <w:p w14:paraId="03180CE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胡俊</w:t>
            </w:r>
          </w:p>
        </w:tc>
        <w:tc>
          <w:tcPr>
            <w:tcW w:w="586" w:type="pct"/>
            <w:tcMar>
              <w:top w:w="0" w:type="dxa"/>
              <w:left w:w="108" w:type="dxa"/>
              <w:bottom w:w="0" w:type="dxa"/>
              <w:right w:w="108" w:type="dxa"/>
            </w:tcMar>
            <w:vAlign w:val="center"/>
          </w:tcPr>
          <w:p w14:paraId="4CB355E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val="restart"/>
            <w:tcMar>
              <w:top w:w="0" w:type="dxa"/>
              <w:left w:w="108" w:type="dxa"/>
              <w:bottom w:w="0" w:type="dxa"/>
              <w:right w:w="108" w:type="dxa"/>
            </w:tcMar>
            <w:vAlign w:val="center"/>
          </w:tcPr>
          <w:p w14:paraId="6C0338E1" w14:textId="03161142"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968" w:type="pct"/>
            <w:vMerge w:val="restart"/>
            <w:tcMar>
              <w:top w:w="0" w:type="dxa"/>
              <w:left w:w="108" w:type="dxa"/>
              <w:bottom w:w="0" w:type="dxa"/>
              <w:right w:w="108" w:type="dxa"/>
            </w:tcMar>
            <w:vAlign w:val="center"/>
          </w:tcPr>
          <w:p w14:paraId="52AA120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胡俊持股由间接持股变为直接持股，其持有标的公司权益未发生实质变化，无需实际支付对价</w:t>
            </w:r>
          </w:p>
        </w:tc>
        <w:tc>
          <w:tcPr>
            <w:tcW w:w="919" w:type="pct"/>
            <w:vMerge w:val="restart"/>
            <w:vAlign w:val="center"/>
          </w:tcPr>
          <w:p w14:paraId="6182DE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胡俊系该等持股平台合伙人</w:t>
            </w:r>
          </w:p>
        </w:tc>
      </w:tr>
      <w:tr w:rsidR="00847360" w:rsidRPr="00DA3766" w14:paraId="6E6C5F11" w14:textId="77777777" w:rsidTr="00635015">
        <w:trPr>
          <w:trHeight w:val="397"/>
          <w:jc w:val="center"/>
        </w:trPr>
        <w:tc>
          <w:tcPr>
            <w:tcW w:w="218" w:type="pct"/>
            <w:tcMar>
              <w:top w:w="0" w:type="dxa"/>
              <w:left w:w="108" w:type="dxa"/>
              <w:bottom w:w="0" w:type="dxa"/>
              <w:right w:w="108" w:type="dxa"/>
            </w:tcMar>
            <w:vAlign w:val="center"/>
          </w:tcPr>
          <w:p w14:paraId="0A3602E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33</w:t>
            </w:r>
          </w:p>
        </w:tc>
        <w:tc>
          <w:tcPr>
            <w:tcW w:w="457" w:type="pct"/>
            <w:tcMar>
              <w:top w:w="0" w:type="dxa"/>
              <w:left w:w="108" w:type="dxa"/>
              <w:bottom w:w="0" w:type="dxa"/>
              <w:right w:w="108" w:type="dxa"/>
            </w:tcMar>
            <w:vAlign w:val="center"/>
          </w:tcPr>
          <w:p w14:paraId="5519280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37" w:type="pct"/>
            <w:tcMar>
              <w:top w:w="0" w:type="dxa"/>
              <w:left w:w="108" w:type="dxa"/>
              <w:bottom w:w="0" w:type="dxa"/>
              <w:right w:w="108" w:type="dxa"/>
            </w:tcMar>
            <w:vAlign w:val="center"/>
          </w:tcPr>
          <w:p w14:paraId="4122BBB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562" w:type="pct"/>
            <w:tcMar>
              <w:top w:w="0" w:type="dxa"/>
              <w:left w:w="108" w:type="dxa"/>
              <w:bottom w:w="0" w:type="dxa"/>
              <w:right w:w="108" w:type="dxa"/>
            </w:tcMar>
            <w:vAlign w:val="center"/>
          </w:tcPr>
          <w:p w14:paraId="6C8917E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胡俊</w:t>
            </w:r>
          </w:p>
        </w:tc>
        <w:tc>
          <w:tcPr>
            <w:tcW w:w="586" w:type="pct"/>
            <w:tcMar>
              <w:top w:w="0" w:type="dxa"/>
              <w:left w:w="108" w:type="dxa"/>
              <w:bottom w:w="0" w:type="dxa"/>
              <w:right w:w="108" w:type="dxa"/>
            </w:tcMar>
            <w:vAlign w:val="center"/>
          </w:tcPr>
          <w:p w14:paraId="6266D56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52" w:type="pct"/>
            <w:vMerge/>
            <w:tcMar>
              <w:top w:w="0" w:type="dxa"/>
              <w:left w:w="108" w:type="dxa"/>
              <w:bottom w:w="0" w:type="dxa"/>
              <w:right w:w="108" w:type="dxa"/>
            </w:tcMar>
            <w:vAlign w:val="center"/>
          </w:tcPr>
          <w:p w14:paraId="1E8D7B1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68" w:type="pct"/>
            <w:vMerge/>
            <w:tcMar>
              <w:top w:w="0" w:type="dxa"/>
              <w:left w:w="108" w:type="dxa"/>
              <w:bottom w:w="0" w:type="dxa"/>
              <w:right w:w="108" w:type="dxa"/>
            </w:tcMar>
            <w:vAlign w:val="center"/>
          </w:tcPr>
          <w:p w14:paraId="34B8B44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919" w:type="pct"/>
            <w:vMerge/>
            <w:vAlign w:val="center"/>
          </w:tcPr>
          <w:p w14:paraId="2CE87F6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bl>
    <w:p w14:paraId="4E880869" w14:textId="77777777" w:rsidR="00EB3B4C" w:rsidRPr="00DA3766" w:rsidRDefault="00EB3B4C" w:rsidP="00DA3766">
      <w:pPr>
        <w:pStyle w:val="004"/>
        <w:spacing w:before="120" w:after="120"/>
        <w:ind w:firstLine="482"/>
      </w:pPr>
      <w:r w:rsidRPr="00DA3766">
        <w:t>2</w:t>
      </w:r>
      <w:r w:rsidRPr="00DA3766">
        <w:t>、标的资产最近三年内减资及股权转让的交易作价与本次重组评估结果存在差异的原因及合理性</w:t>
      </w:r>
    </w:p>
    <w:p w14:paraId="53B77A1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由上表可知，标的资产最近三年内存在减资及股权转让的情形。上述股权变动情形与本次重组评估结果存在差异的原因及合理性如下：</w:t>
      </w:r>
    </w:p>
    <w:p w14:paraId="40D384F2"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1</w:t>
      </w:r>
      <w:r w:rsidRPr="00DA3766">
        <w:rPr>
          <w:rFonts w:ascii="Times New Roman" w:hAnsi="Times New Roman" w:cs="Times New Roman"/>
          <w:b/>
          <w:bCs/>
          <w:kern w:val="2"/>
          <w:szCs w:val="22"/>
        </w:rPr>
        <w:t>）蕙富皓玥、汇垠众富、中信证券、睿信创投、睿启创投、三七科技、三七乐心、粤财基金、粤财源合、依星伴月、远方资本、三七乐心、三七科技、科金二号、枣庄哈拿、金浦文创减资退出</w:t>
      </w:r>
    </w:p>
    <w:p w14:paraId="0DA0016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上述减资退出主体均为标的公司</w:t>
      </w:r>
      <w:r w:rsidRPr="00DA3766">
        <w:rPr>
          <w:rFonts w:ascii="Times New Roman" w:hAnsi="Times New Roman" w:cs="Times New Roman"/>
          <w:kern w:val="2"/>
          <w:szCs w:val="22"/>
        </w:rPr>
        <w:t>D</w:t>
      </w:r>
      <w:r w:rsidRPr="00DA3766">
        <w:rPr>
          <w:rFonts w:ascii="Times New Roman" w:hAnsi="Times New Roman" w:cs="Times New Roman"/>
          <w:kern w:val="2"/>
          <w:szCs w:val="22"/>
        </w:rPr>
        <w:t>轮及</w:t>
      </w:r>
      <w:r w:rsidRPr="00DA3766">
        <w:rPr>
          <w:rFonts w:ascii="Times New Roman" w:hAnsi="Times New Roman" w:cs="Times New Roman"/>
          <w:kern w:val="2"/>
          <w:szCs w:val="22"/>
        </w:rPr>
        <w:t>D+</w:t>
      </w:r>
      <w:r w:rsidRPr="00DA3766">
        <w:rPr>
          <w:rFonts w:ascii="Times New Roman" w:hAnsi="Times New Roman" w:cs="Times New Roman"/>
          <w:kern w:val="2"/>
          <w:szCs w:val="22"/>
        </w:rPr>
        <w:t>轮融资轮次的投资者，入股标的公司时估值为</w:t>
      </w:r>
      <w:r w:rsidRPr="00DA3766">
        <w:rPr>
          <w:rFonts w:ascii="Times New Roman" w:hAnsi="Times New Roman" w:cs="Times New Roman"/>
          <w:kern w:val="2"/>
          <w:szCs w:val="22"/>
        </w:rPr>
        <w:t>19.26</w:t>
      </w:r>
      <w:r w:rsidRPr="00DA3766">
        <w:rPr>
          <w:rFonts w:ascii="Times New Roman" w:hAnsi="Times New Roman" w:cs="Times New Roman"/>
          <w:kern w:val="2"/>
          <w:szCs w:val="22"/>
        </w:rPr>
        <w:t>亿元。上述投资人在退出时点综合判断标的公司短期内无法以高于其入股成本对应的估值水平完成</w:t>
      </w:r>
      <w:r w:rsidRPr="00DA3766">
        <w:rPr>
          <w:rFonts w:ascii="Times New Roman" w:hAnsi="Times New Roman" w:cs="Times New Roman"/>
          <w:kern w:val="2"/>
          <w:szCs w:val="22"/>
        </w:rPr>
        <w:t>IPO</w:t>
      </w:r>
      <w:r w:rsidRPr="00DA3766">
        <w:rPr>
          <w:rFonts w:ascii="Times New Roman" w:hAnsi="Times New Roman" w:cs="Times New Roman"/>
          <w:kern w:val="2"/>
          <w:szCs w:val="22"/>
        </w:rPr>
        <w:t>或并购，为保障自身投资利益，并防</w:t>
      </w:r>
      <w:r w:rsidRPr="00DA3766">
        <w:rPr>
          <w:rFonts w:ascii="Times New Roman" w:hAnsi="Times New Roman" w:cs="Times New Roman"/>
          <w:kern w:val="2"/>
          <w:szCs w:val="22"/>
        </w:rPr>
        <w:lastRenderedPageBreak/>
        <w:t>止国有资产流失，决定以投资成本或投资成本加一定利息的形式减资退出。因上述投资者入股时点综合估值为</w:t>
      </w:r>
      <w:r w:rsidRPr="00DA3766">
        <w:rPr>
          <w:rFonts w:ascii="Times New Roman" w:hAnsi="Times New Roman" w:cs="Times New Roman"/>
          <w:kern w:val="2"/>
          <w:szCs w:val="22"/>
        </w:rPr>
        <w:t>19.26</w:t>
      </w:r>
      <w:r w:rsidRPr="00DA3766">
        <w:rPr>
          <w:rFonts w:ascii="Times New Roman" w:hAnsi="Times New Roman" w:cs="Times New Roman"/>
          <w:kern w:val="2"/>
          <w:szCs w:val="22"/>
        </w:rPr>
        <w:t>亿元，退出时减资对价系参考入股估值确定，减资对价对应的标的公司整体估值与本次重组评估结果存在差异具有合理性。</w:t>
      </w:r>
    </w:p>
    <w:p w14:paraId="4E6346FA"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2</w:t>
      </w:r>
      <w:r w:rsidRPr="00DA3766">
        <w:rPr>
          <w:rFonts w:ascii="Times New Roman" w:hAnsi="Times New Roman" w:cs="Times New Roman"/>
          <w:b/>
          <w:bCs/>
          <w:kern w:val="2"/>
          <w:szCs w:val="22"/>
        </w:rPr>
        <w:t>）璀璨远见、璀璨德商受让原本俱甲所持标的公司股权，同时林芝利新、璀璨远见、璀璨德商减资退出</w:t>
      </w:r>
    </w:p>
    <w:p w14:paraId="51A6CE3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林芝利新、璀璨远见及璀璨德商作为</w:t>
      </w:r>
      <w:r w:rsidRPr="00DA3766">
        <w:rPr>
          <w:rFonts w:ascii="Times New Roman" w:hAnsi="Times New Roman" w:cs="Times New Roman"/>
          <w:kern w:val="2"/>
          <w:szCs w:val="22"/>
        </w:rPr>
        <w:t>C</w:t>
      </w:r>
      <w:r w:rsidRPr="00DA3766">
        <w:rPr>
          <w:rFonts w:ascii="Times New Roman" w:hAnsi="Times New Roman" w:cs="Times New Roman"/>
          <w:kern w:val="2"/>
          <w:szCs w:val="22"/>
        </w:rPr>
        <w:t>轮投资人，于</w:t>
      </w:r>
      <w:r w:rsidRPr="00DA3766">
        <w:rPr>
          <w:rFonts w:ascii="Times New Roman" w:hAnsi="Times New Roman" w:cs="Times New Roman"/>
          <w:kern w:val="2"/>
          <w:szCs w:val="22"/>
        </w:rPr>
        <w:t>2020</w:t>
      </w:r>
      <w:r w:rsidRPr="00DA3766">
        <w:rPr>
          <w:rFonts w:ascii="Times New Roman" w:hAnsi="Times New Roman" w:cs="Times New Roman"/>
          <w:kern w:val="2"/>
          <w:szCs w:val="22"/>
        </w:rPr>
        <w:t>年</w:t>
      </w:r>
      <w:r w:rsidRPr="00DA3766">
        <w:rPr>
          <w:rFonts w:ascii="Times New Roman" w:hAnsi="Times New Roman" w:cs="Times New Roman"/>
          <w:kern w:val="2"/>
          <w:szCs w:val="22"/>
        </w:rPr>
        <w:t>1</w:t>
      </w:r>
      <w:r w:rsidRPr="00DA3766">
        <w:rPr>
          <w:rFonts w:ascii="Times New Roman" w:hAnsi="Times New Roman" w:cs="Times New Roman"/>
          <w:kern w:val="2"/>
          <w:szCs w:val="22"/>
        </w:rPr>
        <w:t>月以</w:t>
      </w:r>
      <w:r w:rsidRPr="00DA3766">
        <w:rPr>
          <w:rFonts w:ascii="Times New Roman" w:hAnsi="Times New Roman" w:cs="Times New Roman"/>
          <w:kern w:val="2"/>
          <w:szCs w:val="22"/>
        </w:rPr>
        <w:t>10</w:t>
      </w:r>
      <w:r w:rsidRPr="00DA3766">
        <w:rPr>
          <w:rFonts w:ascii="Times New Roman" w:hAnsi="Times New Roman" w:cs="Times New Roman"/>
          <w:kern w:val="2"/>
          <w:szCs w:val="22"/>
        </w:rPr>
        <w:t>亿元估值水平入股。上述</w:t>
      </w:r>
      <w:r w:rsidRPr="00DA3766">
        <w:rPr>
          <w:rFonts w:ascii="Times New Roman" w:hAnsi="Times New Roman" w:cs="Times New Roman"/>
          <w:kern w:val="2"/>
          <w:szCs w:val="22"/>
        </w:rPr>
        <w:t>C</w:t>
      </w:r>
      <w:r w:rsidRPr="00DA3766">
        <w:rPr>
          <w:rFonts w:ascii="Times New Roman" w:hAnsi="Times New Roman" w:cs="Times New Roman"/>
          <w:kern w:val="2"/>
          <w:szCs w:val="22"/>
        </w:rPr>
        <w:t>轮投资人入股时点较早，经标的公司与上述投资人友好协商，决定由标的公司以投资成本加一定利息的形式回购其股权，定价公允，减资对价对应的标的公司整体估值与本次重组评估结果存在差异具有合理性。</w:t>
      </w:r>
    </w:p>
    <w:p w14:paraId="0743102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璀璨远见、璀璨德商受让原本俱甲所持股权价格对应标的公司估值为</w:t>
      </w:r>
      <w:r w:rsidRPr="00DA3766">
        <w:rPr>
          <w:rFonts w:ascii="Times New Roman" w:hAnsi="Times New Roman" w:cs="Times New Roman"/>
          <w:kern w:val="2"/>
          <w:szCs w:val="22"/>
        </w:rPr>
        <w:t>9.1</w:t>
      </w:r>
      <w:r w:rsidRPr="00DA3766">
        <w:rPr>
          <w:rFonts w:ascii="Times New Roman" w:hAnsi="Times New Roman" w:cs="Times New Roman"/>
          <w:kern w:val="2"/>
          <w:szCs w:val="22"/>
        </w:rPr>
        <w:t>亿元，系参考璀璨远见及璀璨德商减资时对应标的公司估值由各方协商确定，该等估值系综合考量标的公司发展前景、所受让股权无回购权保障等因素协商确定，与本次重组评估结果存在差异具有合理性。具体原因及商业合理性见本回复</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8</w:t>
      </w:r>
      <w:r w:rsidRPr="00DA3766">
        <w:rPr>
          <w:rFonts w:ascii="Times New Roman" w:hAnsi="Times New Roman" w:cs="Times New Roman"/>
          <w:kern w:val="2"/>
          <w:szCs w:val="22"/>
        </w:rPr>
        <w:t>、关于标的资产的历史沿革</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五、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（二）璀璨远见、璀璨德商在减资的同月受让标的资产股权的原因及商业合理性</w:t>
      </w:r>
      <w:r w:rsidRPr="00DA3766">
        <w:rPr>
          <w:rFonts w:cs="Times New Roman"/>
          <w:kern w:val="2"/>
          <w:szCs w:val="22"/>
        </w:rPr>
        <w:t>”</w:t>
      </w:r>
      <w:r w:rsidRPr="00DA3766">
        <w:rPr>
          <w:rFonts w:ascii="Times New Roman" w:hAnsi="Times New Roman" w:cs="Times New Roman"/>
          <w:kern w:val="2"/>
          <w:szCs w:val="22"/>
        </w:rPr>
        <w:t>。</w:t>
      </w:r>
    </w:p>
    <w:p w14:paraId="32D00DD3"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3</w:t>
      </w:r>
      <w:r w:rsidRPr="00DA3766">
        <w:rPr>
          <w:rFonts w:ascii="Times New Roman" w:hAnsi="Times New Roman" w:cs="Times New Roman"/>
          <w:b/>
          <w:bCs/>
          <w:kern w:val="2"/>
          <w:szCs w:val="22"/>
        </w:rPr>
        <w:t>）杨裕雄受让蜜芽宝贝所持标的公司股权</w:t>
      </w:r>
    </w:p>
    <w:p w14:paraId="76C4C375"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rPr>
        <w:t>根据《股东权利》约定，蜜芽宝贝作为天使投资人未享有回购权，且在优先清算权方面亦处于劣后次序，蜜芽宝贝合理预计标的公司短期内无法以协议约定的估值水平完成</w:t>
      </w:r>
      <w:r w:rsidRPr="00DA3766">
        <w:rPr>
          <w:rFonts w:ascii="Times New Roman" w:hAnsi="Times New Roman" w:cs="Times New Roman"/>
        </w:rPr>
        <w:t>IPO</w:t>
      </w:r>
      <w:r w:rsidRPr="00DA3766">
        <w:rPr>
          <w:rFonts w:ascii="Times New Roman" w:hAnsi="Times New Roman" w:cs="Times New Roman"/>
        </w:rPr>
        <w:t>或并购，将可能触发回购义务。本次股权转让决策系蜜芽宝贝基于保全投资的考虑下作出，交易对价系其以投资成本为基础，并考虑一定的投资利润后与杨裕雄友好协商确定，股权转让作价公允，股权转让的交易对价对应的标的公司整体估值与本次重组评估结果存在差异具有合理性，</w:t>
      </w:r>
    </w:p>
    <w:p w14:paraId="758B59EF" w14:textId="5493C418"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4</w:t>
      </w:r>
      <w:r w:rsidRPr="00DA3766">
        <w:rPr>
          <w:rFonts w:ascii="Times New Roman" w:hAnsi="Times New Roman" w:cs="Times New Roman"/>
          <w:b/>
          <w:bCs/>
          <w:kern w:val="2"/>
          <w:szCs w:val="22"/>
        </w:rPr>
        <w:t>）</w:t>
      </w:r>
      <w:r w:rsidR="00506CB2" w:rsidRPr="00DA3766">
        <w:rPr>
          <w:rFonts w:ascii="Times New Roman" w:hAnsi="Times New Roman" w:cs="Times New Roman"/>
          <w:b/>
          <w:bCs/>
          <w:kern w:val="2"/>
          <w:szCs w:val="22"/>
        </w:rPr>
        <w:t>标的</w:t>
      </w:r>
      <w:r w:rsidRPr="00DA3766">
        <w:rPr>
          <w:rFonts w:ascii="Times New Roman" w:hAnsi="Times New Roman" w:cs="Times New Roman"/>
          <w:b/>
          <w:bCs/>
          <w:kern w:val="2"/>
          <w:szCs w:val="22"/>
        </w:rPr>
        <w:t>公司核心管理层持股由平台间接持股变为直接持股</w:t>
      </w:r>
    </w:p>
    <w:p w14:paraId="7E061E88" w14:textId="1FB855A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本次转让系</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公司持股平台合伙人杨凯然、张杰波、王佳、胡俊由间接持股转为直接持股，由持股平台将上述股东在平台内的持股份额对应星云开物股权</w:t>
      </w:r>
      <w:r w:rsidRPr="00DA3766">
        <w:rPr>
          <w:rFonts w:ascii="Times New Roman" w:hAnsi="Times New Roman" w:cs="Times New Roman"/>
          <w:kern w:val="2"/>
          <w:szCs w:val="22"/>
        </w:rPr>
        <w:lastRenderedPageBreak/>
        <w:t>直接转让至自然人股东名下，同时自然人股东在持股平台完成退出，无需实际支付相关对价。</w:t>
      </w:r>
    </w:p>
    <w:p w14:paraId="4BCE393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第四节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（三）标的公司最近三年增减资及股权转让情况</w:t>
      </w:r>
      <w:r w:rsidRPr="00DA3766">
        <w:rPr>
          <w:rFonts w:cs="Times New Roman"/>
          <w:kern w:val="2"/>
          <w:szCs w:val="22"/>
        </w:rPr>
        <w:t>”</w:t>
      </w:r>
      <w:r w:rsidRPr="00DA3766">
        <w:rPr>
          <w:rFonts w:ascii="Times New Roman" w:hAnsi="Times New Roman" w:cs="Times New Roman"/>
          <w:kern w:val="2"/>
          <w:szCs w:val="22"/>
        </w:rPr>
        <w:t>补充披露。</w:t>
      </w:r>
    </w:p>
    <w:p w14:paraId="41761640"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一、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6A40673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（一）经营情况与期后业绩的对比</w:t>
      </w:r>
    </w:p>
    <w:p w14:paraId="43C4C4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标的公司的经营情况及期后业绩如下：</w:t>
      </w:r>
    </w:p>
    <w:p w14:paraId="6EB75269" w14:textId="77777777" w:rsidR="00EB3B4C" w:rsidRPr="00DA3766" w:rsidRDefault="00EB3B4C" w:rsidP="00EB3B4C">
      <w:pPr>
        <w:keepNext/>
        <w:widowControl w:val="0"/>
        <w:spacing w:beforeLines="0" w:before="0" w:afterLines="0" w:after="0" w:line="240" w:lineRule="auto"/>
        <w:ind w:firstLineChars="0" w:firstLine="0"/>
        <w:jc w:val="right"/>
        <w:rPr>
          <w:rFonts w:ascii="Times New Roman" w:hAnsi="Times New Roman" w:cs="Times New Roman"/>
          <w:kern w:val="2"/>
          <w:sz w:val="21"/>
          <w:szCs w:val="22"/>
        </w:rPr>
      </w:pPr>
      <w:r w:rsidRPr="00DA3766">
        <w:rPr>
          <w:rFonts w:ascii="Times New Roman" w:hAnsi="Times New Roman" w:cs="Times New Roman"/>
          <w:kern w:val="2"/>
          <w:sz w:val="21"/>
          <w:szCs w:val="22"/>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EB3B4C" w:rsidRPr="00DA3766" w14:paraId="67DFC691" w14:textId="77777777" w:rsidTr="001076ED">
        <w:trPr>
          <w:trHeight w:val="397"/>
          <w:tblHeader/>
          <w:jc w:val="center"/>
        </w:trPr>
        <w:tc>
          <w:tcPr>
            <w:tcW w:w="3085" w:type="dxa"/>
            <w:tcMar>
              <w:top w:w="0" w:type="dxa"/>
              <w:left w:w="108" w:type="dxa"/>
              <w:bottom w:w="0" w:type="dxa"/>
              <w:right w:w="108" w:type="dxa"/>
            </w:tcMar>
            <w:vAlign w:val="center"/>
          </w:tcPr>
          <w:p w14:paraId="09E179C3"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项目</w:t>
            </w:r>
          </w:p>
        </w:tc>
        <w:tc>
          <w:tcPr>
            <w:tcW w:w="1814" w:type="dxa"/>
            <w:tcMar>
              <w:top w:w="0" w:type="dxa"/>
              <w:left w:w="108" w:type="dxa"/>
              <w:bottom w:w="0" w:type="dxa"/>
              <w:right w:w="108" w:type="dxa"/>
            </w:tcMar>
            <w:vAlign w:val="center"/>
          </w:tcPr>
          <w:p w14:paraId="2A08EBC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2025</w:t>
            </w:r>
            <w:r w:rsidRPr="00DA3766">
              <w:rPr>
                <w:rFonts w:ascii="Times New Roman" w:hAnsi="Times New Roman" w:cs="Times New Roman"/>
                <w:b/>
                <w:kern w:val="2"/>
                <w:sz w:val="21"/>
                <w:szCs w:val="21"/>
              </w:rPr>
              <w:t>年度</w:t>
            </w:r>
          </w:p>
        </w:tc>
        <w:tc>
          <w:tcPr>
            <w:tcW w:w="1814" w:type="dxa"/>
            <w:tcMar>
              <w:top w:w="0" w:type="dxa"/>
              <w:left w:w="108" w:type="dxa"/>
              <w:bottom w:w="0" w:type="dxa"/>
              <w:right w:w="108" w:type="dxa"/>
            </w:tcMar>
            <w:vAlign w:val="center"/>
          </w:tcPr>
          <w:p w14:paraId="334B1FF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2024</w:t>
            </w:r>
            <w:r w:rsidRPr="00DA3766">
              <w:rPr>
                <w:rFonts w:ascii="Times New Roman" w:hAnsi="Times New Roman" w:cs="Times New Roman"/>
                <w:b/>
                <w:kern w:val="2"/>
                <w:sz w:val="21"/>
                <w:szCs w:val="21"/>
              </w:rPr>
              <w:t>年度</w:t>
            </w:r>
          </w:p>
        </w:tc>
        <w:tc>
          <w:tcPr>
            <w:tcW w:w="1815" w:type="dxa"/>
            <w:tcMar>
              <w:top w:w="0" w:type="dxa"/>
              <w:left w:w="108" w:type="dxa"/>
              <w:bottom w:w="0" w:type="dxa"/>
              <w:right w:w="108" w:type="dxa"/>
            </w:tcMar>
            <w:vAlign w:val="center"/>
          </w:tcPr>
          <w:p w14:paraId="64172B2A"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2023</w:t>
            </w:r>
            <w:r w:rsidRPr="00DA3766">
              <w:rPr>
                <w:rFonts w:ascii="Times New Roman" w:hAnsi="Times New Roman" w:cs="Times New Roman"/>
                <w:b/>
                <w:kern w:val="2"/>
                <w:sz w:val="21"/>
                <w:szCs w:val="21"/>
              </w:rPr>
              <w:t>年度</w:t>
            </w:r>
          </w:p>
        </w:tc>
      </w:tr>
      <w:tr w:rsidR="00201A42" w:rsidRPr="00DA3766" w14:paraId="52B37C10" w14:textId="77777777" w:rsidTr="00CA63D5">
        <w:trPr>
          <w:trHeight w:val="397"/>
          <w:jc w:val="center"/>
        </w:trPr>
        <w:tc>
          <w:tcPr>
            <w:tcW w:w="3085" w:type="dxa"/>
            <w:tcMar>
              <w:top w:w="0" w:type="dxa"/>
              <w:left w:w="108" w:type="dxa"/>
              <w:bottom w:w="0" w:type="dxa"/>
              <w:right w:w="108" w:type="dxa"/>
            </w:tcMar>
            <w:vAlign w:val="center"/>
          </w:tcPr>
          <w:p w14:paraId="0ED1A07D" w14:textId="77777777" w:rsidR="00201A42" w:rsidRPr="00DA3766" w:rsidRDefault="00201A42" w:rsidP="00201A42">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sidRPr="00DA3766">
              <w:rPr>
                <w:rFonts w:ascii="Times New Roman" w:hAnsi="Times New Roman" w:cs="Times New Roman"/>
                <w:kern w:val="2"/>
                <w:sz w:val="21"/>
                <w:szCs w:val="21"/>
              </w:rPr>
              <w:t>营业收入</w:t>
            </w:r>
          </w:p>
        </w:tc>
        <w:tc>
          <w:tcPr>
            <w:tcW w:w="1814" w:type="dxa"/>
            <w:tcMar>
              <w:top w:w="0" w:type="dxa"/>
              <w:left w:w="108" w:type="dxa"/>
              <w:bottom w:w="0" w:type="dxa"/>
              <w:right w:w="108" w:type="dxa"/>
            </w:tcMar>
            <w:vAlign w:val="center"/>
          </w:tcPr>
          <w:p w14:paraId="1B069FE6" w14:textId="4034369F"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49</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800</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55</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000</w:t>
            </w:r>
          </w:p>
        </w:tc>
        <w:tc>
          <w:tcPr>
            <w:tcW w:w="1814" w:type="dxa"/>
            <w:tcMar>
              <w:top w:w="0" w:type="dxa"/>
              <w:left w:w="108" w:type="dxa"/>
              <w:bottom w:w="0" w:type="dxa"/>
              <w:right w:w="108" w:type="dxa"/>
            </w:tcMar>
            <w:vAlign w:val="center"/>
          </w:tcPr>
          <w:p w14:paraId="6830EEC7"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44,716.44</w:t>
            </w:r>
          </w:p>
        </w:tc>
        <w:tc>
          <w:tcPr>
            <w:tcW w:w="1815" w:type="dxa"/>
            <w:tcMar>
              <w:top w:w="0" w:type="dxa"/>
              <w:left w:w="108" w:type="dxa"/>
              <w:bottom w:w="0" w:type="dxa"/>
              <w:right w:w="108" w:type="dxa"/>
            </w:tcMar>
            <w:vAlign w:val="center"/>
          </w:tcPr>
          <w:p w14:paraId="38453949"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38,501.66</w:t>
            </w:r>
          </w:p>
        </w:tc>
      </w:tr>
      <w:tr w:rsidR="00201A42" w:rsidRPr="00DA3766" w14:paraId="5D353E0A" w14:textId="77777777" w:rsidTr="00CA63D5">
        <w:trPr>
          <w:trHeight w:val="397"/>
          <w:jc w:val="center"/>
        </w:trPr>
        <w:tc>
          <w:tcPr>
            <w:tcW w:w="3085" w:type="dxa"/>
            <w:tcMar>
              <w:top w:w="0" w:type="dxa"/>
              <w:left w:w="108" w:type="dxa"/>
              <w:bottom w:w="0" w:type="dxa"/>
              <w:right w:w="108" w:type="dxa"/>
            </w:tcMar>
            <w:vAlign w:val="center"/>
          </w:tcPr>
          <w:p w14:paraId="6A103195" w14:textId="77777777" w:rsidR="00201A42" w:rsidRPr="00DA3766" w:rsidRDefault="00201A42" w:rsidP="00201A42">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bookmarkStart w:id="103" w:name="_Hlk213684982"/>
            <w:r w:rsidRPr="00DA3766">
              <w:rPr>
                <w:rFonts w:ascii="Times New Roman" w:hAnsi="Times New Roman" w:cs="Times New Roman"/>
                <w:kern w:val="2"/>
                <w:sz w:val="21"/>
                <w:szCs w:val="21"/>
              </w:rPr>
              <w:t>净利润</w:t>
            </w:r>
          </w:p>
        </w:tc>
        <w:tc>
          <w:tcPr>
            <w:tcW w:w="1814" w:type="dxa"/>
            <w:tcMar>
              <w:top w:w="0" w:type="dxa"/>
              <w:left w:w="108" w:type="dxa"/>
              <w:bottom w:w="0" w:type="dxa"/>
              <w:right w:w="108" w:type="dxa"/>
            </w:tcMar>
            <w:vAlign w:val="center"/>
          </w:tcPr>
          <w:p w14:paraId="0A4B0B15" w14:textId="2A068D5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10</w:t>
            </w:r>
            <w:r>
              <w:rPr>
                <w:rFonts w:ascii="Times New Roman" w:hAnsi="Times New Roman" w:cs="Times New Roman" w:hint="eastAsia"/>
                <w:color w:val="000000"/>
                <w:kern w:val="2"/>
                <w:sz w:val="21"/>
              </w:rPr>
              <w:t>,4</w:t>
            </w:r>
            <w:r w:rsidRPr="00857BAF">
              <w:rPr>
                <w:rFonts w:ascii="Times New Roman" w:hAnsi="Times New Roman" w:cs="Times New Roman"/>
                <w:color w:val="000000"/>
                <w:kern w:val="2"/>
                <w:sz w:val="21"/>
              </w:rPr>
              <w:t>00-11</w:t>
            </w:r>
            <w:r>
              <w:rPr>
                <w:rFonts w:ascii="Times New Roman" w:hAnsi="Times New Roman" w:cs="Times New Roman" w:hint="eastAsia"/>
                <w:color w:val="000000"/>
                <w:kern w:val="2"/>
                <w:sz w:val="21"/>
              </w:rPr>
              <w:t>,0</w:t>
            </w:r>
            <w:r w:rsidRPr="00857BAF">
              <w:rPr>
                <w:rFonts w:ascii="Times New Roman" w:hAnsi="Times New Roman" w:cs="Times New Roman"/>
                <w:color w:val="000000"/>
                <w:kern w:val="2"/>
                <w:sz w:val="21"/>
              </w:rPr>
              <w:t>00</w:t>
            </w:r>
          </w:p>
        </w:tc>
        <w:tc>
          <w:tcPr>
            <w:tcW w:w="1814" w:type="dxa"/>
            <w:tcMar>
              <w:top w:w="0" w:type="dxa"/>
              <w:left w:w="108" w:type="dxa"/>
              <w:bottom w:w="0" w:type="dxa"/>
              <w:right w:w="108" w:type="dxa"/>
            </w:tcMar>
            <w:vAlign w:val="center"/>
          </w:tcPr>
          <w:p w14:paraId="7BF4D1F5"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9,466.96</w:t>
            </w:r>
          </w:p>
        </w:tc>
        <w:tc>
          <w:tcPr>
            <w:tcW w:w="1815" w:type="dxa"/>
            <w:tcMar>
              <w:top w:w="0" w:type="dxa"/>
              <w:left w:w="108" w:type="dxa"/>
              <w:bottom w:w="0" w:type="dxa"/>
              <w:right w:w="108" w:type="dxa"/>
            </w:tcMar>
            <w:vAlign w:val="center"/>
          </w:tcPr>
          <w:p w14:paraId="7A27A015"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3,369.27</w:t>
            </w:r>
          </w:p>
        </w:tc>
      </w:tr>
      <w:tr w:rsidR="00201A42" w:rsidRPr="00DA3766" w14:paraId="6FD1B04B" w14:textId="77777777" w:rsidTr="00CA63D5">
        <w:trPr>
          <w:trHeight w:val="397"/>
          <w:jc w:val="center"/>
        </w:trPr>
        <w:tc>
          <w:tcPr>
            <w:tcW w:w="3085" w:type="dxa"/>
            <w:tcMar>
              <w:top w:w="0" w:type="dxa"/>
              <w:left w:w="108" w:type="dxa"/>
              <w:bottom w:w="0" w:type="dxa"/>
              <w:right w:w="108" w:type="dxa"/>
            </w:tcMar>
            <w:vAlign w:val="center"/>
          </w:tcPr>
          <w:p w14:paraId="5E99DB93" w14:textId="77777777" w:rsidR="00201A42" w:rsidRPr="00DA3766" w:rsidRDefault="00201A42" w:rsidP="00201A42">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sidRPr="00DA3766">
              <w:rPr>
                <w:rFonts w:ascii="Times New Roman" w:hAnsi="Times New Roman" w:cs="Times New Roman"/>
                <w:kern w:val="2"/>
                <w:sz w:val="21"/>
                <w:szCs w:val="21"/>
              </w:rPr>
              <w:t>归属于母公司所有者的净利润</w:t>
            </w:r>
          </w:p>
        </w:tc>
        <w:tc>
          <w:tcPr>
            <w:tcW w:w="1814" w:type="dxa"/>
            <w:tcMar>
              <w:top w:w="0" w:type="dxa"/>
              <w:left w:w="108" w:type="dxa"/>
              <w:bottom w:w="0" w:type="dxa"/>
              <w:right w:w="108" w:type="dxa"/>
            </w:tcMar>
            <w:vAlign w:val="center"/>
          </w:tcPr>
          <w:p w14:paraId="4F897D5A" w14:textId="51756A1B"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9</w:t>
            </w:r>
            <w:r>
              <w:rPr>
                <w:rFonts w:ascii="Times New Roman" w:hAnsi="Times New Roman" w:cs="Times New Roman" w:hint="eastAsia"/>
                <w:color w:val="000000"/>
                <w:kern w:val="2"/>
                <w:sz w:val="21"/>
              </w:rPr>
              <w:t>,450</w:t>
            </w:r>
            <w:r w:rsidRPr="00857BAF">
              <w:rPr>
                <w:rFonts w:ascii="Times New Roman" w:hAnsi="Times New Roman" w:cs="Times New Roman"/>
                <w:color w:val="000000"/>
                <w:kern w:val="2"/>
                <w:sz w:val="21"/>
              </w:rPr>
              <w:t>-</w:t>
            </w:r>
            <w:r>
              <w:rPr>
                <w:rFonts w:ascii="Times New Roman" w:hAnsi="Times New Roman" w:cs="Times New Roman" w:hint="eastAsia"/>
                <w:color w:val="000000"/>
                <w:kern w:val="2"/>
                <w:sz w:val="21"/>
              </w:rPr>
              <w:t>9,950</w:t>
            </w:r>
          </w:p>
        </w:tc>
        <w:tc>
          <w:tcPr>
            <w:tcW w:w="1814" w:type="dxa"/>
            <w:tcMar>
              <w:top w:w="0" w:type="dxa"/>
              <w:left w:w="108" w:type="dxa"/>
              <w:bottom w:w="0" w:type="dxa"/>
              <w:right w:w="108" w:type="dxa"/>
            </w:tcMar>
            <w:vAlign w:val="center"/>
          </w:tcPr>
          <w:p w14:paraId="689AD590"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8,666.13</w:t>
            </w:r>
          </w:p>
        </w:tc>
        <w:tc>
          <w:tcPr>
            <w:tcW w:w="1815" w:type="dxa"/>
            <w:tcMar>
              <w:top w:w="0" w:type="dxa"/>
              <w:left w:w="108" w:type="dxa"/>
              <w:bottom w:w="0" w:type="dxa"/>
              <w:right w:w="108" w:type="dxa"/>
            </w:tcMar>
            <w:vAlign w:val="center"/>
          </w:tcPr>
          <w:p w14:paraId="16FFD66C" w14:textId="77777777" w:rsidR="00201A42" w:rsidRPr="00DA3766" w:rsidRDefault="00201A42" w:rsidP="00201A42">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3,869.38</w:t>
            </w:r>
          </w:p>
        </w:tc>
      </w:tr>
    </w:tbl>
    <w:bookmarkEnd w:id="103"/>
    <w:p w14:paraId="5A651CE3" w14:textId="77777777" w:rsidR="00EB3B4C" w:rsidRPr="00DA3766" w:rsidRDefault="00EB3B4C" w:rsidP="001076ED">
      <w:pPr>
        <w:pStyle w:val="006"/>
        <w:ind w:firstLine="420"/>
        <w:rPr>
          <w:shd w:val="clear" w:color="auto" w:fill="FFFFFF"/>
        </w:rPr>
      </w:pPr>
      <w:r w:rsidRPr="00DA3766">
        <w:rPr>
          <w:shd w:val="clear" w:color="auto" w:fill="FFFFFF"/>
        </w:rPr>
        <w:t>注：以上</w:t>
      </w:r>
      <w:r w:rsidRPr="00DA3766">
        <w:rPr>
          <w:shd w:val="clear" w:color="auto" w:fill="FFFFFF"/>
        </w:rPr>
        <w:t>2025</w:t>
      </w:r>
      <w:r w:rsidRPr="00DA3766">
        <w:rPr>
          <w:shd w:val="clear" w:color="auto" w:fill="FFFFFF"/>
        </w:rPr>
        <w:t>年财务数据未经审计。</w:t>
      </w:r>
    </w:p>
    <w:p w14:paraId="7412232D"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截至本回复报告出具日，星云开物整体经营状况良好，期后业绩与本次评估收益法预测数据基本接近，预测数据合理。</w:t>
      </w:r>
    </w:p>
    <w:p w14:paraId="76DC791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（二）行业政策、市场环境对标的资产经营业绩及估值的影响</w:t>
      </w:r>
    </w:p>
    <w:p w14:paraId="031D8DF8"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评估基准日后，影响星云开物生产经营及评估值的行业政策、市场环境未发生重大不利变化。</w:t>
      </w:r>
    </w:p>
    <w:p w14:paraId="1FDC2243"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（三）本次收益法评估相关参数选取是否谨慎、合理，预测过程是否准确、客观，本次交易定价是否公允，是否符合《重组办法》第十一条的规定</w:t>
      </w:r>
    </w:p>
    <w:p w14:paraId="5B1B1C89"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综上所述，本次收益法评估相关参数选取谨慎、合理，预测过程准确、客观，交易定价公允，符合《重组办法》第十一条的规定。</w:t>
      </w:r>
    </w:p>
    <w:p w14:paraId="140A7558" w14:textId="77777777" w:rsidR="00E76498" w:rsidRDefault="00E76498" w:rsidP="00E76498">
      <w:pPr>
        <w:keepNext/>
        <w:keepLines/>
        <w:widowControl w:val="0"/>
        <w:spacing w:before="120" w:after="120"/>
        <w:ind w:firstLine="482"/>
        <w:jc w:val="both"/>
        <w:outlineLvl w:val="1"/>
        <w:rPr>
          <w:rFonts w:ascii="Times New Roman" w:hAnsi="Times New Roman" w:cs="Times New Roman"/>
          <w:b/>
          <w:bCs/>
          <w:kern w:val="2"/>
          <w:szCs w:val="28"/>
        </w:rPr>
      </w:pPr>
      <w:bookmarkStart w:id="104" w:name="_Toc220344120"/>
      <w:r w:rsidRPr="00DA3766">
        <w:rPr>
          <w:rFonts w:ascii="Times New Roman" w:hAnsi="Times New Roman" w:cs="Times New Roman"/>
          <w:b/>
          <w:bCs/>
          <w:kern w:val="2"/>
          <w:szCs w:val="28"/>
        </w:rPr>
        <w:lastRenderedPageBreak/>
        <w:t>十二、</w:t>
      </w:r>
      <w:r>
        <w:rPr>
          <w:rFonts w:ascii="Times New Roman" w:hAnsi="Times New Roman" w:cs="Times New Roman" w:hint="eastAsia"/>
          <w:b/>
          <w:bCs/>
          <w:kern w:val="2"/>
          <w:szCs w:val="28"/>
        </w:rPr>
        <w:t>中介机构</w:t>
      </w:r>
      <w:r w:rsidRPr="00DA3766">
        <w:rPr>
          <w:rFonts w:ascii="Times New Roman" w:hAnsi="Times New Roman" w:cs="Times New Roman"/>
          <w:b/>
          <w:bCs/>
          <w:kern w:val="2"/>
          <w:szCs w:val="28"/>
        </w:rPr>
        <w:t>核查过程及核查意见</w:t>
      </w:r>
    </w:p>
    <w:p w14:paraId="704462A5"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0A893E31"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4E23A728" w14:textId="77777777" w:rsidR="00E76498" w:rsidRDefault="00E76498" w:rsidP="00E76498">
      <w:pPr>
        <w:widowControl w:val="0"/>
        <w:spacing w:before="120" w:after="120"/>
        <w:ind w:firstLine="480"/>
        <w:jc w:val="both"/>
        <w:rPr>
          <w:rFonts w:hint="eastAsia"/>
        </w:rPr>
      </w:pPr>
      <w:r w:rsidRPr="00DA3766">
        <w:t>针对前述事项，独立财务顾问主要实施了以下核查程序：</w:t>
      </w:r>
    </w:p>
    <w:p w14:paraId="48D07CB4"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DA3766">
        <w:rPr>
          <w:rFonts w:ascii="Times New Roman" w:hAnsi="Times New Roman" w:cs="Times New Roman"/>
          <w:kern w:val="2"/>
          <w:szCs w:val="22"/>
        </w:rPr>
        <w:t>查阅标的公司报告期收入成本表，访谈标的公司管理层，了解公司各业务未来发展规划、公司主要产品销售未来预计增速与变动趋势，并查阅行业报告及可比公司信息，验证预测期收入和毛利率水平的合理性；复核评估模型关键参数的预测情况；</w:t>
      </w:r>
    </w:p>
    <w:p w14:paraId="014CD0B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DA3766">
        <w:rPr>
          <w:rFonts w:ascii="Times New Roman" w:hAnsi="Times New Roman" w:cs="Times New Roman"/>
          <w:kern w:val="2"/>
          <w:szCs w:val="22"/>
        </w:rPr>
        <w:t>查阅相关行业分析报告、市场研报信息，并访谈公司管理层，了解标的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14:paraId="7AEF0531"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DA3766">
        <w:rPr>
          <w:rFonts w:ascii="Times New Roman" w:hAnsi="Times New Roman" w:cs="Times New Roman"/>
          <w:kern w:val="2"/>
          <w:szCs w:val="22"/>
        </w:rPr>
        <w:t>查阅标的公司报告期收入成本表，访谈标的公司管理层，了解各业务毛利率的主要影响因素及其未来变化情况，查阅同行业可比公司毛利率信息，验证标的公司各业务毛利率预测合理性与谨慎性；</w:t>
      </w:r>
    </w:p>
    <w:p w14:paraId="3EA72269"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4</w:t>
      </w:r>
      <w:r>
        <w:rPr>
          <w:rFonts w:ascii="Times New Roman" w:hAnsi="Times New Roman" w:cs="Times New Roman" w:hint="eastAsia"/>
          <w:kern w:val="2"/>
          <w:szCs w:val="22"/>
        </w:rPr>
        <w:t>）</w:t>
      </w:r>
      <w:r w:rsidRPr="00DA3766">
        <w:rPr>
          <w:rFonts w:ascii="Times New Roman" w:hAnsi="Times New Roman" w:cs="Times New Roman"/>
          <w:kern w:val="2"/>
          <w:szCs w:val="22"/>
        </w:rPr>
        <w:t>查阅标的公司报告期各期的期间费用构成、变化趋势及费用率水平等资料，分析期间费用变动的原因；访谈标的公司管理层，了解期间费用率低于报告期平均水平且呈现逐年下降趋势的合理性；</w:t>
      </w:r>
    </w:p>
    <w:p w14:paraId="2CDFF408"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5</w:t>
      </w:r>
      <w:r>
        <w:rPr>
          <w:rFonts w:ascii="Times New Roman" w:hAnsi="Times New Roman" w:cs="Times New Roman" w:hint="eastAsia"/>
          <w:kern w:val="2"/>
          <w:szCs w:val="22"/>
        </w:rPr>
        <w:t>）</w:t>
      </w:r>
      <w:r w:rsidRPr="00DA3766">
        <w:rPr>
          <w:rFonts w:ascii="Times New Roman" w:hAnsi="Times New Roman" w:cs="Times New Roman"/>
          <w:kern w:val="2"/>
          <w:szCs w:val="22"/>
        </w:rPr>
        <w:t>核查评估过程中采取的所得税税率、优惠政策及所得税费用情况；</w:t>
      </w:r>
    </w:p>
    <w:p w14:paraId="26A1A13D"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6</w:t>
      </w:r>
      <w:r>
        <w:rPr>
          <w:rFonts w:ascii="Times New Roman" w:hAnsi="Times New Roman" w:cs="Times New Roman" w:hint="eastAsia"/>
          <w:kern w:val="2"/>
          <w:szCs w:val="22"/>
        </w:rPr>
        <w:t>）</w:t>
      </w:r>
      <w:r w:rsidRPr="00DA3766">
        <w:rPr>
          <w:rFonts w:ascii="Times New Roman" w:hAnsi="Times New Roman" w:cs="Times New Roman"/>
          <w:kern w:val="2"/>
          <w:szCs w:val="22"/>
        </w:rPr>
        <w:t>查阅并分析标的公司固定资产、无形资产、营运资金规模、存量资产使用、未来销售规模和资本性支出计划等情况；了解标的公司折旧摊销政策；对预测期资本性支出、折旧摊销金额、营运资本金额变动的合理性进行分析；</w:t>
      </w:r>
    </w:p>
    <w:p w14:paraId="21B35BD5"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7</w:t>
      </w:r>
      <w:r>
        <w:rPr>
          <w:rFonts w:ascii="Times New Roman" w:hAnsi="Times New Roman" w:cs="Times New Roman" w:hint="eastAsia"/>
          <w:kern w:val="2"/>
          <w:szCs w:val="22"/>
        </w:rPr>
        <w:t>）</w:t>
      </w:r>
      <w:r w:rsidRPr="00DA3766">
        <w:rPr>
          <w:rFonts w:ascii="Times New Roman" w:hAnsi="Times New Roman" w:cs="Times New Roman"/>
          <w:kern w:val="2"/>
          <w:szCs w:val="22"/>
        </w:rPr>
        <w:t>分析与折现率相关的评估指引、证监会相关文件，核实折现率计算中</w:t>
      </w:r>
      <w:r w:rsidRPr="00DA3766">
        <w:rPr>
          <w:rFonts w:ascii="Times New Roman" w:hAnsi="Times New Roman" w:cs="Times New Roman"/>
          <w:kern w:val="2"/>
          <w:szCs w:val="22"/>
        </w:rPr>
        <w:lastRenderedPageBreak/>
        <w:t>资本结构选择的合理性；调查了解基准日时标的公司的资本结构以及未来的借款需求情况；收集分析证券市场交易案例的折现率计算方法、相关参数及结果，并与本次评估进行比较分析；</w:t>
      </w:r>
    </w:p>
    <w:p w14:paraId="78D6B678"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8</w:t>
      </w:r>
      <w:r>
        <w:rPr>
          <w:rFonts w:ascii="Times New Roman" w:hAnsi="Times New Roman" w:cs="Times New Roman" w:hint="eastAsia"/>
          <w:kern w:val="2"/>
          <w:szCs w:val="22"/>
        </w:rPr>
        <w:t>）</w:t>
      </w:r>
      <w:r w:rsidRPr="00DA3766">
        <w:rPr>
          <w:rFonts w:ascii="Times New Roman" w:hAnsi="Times New Roman" w:cs="Times New Roman"/>
          <w:kern w:val="2"/>
          <w:szCs w:val="22"/>
        </w:rPr>
        <w:t>访谈标的公司管理层，了解湖南小充的经营情况及注销进展；复核评估机构针对长期股权投资的具体测算过程及测算依据，验证股权价值计算的合理性和公允性；</w:t>
      </w:r>
    </w:p>
    <w:p w14:paraId="60230D5B"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9</w:t>
      </w:r>
      <w:r>
        <w:rPr>
          <w:rFonts w:ascii="Times New Roman" w:hAnsi="Times New Roman" w:cs="Times New Roman" w:hint="eastAsia"/>
          <w:kern w:val="2"/>
          <w:szCs w:val="22"/>
        </w:rPr>
        <w:t>）</w:t>
      </w:r>
      <w:r w:rsidRPr="00DA3766">
        <w:rPr>
          <w:rFonts w:ascii="Times New Roman" w:hAnsi="Times New Roman" w:cs="Times New Roman"/>
          <w:kern w:val="2"/>
          <w:szCs w:val="22"/>
        </w:rPr>
        <w:t>查询可比上市公司及市场可比交易案例情况，对比分析可比上市公司及市场可比交易案例具体业务结构和市净率等估值水平；</w:t>
      </w:r>
    </w:p>
    <w:p w14:paraId="3BC44E5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10</w:t>
      </w:r>
      <w:r>
        <w:rPr>
          <w:rFonts w:ascii="Times New Roman" w:hAnsi="Times New Roman" w:cs="Times New Roman" w:hint="eastAsia"/>
          <w:kern w:val="2"/>
          <w:szCs w:val="22"/>
        </w:rPr>
        <w:t>）</w:t>
      </w:r>
      <w:r w:rsidRPr="00DA3766">
        <w:rPr>
          <w:rFonts w:ascii="Times New Roman" w:hAnsi="Times New Roman" w:cs="Times New Roman"/>
          <w:kern w:val="2"/>
          <w:szCs w:val="22"/>
        </w:rPr>
        <w:t>取得并查阅标的公司自设立以来的工商登记资料，历次减资、股权转让的相关协议，增资及股权转让价款支付凭证；访谈公司管理层，了解历次减资、股权转让作价估值依据；</w:t>
      </w:r>
    </w:p>
    <w:p w14:paraId="74FDA010"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11</w:t>
      </w:r>
      <w:r>
        <w:rPr>
          <w:rFonts w:ascii="Times New Roman" w:hAnsi="Times New Roman" w:cs="Times New Roman" w:hint="eastAsia"/>
          <w:kern w:val="2"/>
          <w:szCs w:val="22"/>
        </w:rPr>
        <w:t>）</w:t>
      </w:r>
      <w:r w:rsidRPr="00DA3766">
        <w:rPr>
          <w:rFonts w:ascii="Times New Roman" w:hAnsi="Times New Roman" w:cs="Times New Roman"/>
          <w:kern w:val="2"/>
          <w:szCs w:val="22"/>
        </w:rPr>
        <w:t>获取标的公司</w:t>
      </w:r>
      <w:r w:rsidRPr="00DA3766">
        <w:rPr>
          <w:rFonts w:ascii="Times New Roman" w:hAnsi="Times New Roman" w:cs="Times New Roman"/>
          <w:kern w:val="2"/>
          <w:szCs w:val="22"/>
        </w:rPr>
        <w:t>2025</w:t>
      </w:r>
      <w:r w:rsidRPr="00DA3766">
        <w:rPr>
          <w:rFonts w:ascii="Times New Roman" w:hAnsi="Times New Roman" w:cs="Times New Roman"/>
          <w:kern w:val="2"/>
          <w:szCs w:val="22"/>
        </w:rPr>
        <w:t>年度经营业绩数据；查阅行业研究报告和访谈管理层，了解标的公司所处行业政策、市场环境的变化及对标的公司估值的影响；复核本次收益法评估相关参数选取依据。</w:t>
      </w:r>
    </w:p>
    <w:p w14:paraId="40F284D1"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32DE1B45"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0DC8FBA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DA3766">
        <w:rPr>
          <w:rFonts w:ascii="Times New Roman" w:hAnsi="Times New Roman" w:cs="Times New Roman"/>
          <w:kern w:val="2"/>
          <w:szCs w:val="22"/>
        </w:rPr>
        <w:t>收益法评估中预测期各年各业务收入、毛利率等重要评估参数的具体预测情况、测算过程、测算依据具备合理性。</w:t>
      </w:r>
    </w:p>
    <w:p w14:paraId="726A6052"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DA3766">
        <w:rPr>
          <w:rFonts w:ascii="Times New Roman" w:hAnsi="Times New Roman" w:cs="Times New Roman"/>
          <w:kern w:val="2"/>
          <w:szCs w:val="22"/>
        </w:rPr>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智能硬件收入相对稳定的情况下</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云平台、数字增值服务收入维持增长主要系由于标的公司业务模式系通过维持活跃设备规模稳定增长，带动支付用户数量、交易流水等运营数据持续增加，进而支撑</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云平台、数字增值服务收入维持增长，具备合理性；</w:t>
      </w:r>
    </w:p>
    <w:p w14:paraId="75FE2E42"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lastRenderedPageBreak/>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DA3766">
        <w:rPr>
          <w:rFonts w:ascii="Times New Roman" w:hAnsi="Times New Roman" w:cs="Times New Roman"/>
          <w:kern w:val="2"/>
          <w:szCs w:val="22"/>
        </w:rPr>
        <w:t>标的公司预测期内各业务毛利率较报告期、同行业可比公司不存在显著差异等，各业务毛利率预测具备合理性和谨慎性；</w:t>
      </w:r>
    </w:p>
    <w:p w14:paraId="33419F9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4</w:t>
      </w:r>
      <w:r>
        <w:rPr>
          <w:rFonts w:ascii="Times New Roman" w:hAnsi="Times New Roman" w:cs="Times New Roman" w:hint="eastAsia"/>
          <w:kern w:val="2"/>
          <w:szCs w:val="22"/>
        </w:rPr>
        <w:t>）</w:t>
      </w:r>
      <w:r w:rsidRPr="00DA3766">
        <w:rPr>
          <w:rFonts w:ascii="Times New Roman" w:hAnsi="Times New Roman" w:cs="Times New Roman"/>
          <w:kern w:val="2"/>
          <w:szCs w:val="22"/>
        </w:rPr>
        <w:t>预测期内期间费用率低于报告期平均水平且呈现逐年下降趋势具备合理性，足以支撑标的资产的持续发展；</w:t>
      </w:r>
    </w:p>
    <w:p w14:paraId="77939F25"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5</w:t>
      </w:r>
      <w:r>
        <w:rPr>
          <w:rFonts w:ascii="Times New Roman" w:hAnsi="Times New Roman" w:cs="Times New Roman" w:hint="eastAsia"/>
          <w:kern w:val="2"/>
          <w:szCs w:val="22"/>
        </w:rPr>
        <w:t>）</w:t>
      </w:r>
      <w:r w:rsidRPr="00DA3766">
        <w:rPr>
          <w:rFonts w:ascii="Times New Roman" w:hAnsi="Times New Roman" w:cs="Times New Roman"/>
          <w:kern w:val="2"/>
          <w:szCs w:val="22"/>
        </w:rPr>
        <w:t>各子公司业绩及其少数股东权益价值的测算具备合理性和准确性；评估测算使用的所得税税率、优惠政策符合相关法律法规的规定；所得税费用的预测具备合理性和准确性；</w:t>
      </w:r>
    </w:p>
    <w:p w14:paraId="754D38FD"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6</w:t>
      </w:r>
      <w:r>
        <w:rPr>
          <w:rFonts w:ascii="Times New Roman" w:hAnsi="Times New Roman" w:cs="Times New Roman" w:hint="eastAsia"/>
          <w:kern w:val="2"/>
          <w:szCs w:val="22"/>
        </w:rPr>
        <w:t>）</w:t>
      </w:r>
      <w:r w:rsidRPr="00DA3766">
        <w:rPr>
          <w:rFonts w:ascii="Times New Roman" w:hAnsi="Times New Roman" w:cs="Times New Roman"/>
          <w:kern w:val="2"/>
          <w:szCs w:val="22"/>
        </w:rPr>
        <w:t>折旧与摊销、资本性支出金额呈下降趋势具备合理性，营运资本增加额均为负值主要系由于公司业务模式下应收款项周转率较快导致，具备合理性，与销售规模相匹配；</w:t>
      </w:r>
    </w:p>
    <w:p w14:paraId="2E902724"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7</w:t>
      </w:r>
      <w:r>
        <w:rPr>
          <w:rFonts w:ascii="Times New Roman" w:hAnsi="Times New Roman" w:cs="Times New Roman" w:hint="eastAsia"/>
          <w:kern w:val="2"/>
          <w:szCs w:val="22"/>
        </w:rPr>
        <w:t>）</w:t>
      </w:r>
      <w:r w:rsidRPr="00DA3766">
        <w:rPr>
          <w:rFonts w:ascii="Times New Roman" w:hAnsi="Times New Roman" w:cs="Times New Roman"/>
          <w:kern w:val="2"/>
          <w:szCs w:val="22"/>
        </w:rPr>
        <w:t>折现率确定过程中根据业务特征选取</w:t>
      </w:r>
      <w:r w:rsidRPr="00DA3766">
        <w:rPr>
          <w:rFonts w:ascii="Times New Roman" w:hAnsi="Times New Roman" w:cs="Times New Roman"/>
          <w:kern w:val="2"/>
          <w:szCs w:val="22"/>
        </w:rPr>
        <w:t>26</w:t>
      </w:r>
      <w:r w:rsidRPr="00DA3766">
        <w:rPr>
          <w:rFonts w:ascii="Times New Roman" w:hAnsi="Times New Roman" w:cs="Times New Roman"/>
          <w:kern w:val="2"/>
          <w:szCs w:val="22"/>
        </w:rPr>
        <w:t>家可比上市公司，具备合理性；折现率的预测具备合理性和谨慎性；</w:t>
      </w:r>
    </w:p>
    <w:p w14:paraId="6B3A52D6"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bookmarkStart w:id="105" w:name="_Hlk218951290"/>
      <w:r>
        <w:rPr>
          <w:rFonts w:ascii="Times New Roman" w:hAnsi="Times New Roman" w:cs="Times New Roman" w:hint="eastAsia"/>
          <w:kern w:val="2"/>
          <w:szCs w:val="22"/>
        </w:rPr>
        <w:t>（</w:t>
      </w:r>
      <w:r>
        <w:rPr>
          <w:rFonts w:ascii="Times New Roman" w:hAnsi="Times New Roman" w:cs="Times New Roman" w:hint="eastAsia"/>
          <w:kern w:val="2"/>
          <w:szCs w:val="22"/>
        </w:rPr>
        <w:t>8</w:t>
      </w:r>
      <w:r>
        <w:rPr>
          <w:rFonts w:ascii="Times New Roman" w:hAnsi="Times New Roman" w:cs="Times New Roman" w:hint="eastAsia"/>
          <w:kern w:val="2"/>
          <w:szCs w:val="22"/>
        </w:rPr>
        <w:t>）</w:t>
      </w:r>
      <w:r w:rsidRPr="00DA3766">
        <w:rPr>
          <w:rFonts w:ascii="Times New Roman" w:hAnsi="Times New Roman" w:cs="Times New Roman"/>
          <w:kern w:val="2"/>
          <w:szCs w:val="22"/>
        </w:rPr>
        <w:t>截至本回复出具之日，湖南小充已无开展经营活动，正在进行工商注销备案</w:t>
      </w:r>
      <w:bookmarkEnd w:id="105"/>
      <w:r w:rsidRPr="00DA3766">
        <w:rPr>
          <w:rFonts w:ascii="Times New Roman" w:hAnsi="Times New Roman" w:cs="Times New Roman"/>
          <w:kern w:val="2"/>
          <w:szCs w:val="22"/>
        </w:rPr>
        <w:t>，以净资产与股比计算股权价值具备合理性和公允性；</w:t>
      </w:r>
    </w:p>
    <w:p w14:paraId="3788D5E0"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9</w:t>
      </w:r>
      <w:r>
        <w:rPr>
          <w:rFonts w:ascii="Times New Roman" w:hAnsi="Times New Roman" w:cs="Times New Roman" w:hint="eastAsia"/>
          <w:kern w:val="2"/>
          <w:szCs w:val="22"/>
        </w:rPr>
        <w:t>）</w:t>
      </w:r>
      <w:r w:rsidRPr="00284359">
        <w:rPr>
          <w:rFonts w:ascii="Times New Roman" w:hAnsi="Times New Roman" w:cs="Times New Roman" w:hint="eastAsia"/>
          <w:kern w:val="2"/>
          <w:szCs w:val="22"/>
        </w:rPr>
        <w:t>标的资产市净率高于可比上市公司主要系受星云开物轻资产经营模式及报告期内股份回购影响导致，具备合理性</w:t>
      </w:r>
      <w:r w:rsidRPr="00DA3766">
        <w:rPr>
          <w:rFonts w:ascii="Times New Roman" w:hAnsi="Times New Roman" w:cs="Times New Roman"/>
          <w:kern w:val="2"/>
          <w:szCs w:val="22"/>
        </w:rPr>
        <w:t>；</w:t>
      </w:r>
    </w:p>
    <w:p w14:paraId="1781CF37"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10</w:t>
      </w:r>
      <w:r>
        <w:rPr>
          <w:rFonts w:ascii="Times New Roman" w:hAnsi="Times New Roman" w:cs="Times New Roman" w:hint="eastAsia"/>
          <w:kern w:val="2"/>
          <w:szCs w:val="22"/>
        </w:rPr>
        <w:t>）</w:t>
      </w:r>
      <w:r w:rsidRPr="00DA3766">
        <w:rPr>
          <w:rFonts w:ascii="Times New Roman" w:hAnsi="Times New Roman" w:cs="Times New Roman"/>
          <w:kern w:val="2"/>
          <w:szCs w:val="22"/>
        </w:rPr>
        <w:t>标的资产最近三年内减资、股权转让的交易对应标的资产的估值及增减值情况主要系根据投资成本或投资成本加一定利息的形式确定，与本次重组评估结果存在差异，具备合理性；</w:t>
      </w:r>
    </w:p>
    <w:p w14:paraId="69F7267A" w14:textId="77777777" w:rsidR="00E76498"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11</w:t>
      </w:r>
      <w:r>
        <w:rPr>
          <w:rFonts w:ascii="Times New Roman" w:hAnsi="Times New Roman" w:cs="Times New Roman" w:hint="eastAsia"/>
          <w:kern w:val="2"/>
          <w:szCs w:val="22"/>
        </w:rPr>
        <w:t>）</w:t>
      </w:r>
      <w:r w:rsidRPr="00DA3766">
        <w:rPr>
          <w:rFonts w:ascii="Times New Roman" w:hAnsi="Times New Roman" w:cs="Times New Roman"/>
          <w:kern w:val="2"/>
          <w:szCs w:val="22"/>
        </w:rPr>
        <w:t>截至本回复出具之日，标的公司期后经营情况良好，行业政策、市场环境未发生重大变动，不存在影响评估结论的重要不确定事项。本次收益法评估相关参数选取谨慎、合理，预测过程准确、客观，交易定价公允，符合《重组办法》第十一条的规定。</w:t>
      </w:r>
    </w:p>
    <w:p w14:paraId="498C0AAF" w14:textId="77777777" w:rsidR="00E76498" w:rsidRPr="00DA3766" w:rsidRDefault="00E76498" w:rsidP="00E76498">
      <w:pPr>
        <w:pStyle w:val="003"/>
        <w:spacing w:before="120" w:after="120"/>
        <w:ind w:firstLine="482"/>
      </w:pPr>
      <w:r>
        <w:rPr>
          <w:rFonts w:hint="eastAsia"/>
        </w:rPr>
        <w:t>（二）评估师</w:t>
      </w:r>
      <w:r w:rsidRPr="00DA3766">
        <w:t>核查过程及核查意见</w:t>
      </w:r>
    </w:p>
    <w:p w14:paraId="1C82B8CA"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5DF7CF5C" w14:textId="77777777" w:rsidR="00E76498" w:rsidRDefault="00E76498" w:rsidP="00E76498">
      <w:pPr>
        <w:widowControl w:val="0"/>
        <w:spacing w:before="120" w:after="120"/>
        <w:ind w:firstLine="480"/>
        <w:jc w:val="both"/>
        <w:rPr>
          <w:rFonts w:hint="eastAsia"/>
        </w:rPr>
      </w:pPr>
      <w:r w:rsidRPr="00DA3766">
        <w:t>针对前述事项，</w:t>
      </w:r>
      <w:r>
        <w:rPr>
          <w:rFonts w:hint="eastAsia"/>
        </w:rPr>
        <w:t>评估师</w:t>
      </w:r>
      <w:r w:rsidRPr="00DA3766">
        <w:t>主要实施了以下核查程序：</w:t>
      </w:r>
    </w:p>
    <w:p w14:paraId="06DADC2F" w14:textId="77777777" w:rsidR="00E76498" w:rsidRDefault="00E76498" w:rsidP="00E76498">
      <w:pPr>
        <w:pStyle w:val="005"/>
        <w:spacing w:before="120" w:after="120"/>
        <w:ind w:firstLine="480"/>
      </w:pPr>
      <w:r>
        <w:rPr>
          <w:rFonts w:hint="eastAsia"/>
        </w:rPr>
        <w:t>（</w:t>
      </w:r>
      <w:r>
        <w:rPr>
          <w:rFonts w:hint="eastAsia"/>
        </w:rPr>
        <w:t>1</w:t>
      </w:r>
      <w:r>
        <w:rPr>
          <w:rFonts w:hint="eastAsia"/>
        </w:rPr>
        <w:t>）查阅标的公司报告期收入成本表，访谈标的公司管理层，了解公司各</w:t>
      </w:r>
      <w:r>
        <w:rPr>
          <w:rFonts w:hint="eastAsia"/>
        </w:rPr>
        <w:lastRenderedPageBreak/>
        <w:t>业务未来发展规划、公司主要产品销售未来预计增速与变动趋势，并查阅行业报告及可比公司信息，验证预测期收入和毛利率水平的合理性；复核评估模型关键参数的预测情况；</w:t>
      </w:r>
    </w:p>
    <w:p w14:paraId="153DAFCC" w14:textId="77777777" w:rsidR="00E76498" w:rsidRDefault="00E76498" w:rsidP="00E76498">
      <w:pPr>
        <w:pStyle w:val="005"/>
        <w:spacing w:before="120" w:after="120"/>
        <w:ind w:firstLine="480"/>
      </w:pPr>
      <w:r>
        <w:rPr>
          <w:rFonts w:hint="eastAsia"/>
        </w:rPr>
        <w:t>（</w:t>
      </w:r>
      <w:r>
        <w:rPr>
          <w:rFonts w:hint="eastAsia"/>
        </w:rPr>
        <w:t>2</w:t>
      </w:r>
      <w:r>
        <w:rPr>
          <w:rFonts w:hint="eastAsia"/>
        </w:rPr>
        <w:t>）查阅相关行业分析报告、市场研报信息，并访谈公司管理层，了解标的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14:paraId="7A8DEBD7" w14:textId="77777777" w:rsidR="00E76498" w:rsidRDefault="00E76498" w:rsidP="00E76498">
      <w:pPr>
        <w:pStyle w:val="005"/>
        <w:spacing w:before="120" w:after="120"/>
        <w:ind w:firstLine="480"/>
      </w:pPr>
      <w:r>
        <w:rPr>
          <w:rFonts w:hint="eastAsia"/>
        </w:rPr>
        <w:t>（</w:t>
      </w:r>
      <w:r>
        <w:rPr>
          <w:rFonts w:hint="eastAsia"/>
        </w:rPr>
        <w:t>3</w:t>
      </w:r>
      <w:r>
        <w:rPr>
          <w:rFonts w:hint="eastAsia"/>
        </w:rPr>
        <w:t>）查阅标的公司报告期收入成本表，访谈标的公司管理层，了解各业务毛利率的主要影响因素及其未来变化情况，查阅同行业可比公司毛利率信息，验证标的公司各业务毛利率预测合理性与谨慎性；</w:t>
      </w:r>
    </w:p>
    <w:p w14:paraId="319D82EE" w14:textId="77777777" w:rsidR="00E76498" w:rsidRDefault="00E76498" w:rsidP="00E76498">
      <w:pPr>
        <w:pStyle w:val="005"/>
        <w:spacing w:before="120" w:after="120"/>
        <w:ind w:firstLine="480"/>
      </w:pPr>
      <w:r>
        <w:rPr>
          <w:rFonts w:hint="eastAsia"/>
        </w:rPr>
        <w:t>（</w:t>
      </w:r>
      <w:r>
        <w:rPr>
          <w:rFonts w:hint="eastAsia"/>
        </w:rPr>
        <w:t>4</w:t>
      </w:r>
      <w:r>
        <w:rPr>
          <w:rFonts w:hint="eastAsia"/>
        </w:rPr>
        <w:t>）查阅标的公司报告期各期的期间费用构成、变化趋势及费用率水平等资料，分析期间费用变动的原因；访谈标的公司管理层，了解期间费用率低于报告期平均水平且呈现逐年下降趋势的合理性；</w:t>
      </w:r>
    </w:p>
    <w:p w14:paraId="02B4A6A0" w14:textId="77777777" w:rsidR="00E76498" w:rsidRDefault="00E76498" w:rsidP="00E76498">
      <w:pPr>
        <w:pStyle w:val="005"/>
        <w:spacing w:before="120" w:after="120"/>
        <w:ind w:firstLine="480"/>
      </w:pPr>
      <w:r>
        <w:rPr>
          <w:rFonts w:hint="eastAsia"/>
        </w:rPr>
        <w:t>（</w:t>
      </w:r>
      <w:r>
        <w:rPr>
          <w:rFonts w:hint="eastAsia"/>
        </w:rPr>
        <w:t>5</w:t>
      </w:r>
      <w:r>
        <w:rPr>
          <w:rFonts w:hint="eastAsia"/>
        </w:rPr>
        <w:t>）核查评估过程中采取的所得税税率、优惠政策及所得税费用情况；</w:t>
      </w:r>
    </w:p>
    <w:p w14:paraId="67690A82" w14:textId="77777777" w:rsidR="00E76498" w:rsidRDefault="00E76498" w:rsidP="00E76498">
      <w:pPr>
        <w:pStyle w:val="005"/>
        <w:spacing w:before="120" w:after="120"/>
        <w:ind w:firstLine="480"/>
      </w:pPr>
      <w:r>
        <w:rPr>
          <w:rFonts w:hint="eastAsia"/>
        </w:rPr>
        <w:t>（</w:t>
      </w:r>
      <w:r>
        <w:rPr>
          <w:rFonts w:hint="eastAsia"/>
        </w:rPr>
        <w:t>6</w:t>
      </w:r>
      <w:r>
        <w:rPr>
          <w:rFonts w:hint="eastAsia"/>
        </w:rPr>
        <w:t>）查阅并分析标的公司固定资产、无形资产、营运资金规模、存量资产使用、未来销售规模和资本性支出计划等情况；了解标的公司折旧摊销政策；对预测期资本性支出、折旧摊销金额、营运资本金额变动的合理性进行分析；</w:t>
      </w:r>
    </w:p>
    <w:p w14:paraId="43C51AE2" w14:textId="77777777" w:rsidR="00E76498" w:rsidRDefault="00E76498" w:rsidP="00E76498">
      <w:pPr>
        <w:pStyle w:val="005"/>
        <w:spacing w:before="120" w:after="120"/>
        <w:ind w:firstLine="480"/>
      </w:pPr>
      <w:r>
        <w:rPr>
          <w:rFonts w:hint="eastAsia"/>
        </w:rPr>
        <w:t>（</w:t>
      </w:r>
      <w:r>
        <w:rPr>
          <w:rFonts w:hint="eastAsia"/>
        </w:rPr>
        <w:t>7</w:t>
      </w:r>
      <w:r>
        <w:rPr>
          <w:rFonts w:hint="eastAsia"/>
        </w:rPr>
        <w:t>）分析与折现率相关的评估指引、证监会相关文件，核实折现率计算中资本结构选择的合理性；调查了解基准日时标的公司的资本结构以及未来的借款需求情况；收集分析证券市场交易案例的折现率计算方法、相关参数及结果，并与本次评估进行比较分析；</w:t>
      </w:r>
    </w:p>
    <w:p w14:paraId="7BA53208" w14:textId="77777777" w:rsidR="00E76498" w:rsidRDefault="00E76498" w:rsidP="00E76498">
      <w:pPr>
        <w:pStyle w:val="005"/>
        <w:spacing w:before="120" w:after="120"/>
        <w:ind w:firstLine="480"/>
      </w:pPr>
      <w:r>
        <w:rPr>
          <w:rFonts w:hint="eastAsia"/>
        </w:rPr>
        <w:t>（</w:t>
      </w:r>
      <w:r>
        <w:rPr>
          <w:rFonts w:hint="eastAsia"/>
        </w:rPr>
        <w:t>8</w:t>
      </w:r>
      <w:r>
        <w:rPr>
          <w:rFonts w:hint="eastAsia"/>
        </w:rPr>
        <w:t>）访谈公司管理层，了解湖南小充的经营情况及注销进展；复核长期股权投资的具体测算过程及测算依据，验证股权价值计算的合理性和公允性；</w:t>
      </w:r>
    </w:p>
    <w:p w14:paraId="0B7D4642" w14:textId="77777777" w:rsidR="00E76498" w:rsidRDefault="00E76498" w:rsidP="00E76498">
      <w:pPr>
        <w:pStyle w:val="005"/>
        <w:spacing w:before="120" w:after="120"/>
        <w:ind w:firstLine="480"/>
      </w:pPr>
      <w:r>
        <w:rPr>
          <w:rFonts w:hint="eastAsia"/>
        </w:rPr>
        <w:t>（</w:t>
      </w:r>
      <w:r>
        <w:rPr>
          <w:rFonts w:hint="eastAsia"/>
        </w:rPr>
        <w:t>9</w:t>
      </w:r>
      <w:r>
        <w:rPr>
          <w:rFonts w:hint="eastAsia"/>
        </w:rPr>
        <w:t>）查询可比上市公司及市场可比交易案例情况，对比分析可比上市公司</w:t>
      </w:r>
      <w:r>
        <w:rPr>
          <w:rFonts w:hint="eastAsia"/>
        </w:rPr>
        <w:lastRenderedPageBreak/>
        <w:t>及市场可比交易案例具体业务结构和市净率等估值水平；</w:t>
      </w:r>
    </w:p>
    <w:p w14:paraId="5FFD1470" w14:textId="77777777" w:rsidR="00E76498" w:rsidRDefault="00E76498" w:rsidP="00E76498">
      <w:pPr>
        <w:pStyle w:val="005"/>
        <w:spacing w:before="120" w:after="120"/>
        <w:ind w:firstLine="480"/>
      </w:pPr>
      <w:r>
        <w:rPr>
          <w:rFonts w:hint="eastAsia"/>
        </w:rPr>
        <w:t>（</w:t>
      </w:r>
      <w:r>
        <w:rPr>
          <w:rFonts w:hint="eastAsia"/>
        </w:rPr>
        <w:t>10</w:t>
      </w:r>
      <w:r>
        <w:rPr>
          <w:rFonts w:hint="eastAsia"/>
        </w:rPr>
        <w:t>）取得并查阅标的公司自设立以来的工商登记资料，历次减资、股权转让的相关协议，增资及股权转让价款支付凭证；访谈公司管理层，了解历次减资、股权转让作价估值依据；</w:t>
      </w:r>
    </w:p>
    <w:p w14:paraId="0B05EAF3" w14:textId="77777777" w:rsidR="00E76498" w:rsidRDefault="00E76498" w:rsidP="00E76498">
      <w:pPr>
        <w:pStyle w:val="005"/>
        <w:spacing w:before="120" w:after="120"/>
        <w:ind w:firstLine="480"/>
      </w:pPr>
      <w:r>
        <w:rPr>
          <w:rFonts w:hint="eastAsia"/>
        </w:rPr>
        <w:t>（</w:t>
      </w:r>
      <w:r>
        <w:rPr>
          <w:rFonts w:hint="eastAsia"/>
        </w:rPr>
        <w:t>11</w:t>
      </w:r>
      <w:r>
        <w:rPr>
          <w:rFonts w:hint="eastAsia"/>
        </w:rPr>
        <w:t>）获取标的公司</w:t>
      </w:r>
      <w:r>
        <w:rPr>
          <w:rFonts w:hint="eastAsia"/>
        </w:rPr>
        <w:t>2025</w:t>
      </w:r>
      <w:r>
        <w:rPr>
          <w:rFonts w:hint="eastAsia"/>
        </w:rPr>
        <w:t>年度经营业绩数据；查阅行业研究报告和访谈管理层，了解标的公司所处行业政策、市场环境的变化及对标的公司估值的影响；复核本次收益法评估相关参数选取依据。</w:t>
      </w:r>
    </w:p>
    <w:p w14:paraId="7D133315" w14:textId="77777777" w:rsidR="00E76498" w:rsidRDefault="00E76498" w:rsidP="00E76498">
      <w:pPr>
        <w:pStyle w:val="004"/>
        <w:spacing w:before="120" w:after="120"/>
        <w:ind w:firstLine="482"/>
      </w:pPr>
      <w:r>
        <w:rPr>
          <w:rFonts w:hint="eastAsia"/>
        </w:rPr>
        <w:t>2</w:t>
      </w:r>
      <w:r>
        <w:rPr>
          <w:rFonts w:hint="eastAsia"/>
        </w:rPr>
        <w:t>、核查意见</w:t>
      </w:r>
    </w:p>
    <w:p w14:paraId="649B9F6B" w14:textId="77777777" w:rsidR="00E76498" w:rsidRDefault="00E76498" w:rsidP="00E76498">
      <w:pPr>
        <w:pStyle w:val="005"/>
        <w:spacing w:before="120" w:after="120"/>
        <w:ind w:firstLine="480"/>
      </w:pPr>
      <w:r>
        <w:rPr>
          <w:rFonts w:hint="eastAsia"/>
        </w:rPr>
        <w:t>经核查，评估师认为：</w:t>
      </w:r>
    </w:p>
    <w:p w14:paraId="413FB033" w14:textId="77777777" w:rsidR="00E76498" w:rsidRDefault="00E76498" w:rsidP="00E76498">
      <w:pPr>
        <w:pStyle w:val="005"/>
        <w:spacing w:before="120" w:after="120"/>
        <w:ind w:firstLine="480"/>
      </w:pPr>
      <w:r>
        <w:rPr>
          <w:rFonts w:hint="eastAsia"/>
        </w:rPr>
        <w:t>（</w:t>
      </w:r>
      <w:r>
        <w:rPr>
          <w:rFonts w:hint="eastAsia"/>
        </w:rPr>
        <w:t>1</w:t>
      </w:r>
      <w:r>
        <w:rPr>
          <w:rFonts w:hint="eastAsia"/>
        </w:rPr>
        <w:t>）收益法评估中预测期各年各业务收入、毛利率等重要评估参数的具体预测情况、测算过程、测算依据具备合理性。</w:t>
      </w:r>
    </w:p>
    <w:p w14:paraId="435776AF" w14:textId="77777777" w:rsidR="00E76498" w:rsidRDefault="00E76498" w:rsidP="00E76498">
      <w:pPr>
        <w:pStyle w:val="005"/>
        <w:spacing w:before="120" w:after="120"/>
        <w:ind w:firstLine="480"/>
      </w:pPr>
      <w:r>
        <w:rPr>
          <w:rFonts w:hint="eastAsia"/>
        </w:rPr>
        <w:t>（</w:t>
      </w:r>
      <w:r>
        <w:rPr>
          <w:rFonts w:hint="eastAsia"/>
        </w:rPr>
        <w:t>2</w:t>
      </w:r>
      <w:r>
        <w:rPr>
          <w:rFonts w:hint="eastAsia"/>
        </w:rPr>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Pr>
          <w:rFonts w:hint="eastAsia"/>
        </w:rPr>
        <w:t>IoT</w:t>
      </w:r>
      <w:r>
        <w:rPr>
          <w:rFonts w:hint="eastAsia"/>
        </w:rPr>
        <w:t>智能硬件收入相对稳定的情况下</w:t>
      </w:r>
      <w:r>
        <w:rPr>
          <w:rFonts w:hint="eastAsia"/>
        </w:rPr>
        <w:t>SaaS</w:t>
      </w:r>
      <w:r>
        <w:rPr>
          <w:rFonts w:hint="eastAsia"/>
        </w:rPr>
        <w:t>云平台、数字增值服务收入维持增长主要系由于标的公司业务模式系通过维持活跃设备规模稳定增长，带动支付用户数量、交易流水等运营数据持续增加，进而支撑</w:t>
      </w:r>
      <w:r>
        <w:rPr>
          <w:rFonts w:hint="eastAsia"/>
        </w:rPr>
        <w:t>SaaS</w:t>
      </w:r>
      <w:r>
        <w:rPr>
          <w:rFonts w:hint="eastAsia"/>
        </w:rPr>
        <w:t>云平台、数字增值服务收入维持增长，具备合理性；</w:t>
      </w:r>
    </w:p>
    <w:p w14:paraId="0D70EF78" w14:textId="77777777" w:rsidR="00E76498" w:rsidRDefault="00E76498" w:rsidP="00E76498">
      <w:pPr>
        <w:pStyle w:val="005"/>
        <w:spacing w:before="120" w:after="120"/>
        <w:ind w:firstLine="480"/>
      </w:pPr>
      <w:r>
        <w:rPr>
          <w:rFonts w:hint="eastAsia"/>
        </w:rPr>
        <w:t>（</w:t>
      </w:r>
      <w:r>
        <w:rPr>
          <w:rFonts w:hint="eastAsia"/>
        </w:rPr>
        <w:t>3</w:t>
      </w:r>
      <w:r>
        <w:rPr>
          <w:rFonts w:hint="eastAsia"/>
        </w:rPr>
        <w:t>）标的公司预测期内各业务毛利率较报告期、同行业可比公司不存在显著差异等，各业务毛利率预测具备合理性和谨慎性；</w:t>
      </w:r>
    </w:p>
    <w:p w14:paraId="409F848B" w14:textId="77777777" w:rsidR="00E76498" w:rsidRDefault="00E76498" w:rsidP="00E76498">
      <w:pPr>
        <w:pStyle w:val="005"/>
        <w:spacing w:before="120" w:after="120"/>
        <w:ind w:firstLine="480"/>
      </w:pPr>
      <w:r>
        <w:rPr>
          <w:rFonts w:hint="eastAsia"/>
        </w:rPr>
        <w:t>（</w:t>
      </w:r>
      <w:r>
        <w:rPr>
          <w:rFonts w:hint="eastAsia"/>
        </w:rPr>
        <w:t>4</w:t>
      </w:r>
      <w:r>
        <w:rPr>
          <w:rFonts w:hint="eastAsia"/>
        </w:rPr>
        <w:t>）预测期内期间费用率低于报告期平均水平且呈现逐年下降趋势具备合理性，足以支撑标的资产的持续发展；</w:t>
      </w:r>
    </w:p>
    <w:p w14:paraId="42AC99F1" w14:textId="77777777" w:rsidR="00E76498" w:rsidRDefault="00E76498" w:rsidP="00E76498">
      <w:pPr>
        <w:pStyle w:val="005"/>
        <w:spacing w:before="120" w:after="120"/>
        <w:ind w:firstLine="480"/>
      </w:pPr>
      <w:r>
        <w:rPr>
          <w:rFonts w:hint="eastAsia"/>
        </w:rPr>
        <w:t>（</w:t>
      </w:r>
      <w:r>
        <w:rPr>
          <w:rFonts w:hint="eastAsia"/>
        </w:rPr>
        <w:t>5</w:t>
      </w:r>
      <w:r>
        <w:rPr>
          <w:rFonts w:hint="eastAsia"/>
        </w:rPr>
        <w:t>）各子公司业绩及其少数股东权益价值的测算具备合理性和准确性；评估测算使用的所得税税率、优惠政策符合相关法律法规的规定；所得税费用的预</w:t>
      </w:r>
      <w:r>
        <w:rPr>
          <w:rFonts w:hint="eastAsia"/>
        </w:rPr>
        <w:lastRenderedPageBreak/>
        <w:t>测具备合理性和准确性；</w:t>
      </w:r>
    </w:p>
    <w:p w14:paraId="729A9D65" w14:textId="77777777" w:rsidR="00E76498" w:rsidRDefault="00E76498" w:rsidP="00E76498">
      <w:pPr>
        <w:pStyle w:val="005"/>
        <w:spacing w:before="120" w:after="120"/>
        <w:ind w:firstLine="480"/>
      </w:pPr>
      <w:r>
        <w:rPr>
          <w:rFonts w:hint="eastAsia"/>
        </w:rPr>
        <w:t>（</w:t>
      </w:r>
      <w:r>
        <w:rPr>
          <w:rFonts w:hint="eastAsia"/>
        </w:rPr>
        <w:t>6</w:t>
      </w:r>
      <w:r>
        <w:rPr>
          <w:rFonts w:hint="eastAsia"/>
        </w:rPr>
        <w:t>）折旧与摊销、资本性支出金额呈下降趋势具备合理性，营运资本增加额均为负值主要系由于公司业务模式下应收款项周转率较快导致，具备合理性，与销售规模相匹配；</w:t>
      </w:r>
    </w:p>
    <w:p w14:paraId="30952CA5" w14:textId="77777777" w:rsidR="00E76498" w:rsidRDefault="00E76498" w:rsidP="00E76498">
      <w:pPr>
        <w:pStyle w:val="005"/>
        <w:spacing w:before="120" w:after="120"/>
        <w:ind w:firstLine="480"/>
      </w:pPr>
      <w:r>
        <w:rPr>
          <w:rFonts w:hint="eastAsia"/>
        </w:rPr>
        <w:t>（</w:t>
      </w:r>
      <w:r>
        <w:rPr>
          <w:rFonts w:hint="eastAsia"/>
        </w:rPr>
        <w:t>7</w:t>
      </w:r>
      <w:r>
        <w:rPr>
          <w:rFonts w:hint="eastAsia"/>
        </w:rPr>
        <w:t>）折现率确定过程中根据业务特征选取</w:t>
      </w:r>
      <w:r>
        <w:rPr>
          <w:rFonts w:hint="eastAsia"/>
        </w:rPr>
        <w:t>26</w:t>
      </w:r>
      <w:r>
        <w:rPr>
          <w:rFonts w:hint="eastAsia"/>
        </w:rPr>
        <w:t>家可比上市公司，具备合理性；折现率的预测具备合理性和谨慎性；</w:t>
      </w:r>
    </w:p>
    <w:p w14:paraId="65DE80A5" w14:textId="77777777" w:rsidR="00E76498" w:rsidRDefault="00E76498" w:rsidP="00E76498">
      <w:pPr>
        <w:pStyle w:val="005"/>
        <w:spacing w:before="120" w:after="120"/>
        <w:ind w:firstLine="480"/>
      </w:pPr>
      <w:r>
        <w:rPr>
          <w:rFonts w:hint="eastAsia"/>
        </w:rPr>
        <w:t>（</w:t>
      </w:r>
      <w:r>
        <w:rPr>
          <w:rFonts w:hint="eastAsia"/>
        </w:rPr>
        <w:t>8</w:t>
      </w:r>
      <w:r>
        <w:rPr>
          <w:rFonts w:hint="eastAsia"/>
        </w:rPr>
        <w:t>）截至本回复出具之日，湖南小充已无开展经营活动，正在进行工商注销备案，以净资产与股比计算股权价值具备合理性和公允性；</w:t>
      </w:r>
    </w:p>
    <w:p w14:paraId="23FA1774" w14:textId="77777777" w:rsidR="00E76498" w:rsidRDefault="00E76498" w:rsidP="00E76498">
      <w:pPr>
        <w:pStyle w:val="005"/>
        <w:spacing w:before="120" w:after="120"/>
        <w:ind w:firstLine="480"/>
      </w:pPr>
      <w:r>
        <w:rPr>
          <w:rFonts w:hint="eastAsia"/>
        </w:rPr>
        <w:t>（</w:t>
      </w:r>
      <w:r>
        <w:rPr>
          <w:rFonts w:hint="eastAsia"/>
        </w:rPr>
        <w:t>9</w:t>
      </w:r>
      <w:r>
        <w:rPr>
          <w:rFonts w:hint="eastAsia"/>
        </w:rPr>
        <w:t>）标的资产市净率高于可比上市公司主要系受星云开物轻资产经营模式及报告期内股份回购影响导致，具备合理性；</w:t>
      </w:r>
    </w:p>
    <w:p w14:paraId="4C628AFE" w14:textId="77777777" w:rsidR="00E76498" w:rsidRDefault="00E76498" w:rsidP="00E76498">
      <w:pPr>
        <w:pStyle w:val="005"/>
        <w:spacing w:before="120" w:after="120"/>
        <w:ind w:firstLine="480"/>
      </w:pPr>
      <w:r>
        <w:rPr>
          <w:rFonts w:hint="eastAsia"/>
        </w:rPr>
        <w:t>（</w:t>
      </w:r>
      <w:r>
        <w:rPr>
          <w:rFonts w:hint="eastAsia"/>
        </w:rPr>
        <w:t>10</w:t>
      </w:r>
      <w:r>
        <w:rPr>
          <w:rFonts w:hint="eastAsia"/>
        </w:rPr>
        <w:t>）标的资产最近三年内减资、股权转让的交易对应标的资产的估值及增减值情况主要系根据投资成本或投资成本加一定利息的形式确定，与本次重组评估结果存在差异，具备合理性；</w:t>
      </w:r>
    </w:p>
    <w:p w14:paraId="7B7B018B" w14:textId="77777777" w:rsidR="00E76498" w:rsidRPr="00DA3766" w:rsidRDefault="00E76498" w:rsidP="00E76498">
      <w:pPr>
        <w:pStyle w:val="005"/>
        <w:spacing w:before="120" w:after="120"/>
        <w:ind w:firstLine="480"/>
      </w:pPr>
      <w:r>
        <w:rPr>
          <w:rFonts w:hint="eastAsia"/>
        </w:rPr>
        <w:t>（</w:t>
      </w:r>
      <w:r>
        <w:rPr>
          <w:rFonts w:hint="eastAsia"/>
        </w:rPr>
        <w:t>11</w:t>
      </w:r>
      <w:r>
        <w:rPr>
          <w:rFonts w:hint="eastAsia"/>
        </w:rPr>
        <w:t>）截至本回复出具之日，标的公司期后经营情况良好，行业政策、市场环境未发生重大变动，不存在影响评估结论的重要不确定事项。本次收益法评估相关参数选取谨慎、合理，预测过程准确、客观，交易定价公允，符合《重组办法》第十一条的规定。</w:t>
      </w:r>
    </w:p>
    <w:p w14:paraId="38F73871" w14:textId="77777777" w:rsidR="00E76498" w:rsidRPr="00DA3766" w:rsidRDefault="00E76498" w:rsidP="00E76498">
      <w:pPr>
        <w:pStyle w:val="003"/>
        <w:spacing w:before="120" w:after="120"/>
        <w:ind w:firstLine="482"/>
      </w:pPr>
      <w:r>
        <w:rPr>
          <w:rFonts w:hint="eastAsia"/>
        </w:rPr>
        <w:t>（三）会计师</w:t>
      </w:r>
      <w:r w:rsidRPr="00DA3766">
        <w:t>核查过程及核查意见</w:t>
      </w:r>
    </w:p>
    <w:p w14:paraId="7F3D2622"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67ECD372" w14:textId="77777777" w:rsidR="00E76498" w:rsidRDefault="00E76498" w:rsidP="00E76498">
      <w:pPr>
        <w:pStyle w:val="005"/>
        <w:spacing w:before="120" w:after="120"/>
        <w:ind w:firstLine="480"/>
      </w:pPr>
      <w:r>
        <w:rPr>
          <w:rFonts w:hint="eastAsia"/>
        </w:rPr>
        <w:t>（</w:t>
      </w:r>
      <w:r>
        <w:rPr>
          <w:rFonts w:hint="eastAsia"/>
        </w:rPr>
        <w:t>1</w:t>
      </w:r>
      <w:r>
        <w:rPr>
          <w:rFonts w:hint="eastAsia"/>
        </w:rPr>
        <w:t>）查阅相关行业分析报告、市场研报信息，并访谈公司管理层，了解标的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14:paraId="0378A83D" w14:textId="77777777" w:rsidR="00E76498" w:rsidRDefault="00E76498" w:rsidP="00E76498">
      <w:pPr>
        <w:pStyle w:val="005"/>
        <w:spacing w:before="120" w:after="120"/>
        <w:ind w:firstLine="480"/>
      </w:pPr>
      <w:r>
        <w:rPr>
          <w:rFonts w:hint="eastAsia"/>
        </w:rPr>
        <w:lastRenderedPageBreak/>
        <w:t>（</w:t>
      </w:r>
      <w:r>
        <w:rPr>
          <w:rFonts w:hint="eastAsia"/>
        </w:rPr>
        <w:t>2</w:t>
      </w:r>
      <w:r>
        <w:rPr>
          <w:rFonts w:hint="eastAsia"/>
        </w:rPr>
        <w:t>）查阅标的公司报告期收入成本表，访谈标的公司管理层，了解各业务毛利率的主要影响因素及其未来变化情况，查阅同行业可比公司毛利率信息，验证标的公司各业务毛利率预测合理性与谨慎性；</w:t>
      </w:r>
    </w:p>
    <w:p w14:paraId="46DAEE3F" w14:textId="77777777" w:rsidR="00E76498" w:rsidRDefault="00E76498" w:rsidP="00E76498">
      <w:pPr>
        <w:pStyle w:val="005"/>
        <w:spacing w:before="120" w:after="120"/>
        <w:ind w:firstLine="480"/>
      </w:pPr>
      <w:r>
        <w:rPr>
          <w:rFonts w:hint="eastAsia"/>
        </w:rPr>
        <w:t>（</w:t>
      </w:r>
      <w:r>
        <w:rPr>
          <w:rFonts w:hint="eastAsia"/>
        </w:rPr>
        <w:t>3</w:t>
      </w:r>
      <w:r>
        <w:rPr>
          <w:rFonts w:hint="eastAsia"/>
        </w:rPr>
        <w:t>）访谈标的公司管理层，了解湖南小充的经营情况及注销进展；复核评估机构针对长期股权投资的具体测算过程及测算依据，验证股权价值计算的合理性和公允性；</w:t>
      </w:r>
    </w:p>
    <w:p w14:paraId="57F2C8AB" w14:textId="77777777" w:rsidR="00E76498" w:rsidRDefault="00E76498" w:rsidP="00E76498">
      <w:pPr>
        <w:pStyle w:val="005"/>
        <w:spacing w:before="120" w:after="120"/>
        <w:ind w:firstLine="480"/>
      </w:pPr>
      <w:r>
        <w:rPr>
          <w:rFonts w:hint="eastAsia"/>
        </w:rPr>
        <w:t>（</w:t>
      </w:r>
      <w:r>
        <w:rPr>
          <w:rFonts w:hint="eastAsia"/>
        </w:rPr>
        <w:t>4</w:t>
      </w:r>
      <w:r>
        <w:rPr>
          <w:rFonts w:hint="eastAsia"/>
        </w:rPr>
        <w:t>）获取标的公司</w:t>
      </w:r>
      <w:r>
        <w:rPr>
          <w:rFonts w:hint="eastAsia"/>
        </w:rPr>
        <w:t>2025</w:t>
      </w:r>
      <w:r>
        <w:rPr>
          <w:rFonts w:hint="eastAsia"/>
        </w:rPr>
        <w:t>年度经营业绩数据；查阅行业研究报告和访谈管理层，了解标的公司所处行业政策、市场环境的变化及对标的公司估值的影响；复核本次收益法评估相关参数选取依据。</w:t>
      </w:r>
    </w:p>
    <w:p w14:paraId="18092389" w14:textId="77777777" w:rsidR="00E76498" w:rsidRPr="00DA3766" w:rsidRDefault="00E76498" w:rsidP="00E76498">
      <w:pPr>
        <w:pStyle w:val="004"/>
        <w:spacing w:before="120" w:after="120"/>
        <w:ind w:firstLine="482"/>
      </w:pPr>
      <w:r>
        <w:rPr>
          <w:rFonts w:hint="eastAsia"/>
        </w:rPr>
        <w:t>2</w:t>
      </w:r>
      <w:r>
        <w:rPr>
          <w:rFonts w:hint="eastAsia"/>
        </w:rPr>
        <w:t>、核查意见</w:t>
      </w:r>
    </w:p>
    <w:p w14:paraId="31A50953"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经核查，会计师认为：</w:t>
      </w:r>
    </w:p>
    <w:p w14:paraId="236384BA"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1</w:t>
      </w:r>
      <w:r w:rsidRPr="00E84881">
        <w:rPr>
          <w:rFonts w:ascii="Times New Roman" w:hAnsi="Times New Roman" w:cs="Times New Roman" w:hint="eastAsia"/>
          <w:kern w:val="2"/>
          <w:szCs w:val="22"/>
        </w:rPr>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sidRPr="00E84881">
        <w:rPr>
          <w:rFonts w:ascii="Times New Roman" w:hAnsi="Times New Roman" w:cs="Times New Roman" w:hint="eastAsia"/>
          <w:kern w:val="2"/>
          <w:szCs w:val="22"/>
        </w:rPr>
        <w:t>IoT</w:t>
      </w:r>
      <w:r w:rsidRPr="00E84881">
        <w:rPr>
          <w:rFonts w:ascii="Times New Roman" w:hAnsi="Times New Roman" w:cs="Times New Roman" w:hint="eastAsia"/>
          <w:kern w:val="2"/>
          <w:szCs w:val="22"/>
        </w:rPr>
        <w:t>智能硬件收入相对稳定的情况下</w:t>
      </w:r>
      <w:r w:rsidRPr="00E84881">
        <w:rPr>
          <w:rFonts w:ascii="Times New Roman" w:hAnsi="Times New Roman" w:cs="Times New Roman" w:hint="eastAsia"/>
          <w:kern w:val="2"/>
          <w:szCs w:val="22"/>
        </w:rPr>
        <w:t>SaaS</w:t>
      </w:r>
      <w:r w:rsidRPr="00E84881">
        <w:rPr>
          <w:rFonts w:ascii="Times New Roman" w:hAnsi="Times New Roman" w:cs="Times New Roman" w:hint="eastAsia"/>
          <w:kern w:val="2"/>
          <w:szCs w:val="22"/>
        </w:rPr>
        <w:t>云平台、数字增值服务收入维持增长主要系由于标的公司业务模式系通过维持活跃设备规模稳定增长，带动支付用户数量、交易流水等运营数据持续增加，进而支撑</w:t>
      </w:r>
      <w:r w:rsidRPr="00E84881">
        <w:rPr>
          <w:rFonts w:ascii="Times New Roman" w:hAnsi="Times New Roman" w:cs="Times New Roman" w:hint="eastAsia"/>
          <w:kern w:val="2"/>
          <w:szCs w:val="22"/>
        </w:rPr>
        <w:t>SaaS</w:t>
      </w:r>
      <w:r w:rsidRPr="00E84881">
        <w:rPr>
          <w:rFonts w:ascii="Times New Roman" w:hAnsi="Times New Roman" w:cs="Times New Roman" w:hint="eastAsia"/>
          <w:kern w:val="2"/>
          <w:szCs w:val="22"/>
        </w:rPr>
        <w:t>云平台、数字增值服务收入维持增长，具备合理性；</w:t>
      </w:r>
    </w:p>
    <w:p w14:paraId="3BE7A9AA"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2</w:t>
      </w:r>
      <w:r w:rsidRPr="00E84881">
        <w:rPr>
          <w:rFonts w:ascii="Times New Roman" w:hAnsi="Times New Roman" w:cs="Times New Roman" w:hint="eastAsia"/>
          <w:kern w:val="2"/>
          <w:szCs w:val="22"/>
        </w:rPr>
        <w:t>、标的公司预测期内各业务毛利率较报告期、同行业可比公司不存在显著差异等，各业务毛利率预测具备合理性和谨慎性；</w:t>
      </w:r>
    </w:p>
    <w:p w14:paraId="4164AD48"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3</w:t>
      </w:r>
      <w:r w:rsidRPr="00E84881">
        <w:rPr>
          <w:rFonts w:ascii="Times New Roman" w:hAnsi="Times New Roman" w:cs="Times New Roman" w:hint="eastAsia"/>
          <w:kern w:val="2"/>
          <w:szCs w:val="22"/>
        </w:rPr>
        <w:t>、截至本回复出具之日，湖南小充已无开展经营活动，正在进行工商注销备案，以净资产与股比计算股权价值具备合理性和公允性；</w:t>
      </w:r>
    </w:p>
    <w:p w14:paraId="4E588AC8"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4</w:t>
      </w:r>
      <w:r w:rsidRPr="00E84881">
        <w:rPr>
          <w:rFonts w:ascii="Times New Roman" w:hAnsi="Times New Roman" w:cs="Times New Roman" w:hint="eastAsia"/>
          <w:kern w:val="2"/>
          <w:szCs w:val="22"/>
        </w:rPr>
        <w:t>、截至本回复出具之日，标的公司期后经营情况良好，行业政策、市场环境未发生重大变动，不存在影响评估结论的重要不确定事项。本次收益法评估相关参数选取谨慎、合理，预测过程准确、客观，交易定价公允，符合《重组办法》</w:t>
      </w:r>
      <w:r w:rsidRPr="00E84881">
        <w:rPr>
          <w:rFonts w:ascii="Times New Roman" w:hAnsi="Times New Roman" w:cs="Times New Roman" w:hint="eastAsia"/>
          <w:kern w:val="2"/>
          <w:szCs w:val="22"/>
        </w:rPr>
        <w:lastRenderedPageBreak/>
        <w:t>第十一条的规定。</w:t>
      </w:r>
    </w:p>
    <w:p w14:paraId="3C952053" w14:textId="77777777" w:rsidR="00EB3B4C" w:rsidRPr="00DA3766" w:rsidRDefault="00EB3B4C" w:rsidP="000C4294">
      <w:pPr>
        <w:pStyle w:val="001"/>
        <w:spacing w:before="120" w:after="120"/>
        <w:ind w:firstLine="480"/>
      </w:pPr>
      <w:r w:rsidRPr="00DA3766">
        <w:lastRenderedPageBreak/>
        <w:t>问题</w:t>
      </w:r>
      <w:r w:rsidRPr="00DA3766">
        <w:t>5</w:t>
      </w:r>
      <w:r w:rsidRPr="00DA3766">
        <w:t>、关于市场法评估</w:t>
      </w:r>
      <w:bookmarkEnd w:id="104"/>
    </w:p>
    <w:p w14:paraId="4005DEE7"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申请文件显示：（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）标的资产股东全部权益的市场法评估值为</w:t>
      </w:r>
      <w:r w:rsidRPr="00DA3766">
        <w:rPr>
          <w:rFonts w:ascii="Times New Roman" w:eastAsia="黑体" w:hAnsi="Times New Roman" w:cs="Times New Roman"/>
          <w:kern w:val="2"/>
          <w:szCs w:val="22"/>
        </w:rPr>
        <w:t>13.4</w:t>
      </w:r>
      <w:r w:rsidRPr="00DA3766">
        <w:rPr>
          <w:rFonts w:ascii="Times New Roman" w:eastAsia="黑体" w:hAnsi="Times New Roman" w:cs="Times New Roman"/>
          <w:kern w:val="2"/>
          <w:szCs w:val="22"/>
        </w:rPr>
        <w:t>亿元，增值率为</w:t>
      </w:r>
      <w:r w:rsidRPr="00DA3766">
        <w:rPr>
          <w:rFonts w:ascii="Times New Roman" w:eastAsia="黑体" w:hAnsi="Times New Roman" w:cs="Times New Roman"/>
          <w:kern w:val="2"/>
          <w:szCs w:val="22"/>
        </w:rPr>
        <w:t>730.32%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）市场法评估中选取映翰通、广联达、石基信息</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家上市公司作为可比公司，采用</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作为价值比率，并从企业规模、成长能力、盈利能力、运营能力、偿债能力、研发能力六个方面对价值比率进行修正。三家可比公司修正后价值比率</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分别为</w:t>
      </w:r>
      <w:r w:rsidRPr="00DA3766">
        <w:rPr>
          <w:rFonts w:ascii="Times New Roman" w:eastAsia="黑体" w:hAnsi="Times New Roman" w:cs="Times New Roman"/>
          <w:kern w:val="2"/>
          <w:szCs w:val="22"/>
        </w:rPr>
        <w:t>2.57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1.89</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4.91</w:t>
      </w:r>
      <w:r w:rsidRPr="00DA3766">
        <w:rPr>
          <w:rFonts w:ascii="Times New Roman" w:eastAsia="黑体" w:hAnsi="Times New Roman" w:cs="Times New Roman"/>
          <w:kern w:val="2"/>
          <w:szCs w:val="22"/>
        </w:rPr>
        <w:t>，存在一定差异。</w:t>
      </w:r>
    </w:p>
    <w:p w14:paraId="3C451A16"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请上市公司补充披露：（</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）结合标的资产与映翰通等</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家上市公司在业务结构、经营模式、企业规模、成长能力、盈利能力、所处经营阶段等方面的对比情况，披露选取的</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家上市公司是否具有可比性。（</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）结合标的资产所处行业特点及其发展阶段等因素，补充披露选择</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作为价值比率的原因及合理性，与行业内其他交易案例是否一致。（</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）补充披露计算可比企业静态</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、修正价值比率、计算市场法评估值时所采用的各项指标、参数的取值时间、数据来源及具体测算过程。（</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）价值比率修正过程中各维度及对应财务指标选取原因、选取依据及合理性，是否能充分体现不同公司的企业价值之间的核心差异，各可比公司调整后</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指标存在差异的原因及合理性等。</w:t>
      </w:r>
    </w:p>
    <w:p w14:paraId="4206937C"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请独立财务顾问和评估师核查并发表明确意见。</w:t>
      </w:r>
    </w:p>
    <w:p w14:paraId="1154DF8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【回复】</w:t>
      </w:r>
    </w:p>
    <w:p w14:paraId="00110675"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一、结合标的资产与映翰通等</w:t>
      </w:r>
      <w:r w:rsidRPr="00DA3766">
        <w:rPr>
          <w:rFonts w:ascii="Times New Roman" w:hAnsi="Times New Roman" w:cs="Times New Roman"/>
          <w:b/>
          <w:bCs/>
          <w:szCs w:val="28"/>
        </w:rPr>
        <w:t>3</w:t>
      </w:r>
      <w:r w:rsidRPr="00DA3766">
        <w:rPr>
          <w:rFonts w:ascii="Times New Roman" w:hAnsi="Times New Roman" w:cs="Times New Roman"/>
          <w:b/>
          <w:bCs/>
          <w:szCs w:val="28"/>
        </w:rPr>
        <w:t>家上市公司在业务结构、经营模式、企业规模、成长能力、盈利能力、所处经营阶段等方面的对比情况，披露选取的</w:t>
      </w:r>
      <w:r w:rsidRPr="00DA3766">
        <w:rPr>
          <w:rFonts w:ascii="Times New Roman" w:hAnsi="Times New Roman" w:cs="Times New Roman"/>
          <w:b/>
          <w:bCs/>
          <w:szCs w:val="28"/>
        </w:rPr>
        <w:t>3</w:t>
      </w:r>
      <w:r w:rsidRPr="00DA3766">
        <w:rPr>
          <w:rFonts w:ascii="Times New Roman" w:hAnsi="Times New Roman" w:cs="Times New Roman"/>
          <w:b/>
          <w:bCs/>
          <w:szCs w:val="28"/>
        </w:rPr>
        <w:t>家上市公司是否具有可比性。</w:t>
      </w:r>
    </w:p>
    <w:p w14:paraId="28316F00"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根据《资产评估执业准则</w:t>
      </w:r>
      <w:r w:rsidRPr="00DA3766">
        <w:rPr>
          <w:rFonts w:ascii="Times New Roman" w:hAnsi="Times New Roman" w:cs="Times New Roman"/>
          <w:szCs w:val="22"/>
        </w:rPr>
        <w:t>——</w:t>
      </w:r>
      <w:r w:rsidRPr="00DA3766">
        <w:rPr>
          <w:rFonts w:ascii="Times New Roman" w:hAnsi="Times New Roman" w:cs="Times New Roman"/>
          <w:szCs w:val="22"/>
        </w:rPr>
        <w:t>企业价值》第三十三条：资产评估专业人员应当关注业务结构、经营模式、企业规模、资产配置和使用情况、企业所处经营阶段、成长性、经营风险、财务风险等因素，恰当选择与被评估单位进行比较分析的可比企业。资产评估专业人员所选择的可比企业与被评估单位应当具有可比性。可比企业应当与被评估单位属于同一行业，或者受相同经济因素的影响。</w:t>
      </w:r>
    </w:p>
    <w:p w14:paraId="0B7C2B32"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本次市场法评估中可比公司的筛选首要考虑为经营模式的一致性，即与标的公司同属于</w:t>
      </w:r>
      <w:r w:rsidRPr="00DA3766">
        <w:rPr>
          <w:rFonts w:cs="Times New Roman"/>
          <w:szCs w:val="22"/>
        </w:rPr>
        <w:t>“</w:t>
      </w:r>
      <w:r w:rsidRPr="00DA3766">
        <w:rPr>
          <w:rFonts w:ascii="Times New Roman" w:hAnsi="Times New Roman" w:cs="Times New Roman"/>
          <w:szCs w:val="22"/>
        </w:rPr>
        <w:t>以物联网（</w:t>
      </w:r>
      <w:r w:rsidRPr="00DA3766">
        <w:rPr>
          <w:rFonts w:ascii="Times New Roman" w:hAnsi="Times New Roman" w:cs="Times New Roman"/>
          <w:szCs w:val="22"/>
        </w:rPr>
        <w:t>IoT</w:t>
      </w:r>
      <w:r w:rsidRPr="00DA3766">
        <w:rPr>
          <w:rFonts w:ascii="Times New Roman" w:hAnsi="Times New Roman" w:cs="Times New Roman"/>
          <w:szCs w:val="22"/>
        </w:rPr>
        <w:t>）智能硬件为入口，软件及云服务（</w:t>
      </w:r>
      <w:r w:rsidRPr="00DA3766">
        <w:rPr>
          <w:rFonts w:ascii="Times New Roman" w:hAnsi="Times New Roman" w:cs="Times New Roman"/>
          <w:szCs w:val="22"/>
        </w:rPr>
        <w:t>SaaS</w:t>
      </w:r>
      <w:r w:rsidRPr="00DA3766">
        <w:rPr>
          <w:rFonts w:ascii="Times New Roman" w:hAnsi="Times New Roman" w:cs="Times New Roman"/>
          <w:szCs w:val="22"/>
        </w:rPr>
        <w:t>）为长期价值变现载体</w:t>
      </w:r>
      <w:r w:rsidRPr="00DA3766">
        <w:rPr>
          <w:rFonts w:cs="Times New Roman"/>
          <w:szCs w:val="22"/>
        </w:rPr>
        <w:t>”</w:t>
      </w:r>
      <w:r w:rsidRPr="00DA3766">
        <w:rPr>
          <w:rFonts w:ascii="Times New Roman" w:hAnsi="Times New Roman" w:cs="Times New Roman"/>
          <w:szCs w:val="22"/>
        </w:rPr>
        <w:t>的行业范式。在此基础上，综合考虑业务结构、企业规模、成长</w:t>
      </w:r>
      <w:r w:rsidRPr="00DA3766">
        <w:rPr>
          <w:rFonts w:ascii="Times New Roman" w:hAnsi="Times New Roman" w:cs="Times New Roman"/>
          <w:szCs w:val="22"/>
        </w:rPr>
        <w:lastRenderedPageBreak/>
        <w:t>能力、盈利能力、所处经营阶段等因素后予以确定。具体选取条件见本回复之</w:t>
      </w:r>
      <w:r w:rsidRPr="00DA3766">
        <w:rPr>
          <w:rFonts w:cs="Times New Roman"/>
          <w:szCs w:val="22"/>
        </w:rPr>
        <w:t>“</w:t>
      </w:r>
      <w:r w:rsidRPr="00DA3766">
        <w:rPr>
          <w:rFonts w:ascii="Times New Roman" w:hAnsi="Times New Roman" w:cs="Times New Roman"/>
          <w:szCs w:val="22"/>
        </w:rPr>
        <w:t>问题</w:t>
      </w:r>
      <w:r w:rsidRPr="00DA3766">
        <w:rPr>
          <w:rFonts w:ascii="Times New Roman" w:hAnsi="Times New Roman" w:cs="Times New Roman"/>
          <w:szCs w:val="22"/>
        </w:rPr>
        <w:t>4</w:t>
      </w:r>
      <w:r w:rsidRPr="00DA3766">
        <w:rPr>
          <w:rFonts w:ascii="Times New Roman" w:hAnsi="Times New Roman" w:cs="Times New Roman"/>
          <w:szCs w:val="22"/>
        </w:rPr>
        <w:t>、关于收益法评估</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九、补充说明标的资产市净率高于可比上市公司的原因及合理性；可比上市公司、可比交易案例估值水平存在差异的原因，能否合理反映行业估值水平，与标的资产是否具有可比性</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（二）可比上市公司、可比交易案例估值水平存在差异的原因，能否合理反映行业估值水平，与标的资产是否具有可比性</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、可比上市公司选取方式及估值水平分析</w:t>
      </w:r>
      <w:r w:rsidRPr="00DA3766">
        <w:rPr>
          <w:rFonts w:cs="Times New Roman"/>
          <w:szCs w:val="22"/>
        </w:rPr>
        <w:t>”</w:t>
      </w:r>
      <w:r w:rsidRPr="00DA3766">
        <w:rPr>
          <w:rFonts w:ascii="Times New Roman" w:hAnsi="Times New Roman" w:cs="Times New Roman"/>
          <w:szCs w:val="22"/>
        </w:rPr>
        <w:t>相关内容。</w:t>
      </w:r>
    </w:p>
    <w:p w14:paraId="3591D64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标的公司与可比上市公司关于业务结构、经营模式、企业规模等方面的详细对比情况如下：</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2311"/>
        <w:gridCol w:w="2233"/>
        <w:gridCol w:w="2211"/>
        <w:gridCol w:w="2419"/>
      </w:tblGrid>
      <w:tr w:rsidR="00EB3B4C" w:rsidRPr="00DA3766" w14:paraId="04E3B397" w14:textId="77777777" w:rsidTr="00DA3766">
        <w:trPr>
          <w:trHeight w:val="397"/>
          <w:tblHeader/>
          <w:jc w:val="center"/>
        </w:trPr>
        <w:tc>
          <w:tcPr>
            <w:tcW w:w="518" w:type="pct"/>
            <w:vAlign w:val="center"/>
            <w:hideMark/>
          </w:tcPr>
          <w:p w14:paraId="36D58B8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对比维度</w:t>
            </w:r>
          </w:p>
        </w:tc>
        <w:tc>
          <w:tcPr>
            <w:tcW w:w="1129" w:type="pct"/>
            <w:vAlign w:val="center"/>
            <w:hideMark/>
          </w:tcPr>
          <w:p w14:paraId="3957777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w:t>
            </w:r>
          </w:p>
        </w:tc>
        <w:tc>
          <w:tcPr>
            <w:tcW w:w="1091" w:type="pct"/>
            <w:vAlign w:val="center"/>
            <w:hideMark/>
          </w:tcPr>
          <w:p w14:paraId="6B8DEE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r w:rsidRPr="00DA3766">
              <w:rPr>
                <w:rFonts w:ascii="Times New Roman" w:hAnsi="Times New Roman" w:cs="Times New Roman"/>
                <w:b/>
                <w:color w:val="000000"/>
                <w:sz w:val="21"/>
              </w:rPr>
              <w:t>688080.SH</w:t>
            </w:r>
            <w:r w:rsidRPr="00DA3766">
              <w:rPr>
                <w:rFonts w:ascii="Times New Roman" w:hAnsi="Times New Roman" w:cs="Times New Roman"/>
                <w:b/>
                <w:color w:val="000000"/>
                <w:sz w:val="21"/>
              </w:rPr>
              <w:t>）</w:t>
            </w:r>
          </w:p>
        </w:tc>
        <w:tc>
          <w:tcPr>
            <w:tcW w:w="1080" w:type="pct"/>
            <w:vAlign w:val="center"/>
            <w:hideMark/>
          </w:tcPr>
          <w:p w14:paraId="3EF0B9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r w:rsidRPr="00DA3766">
              <w:rPr>
                <w:rFonts w:ascii="Times New Roman" w:hAnsi="Times New Roman" w:cs="Times New Roman"/>
                <w:b/>
                <w:color w:val="000000"/>
                <w:sz w:val="21"/>
              </w:rPr>
              <w:t>002410.SZ</w:t>
            </w:r>
            <w:r w:rsidRPr="00DA3766">
              <w:rPr>
                <w:rFonts w:ascii="Times New Roman" w:hAnsi="Times New Roman" w:cs="Times New Roman"/>
                <w:b/>
                <w:color w:val="000000"/>
                <w:sz w:val="21"/>
              </w:rPr>
              <w:t>）</w:t>
            </w:r>
          </w:p>
        </w:tc>
        <w:tc>
          <w:tcPr>
            <w:tcW w:w="1183" w:type="pct"/>
            <w:vAlign w:val="center"/>
            <w:hideMark/>
          </w:tcPr>
          <w:p w14:paraId="340026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r w:rsidRPr="00DA3766">
              <w:rPr>
                <w:rFonts w:ascii="Times New Roman" w:hAnsi="Times New Roman" w:cs="Times New Roman"/>
                <w:b/>
                <w:color w:val="000000"/>
                <w:sz w:val="21"/>
              </w:rPr>
              <w:t>002153.SZ</w:t>
            </w:r>
            <w:r w:rsidRPr="00DA3766">
              <w:rPr>
                <w:rFonts w:ascii="Times New Roman" w:hAnsi="Times New Roman" w:cs="Times New Roman"/>
                <w:b/>
                <w:color w:val="000000"/>
                <w:sz w:val="21"/>
              </w:rPr>
              <w:t>）</w:t>
            </w:r>
          </w:p>
        </w:tc>
      </w:tr>
      <w:tr w:rsidR="00EB3B4C" w:rsidRPr="00DA3766" w14:paraId="1DAE92B6" w14:textId="77777777" w:rsidTr="00DA3766">
        <w:trPr>
          <w:trHeight w:val="397"/>
          <w:jc w:val="center"/>
        </w:trPr>
        <w:tc>
          <w:tcPr>
            <w:tcW w:w="518" w:type="pct"/>
            <w:vAlign w:val="center"/>
            <w:hideMark/>
          </w:tcPr>
          <w:p w14:paraId="2E6D63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业务结构</w:t>
            </w:r>
          </w:p>
        </w:tc>
        <w:tc>
          <w:tcPr>
            <w:tcW w:w="1129" w:type="pct"/>
            <w:vAlign w:val="center"/>
            <w:hideMark/>
          </w:tcPr>
          <w:p w14:paraId="359D4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•IoT</w:t>
            </w:r>
            <w:r w:rsidRPr="00DA3766">
              <w:rPr>
                <w:rFonts w:ascii="Times New Roman" w:hAnsi="Times New Roman" w:cs="Times New Roman"/>
                <w:color w:val="000000"/>
                <w:sz w:val="21"/>
              </w:rPr>
              <w:t>智能硬件：通用型模块</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、智能通讯模组、四轮充电桩主板智能刷卡终端等</w:t>
            </w:r>
          </w:p>
          <w:p w14:paraId="6EE52B2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SaaS</w:t>
            </w:r>
            <w:r w:rsidRPr="00DA3766">
              <w:rPr>
                <w:rFonts w:ascii="Times New Roman" w:hAnsi="Times New Roman" w:cs="Times New Roman"/>
                <w:color w:val="000000"/>
                <w:sz w:val="21"/>
              </w:rPr>
              <w:t>云平台服务：商家服务、会员服务、收单外包服务等</w:t>
            </w:r>
          </w:p>
          <w:p w14:paraId="68B5236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rPr>
            </w:pPr>
            <w:r w:rsidRPr="00DA3766">
              <w:rPr>
                <w:rFonts w:ascii="Times New Roman" w:hAnsi="Times New Roman" w:cs="Times New Roman"/>
                <w:color w:val="000000"/>
                <w:sz w:val="21"/>
              </w:rPr>
              <w:t>数字增值服务：广告投放、流量引入等</w:t>
            </w:r>
          </w:p>
        </w:tc>
        <w:tc>
          <w:tcPr>
            <w:tcW w:w="1091" w:type="pct"/>
            <w:vAlign w:val="center"/>
            <w:hideMark/>
          </w:tcPr>
          <w:p w14:paraId="081AFA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智能终端：工业路由器、工业网关、边缘计算网关</w:t>
            </w:r>
          </w:p>
          <w:p w14:paraId="0E0179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w:t>
            </w:r>
            <w:r w:rsidRPr="00DA3766">
              <w:rPr>
                <w:rFonts w:ascii="Times New Roman" w:hAnsi="Times New Roman" w:cs="Times New Roman"/>
                <w:color w:val="000000"/>
                <w:sz w:val="21"/>
              </w:rPr>
              <w:t>InGatewayCloud</w:t>
            </w:r>
            <w:r w:rsidRPr="00DA3766">
              <w:rPr>
                <w:rFonts w:ascii="Times New Roman" w:hAnsi="Times New Roman" w:cs="Times New Roman"/>
                <w:color w:val="000000"/>
                <w:sz w:val="21"/>
              </w:rPr>
              <w:t>、映翰通云平台</w:t>
            </w:r>
          </w:p>
        </w:tc>
        <w:tc>
          <w:tcPr>
            <w:tcW w:w="1080" w:type="pct"/>
            <w:vAlign w:val="center"/>
            <w:hideMark/>
          </w:tcPr>
          <w:p w14:paraId="69A968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数字化产品：数字造价、施工、设计软件</w:t>
            </w:r>
          </w:p>
          <w:p w14:paraId="232B880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w:t>
            </w:r>
            <w:r w:rsidRPr="00DA3766">
              <w:rPr>
                <w:rFonts w:ascii="Times New Roman" w:hAnsi="Times New Roman" w:cs="Times New Roman"/>
                <w:color w:val="000000"/>
                <w:sz w:val="21"/>
              </w:rPr>
              <w:t>BIM</w:t>
            </w:r>
            <w:r w:rsidRPr="00DA3766">
              <w:rPr>
                <w:rFonts w:ascii="Times New Roman" w:hAnsi="Times New Roman" w:cs="Times New Roman"/>
                <w:color w:val="000000"/>
                <w:sz w:val="21"/>
              </w:rPr>
              <w:t>设计协同平台、建筑业务平台</w:t>
            </w:r>
          </w:p>
        </w:tc>
        <w:tc>
          <w:tcPr>
            <w:tcW w:w="1183" w:type="pct"/>
            <w:vAlign w:val="center"/>
            <w:hideMark/>
          </w:tcPr>
          <w:p w14:paraId="580DF09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信息系统：酒店</w:t>
            </w:r>
            <w:r w:rsidRPr="00DA3766">
              <w:rPr>
                <w:rFonts w:ascii="Times New Roman" w:hAnsi="Times New Roman" w:cs="Times New Roman"/>
                <w:color w:val="000000"/>
                <w:sz w:val="21"/>
              </w:rPr>
              <w:t>/</w:t>
            </w:r>
            <w:r w:rsidRPr="00DA3766">
              <w:rPr>
                <w:rFonts w:ascii="Times New Roman" w:hAnsi="Times New Roman" w:cs="Times New Roman"/>
                <w:color w:val="000000"/>
                <w:sz w:val="21"/>
              </w:rPr>
              <w:t>餐饮</w:t>
            </w:r>
            <w:r w:rsidRPr="00DA3766">
              <w:rPr>
                <w:rFonts w:ascii="Times New Roman" w:hAnsi="Times New Roman" w:cs="Times New Roman"/>
                <w:color w:val="000000"/>
                <w:sz w:val="21"/>
              </w:rPr>
              <w:t>POS</w:t>
            </w:r>
            <w:r w:rsidRPr="00DA3766">
              <w:rPr>
                <w:rFonts w:ascii="Times New Roman" w:hAnsi="Times New Roman" w:cs="Times New Roman"/>
                <w:color w:val="000000"/>
                <w:sz w:val="21"/>
              </w:rPr>
              <w:t>、支付网关</w:t>
            </w:r>
          </w:p>
          <w:p w14:paraId="29D2F9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云平台：酒店云</w:t>
            </w:r>
            <w:r w:rsidRPr="00DA3766">
              <w:rPr>
                <w:rFonts w:ascii="Times New Roman" w:hAnsi="Times New Roman" w:cs="Times New Roman"/>
                <w:color w:val="000000"/>
                <w:sz w:val="21"/>
              </w:rPr>
              <w:t>PMS</w:t>
            </w:r>
            <w:r w:rsidRPr="00DA3766">
              <w:rPr>
                <w:rFonts w:ascii="Times New Roman" w:hAnsi="Times New Roman" w:cs="Times New Roman"/>
                <w:color w:val="000000"/>
                <w:sz w:val="21"/>
              </w:rPr>
              <w:t>、餐饮云</w:t>
            </w:r>
            <w:r w:rsidRPr="00DA3766">
              <w:rPr>
                <w:rFonts w:ascii="Times New Roman" w:hAnsi="Times New Roman" w:cs="Times New Roman"/>
                <w:color w:val="000000"/>
                <w:sz w:val="21"/>
              </w:rPr>
              <w:t>ERP</w:t>
            </w:r>
          </w:p>
        </w:tc>
      </w:tr>
      <w:tr w:rsidR="00EB3B4C" w:rsidRPr="00DA3766" w14:paraId="58EDC50C" w14:textId="77777777" w:rsidTr="00DA3766">
        <w:trPr>
          <w:trHeight w:val="397"/>
          <w:jc w:val="center"/>
        </w:trPr>
        <w:tc>
          <w:tcPr>
            <w:tcW w:w="518" w:type="pct"/>
            <w:vAlign w:val="center"/>
            <w:hideMark/>
          </w:tcPr>
          <w:p w14:paraId="4D3F15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经营模式</w:t>
            </w:r>
          </w:p>
        </w:tc>
        <w:tc>
          <w:tcPr>
            <w:tcW w:w="1129" w:type="pct"/>
            <w:vAlign w:val="center"/>
            <w:hideMark/>
          </w:tcPr>
          <w:p w14:paraId="082E70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硬件</w:t>
            </w:r>
            <w:r w:rsidRPr="00DA3766">
              <w:rPr>
                <w:rFonts w:ascii="Times New Roman" w:hAnsi="Times New Roman" w:cs="Times New Roman"/>
                <w:color w:val="000000"/>
                <w:sz w:val="21"/>
              </w:rPr>
              <w:t>+SaaS</w:t>
            </w:r>
            <w:r w:rsidRPr="00DA3766">
              <w:rPr>
                <w:rFonts w:cs="Times New Roman"/>
                <w:color w:val="000000"/>
                <w:sz w:val="21"/>
              </w:rPr>
              <w:t>”</w:t>
            </w:r>
            <w:r w:rsidRPr="00DA3766">
              <w:rPr>
                <w:rFonts w:ascii="Times New Roman" w:hAnsi="Times New Roman" w:cs="Times New Roman"/>
                <w:color w:val="000000"/>
                <w:sz w:val="21"/>
              </w:rPr>
              <w:t>双轮驱动。通过高性价比智能硬件快速获取客户，持续从</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订阅服务、数据增值服务中获得稳定、高毛利的经常性收入。</w:t>
            </w:r>
          </w:p>
        </w:tc>
        <w:tc>
          <w:tcPr>
            <w:tcW w:w="1091" w:type="pct"/>
            <w:vAlign w:val="center"/>
            <w:hideMark/>
          </w:tcPr>
          <w:p w14:paraId="78A746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硬件</w:t>
            </w:r>
            <w:r w:rsidRPr="00DA3766">
              <w:rPr>
                <w:rFonts w:ascii="Times New Roman" w:hAnsi="Times New Roman" w:cs="Times New Roman"/>
                <w:color w:val="000000"/>
                <w:sz w:val="21"/>
              </w:rPr>
              <w:t>+</w:t>
            </w:r>
            <w:r w:rsidRPr="00DA3766">
              <w:rPr>
                <w:rFonts w:ascii="Times New Roman" w:hAnsi="Times New Roman" w:cs="Times New Roman"/>
                <w:color w:val="000000"/>
                <w:sz w:val="21"/>
              </w:rPr>
              <w:t>云服务</w:t>
            </w:r>
            <w:r w:rsidRPr="00DA3766">
              <w:rPr>
                <w:rFonts w:cs="Times New Roman"/>
                <w:color w:val="000000"/>
                <w:sz w:val="21"/>
              </w:rPr>
              <w:t>”</w:t>
            </w:r>
            <w:r w:rsidRPr="00DA3766">
              <w:rPr>
                <w:rFonts w:ascii="Times New Roman" w:hAnsi="Times New Roman" w:cs="Times New Roman"/>
                <w:color w:val="000000"/>
                <w:sz w:val="21"/>
              </w:rPr>
              <w:t>模式。硬件销售是基础，通过云平台提供远程管理、数据分析等增值服务，形成持续性收入。</w:t>
            </w:r>
          </w:p>
        </w:tc>
        <w:tc>
          <w:tcPr>
            <w:tcW w:w="1080" w:type="pct"/>
            <w:vAlign w:val="center"/>
            <w:hideMark/>
          </w:tcPr>
          <w:p w14:paraId="44568E7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云转型</w:t>
            </w:r>
            <w:r w:rsidRPr="00DA3766">
              <w:rPr>
                <w:rFonts w:cs="Times New Roman"/>
                <w:color w:val="000000"/>
                <w:sz w:val="21"/>
              </w:rPr>
              <w:t>”</w:t>
            </w:r>
            <w:r w:rsidRPr="00DA3766">
              <w:rPr>
                <w:rFonts w:ascii="Times New Roman" w:hAnsi="Times New Roman" w:cs="Times New Roman"/>
                <w:color w:val="000000"/>
                <w:sz w:val="21"/>
              </w:rPr>
              <w:t>模式。已基本完成从传统软件许可向</w:t>
            </w:r>
            <w:r w:rsidRPr="00DA3766">
              <w:rPr>
                <w:rFonts w:cs="Times New Roman"/>
                <w:color w:val="000000"/>
                <w:sz w:val="21"/>
              </w:rPr>
              <w:t>“</w:t>
            </w:r>
            <w:r w:rsidRPr="00DA3766">
              <w:rPr>
                <w:rFonts w:ascii="Times New Roman" w:hAnsi="Times New Roman" w:cs="Times New Roman"/>
                <w:color w:val="000000"/>
                <w:sz w:val="21"/>
              </w:rPr>
              <w:t>云订阅</w:t>
            </w:r>
            <w:r w:rsidRPr="00DA3766">
              <w:rPr>
                <w:rFonts w:cs="Times New Roman"/>
                <w:color w:val="000000"/>
                <w:sz w:val="21"/>
              </w:rPr>
              <w:t>”</w:t>
            </w:r>
            <w:r w:rsidRPr="00DA3766">
              <w:rPr>
                <w:rFonts w:ascii="Times New Roman" w:hAnsi="Times New Roman" w:cs="Times New Roman"/>
                <w:color w:val="000000"/>
                <w:sz w:val="21"/>
              </w:rPr>
              <w:t>模式的转型，收入主要来源于云服务的持续订阅费。</w:t>
            </w:r>
          </w:p>
        </w:tc>
        <w:tc>
          <w:tcPr>
            <w:tcW w:w="1183" w:type="pct"/>
            <w:vAlign w:val="center"/>
            <w:hideMark/>
          </w:tcPr>
          <w:p w14:paraId="47A325C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软件</w:t>
            </w:r>
            <w:r w:rsidRPr="00DA3766">
              <w:rPr>
                <w:rFonts w:ascii="Times New Roman" w:hAnsi="Times New Roman" w:cs="Times New Roman"/>
                <w:color w:val="000000"/>
                <w:sz w:val="21"/>
              </w:rPr>
              <w:t>+</w:t>
            </w:r>
            <w:r w:rsidRPr="00DA3766">
              <w:rPr>
                <w:rFonts w:ascii="Times New Roman" w:hAnsi="Times New Roman" w:cs="Times New Roman"/>
                <w:color w:val="000000"/>
                <w:sz w:val="21"/>
              </w:rPr>
              <w:t>服务</w:t>
            </w:r>
            <w:r w:rsidRPr="00DA3766">
              <w:rPr>
                <w:rFonts w:cs="Times New Roman"/>
                <w:color w:val="000000"/>
                <w:sz w:val="21"/>
              </w:rPr>
              <w:t>”</w:t>
            </w:r>
            <w:r w:rsidRPr="00DA3766">
              <w:rPr>
                <w:rFonts w:ascii="Times New Roman" w:hAnsi="Times New Roman" w:cs="Times New Roman"/>
                <w:color w:val="000000"/>
                <w:sz w:val="21"/>
              </w:rPr>
              <w:t>模式。正加速从本地部署软件向公有云</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模式转型，云业务收入占比持续提升。</w:t>
            </w:r>
          </w:p>
        </w:tc>
      </w:tr>
      <w:tr w:rsidR="00EB3B4C" w:rsidRPr="00DA3766" w14:paraId="1C3D0499" w14:textId="77777777" w:rsidTr="00DA3766">
        <w:trPr>
          <w:trHeight w:val="397"/>
          <w:jc w:val="center"/>
        </w:trPr>
        <w:tc>
          <w:tcPr>
            <w:tcW w:w="518" w:type="pct"/>
            <w:vAlign w:val="center"/>
            <w:hideMark/>
          </w:tcPr>
          <w:p w14:paraId="34AD313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企业规模</w:t>
            </w:r>
          </w:p>
        </w:tc>
        <w:tc>
          <w:tcPr>
            <w:tcW w:w="1129" w:type="pct"/>
            <w:vAlign w:val="center"/>
            <w:hideMark/>
          </w:tcPr>
          <w:p w14:paraId="73457B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4.5</w:t>
            </w:r>
            <w:r w:rsidRPr="00DA3766">
              <w:rPr>
                <w:rFonts w:ascii="Times New Roman" w:hAnsi="Times New Roman" w:cs="Times New Roman"/>
                <w:color w:val="000000"/>
                <w:sz w:val="21"/>
              </w:rPr>
              <w:t>亿元，员工约超</w:t>
            </w:r>
            <w:r w:rsidRPr="00DA3766">
              <w:rPr>
                <w:rFonts w:ascii="Times New Roman" w:hAnsi="Times New Roman" w:cs="Times New Roman"/>
                <w:color w:val="000000"/>
                <w:sz w:val="21"/>
              </w:rPr>
              <w:t>500</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年数据），整体处于成长期企业规模水平。</w:t>
            </w:r>
          </w:p>
        </w:tc>
        <w:tc>
          <w:tcPr>
            <w:tcW w:w="1091" w:type="pct"/>
            <w:vAlign w:val="center"/>
            <w:hideMark/>
          </w:tcPr>
          <w:p w14:paraId="4BA173A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6.1</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424</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年数据），具备成熟成长期企业规模。</w:t>
            </w:r>
          </w:p>
        </w:tc>
        <w:tc>
          <w:tcPr>
            <w:tcW w:w="1080" w:type="pct"/>
            <w:vAlign w:val="center"/>
            <w:hideMark/>
          </w:tcPr>
          <w:p w14:paraId="0BDF17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62.4</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8,463</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年数据），属于大型成熟企业。</w:t>
            </w:r>
          </w:p>
        </w:tc>
        <w:tc>
          <w:tcPr>
            <w:tcW w:w="1183" w:type="pct"/>
            <w:vAlign w:val="center"/>
            <w:hideMark/>
          </w:tcPr>
          <w:p w14:paraId="089376B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29.5</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5,018</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年数据），规模介于中大型之间，处于战略转型阶段。</w:t>
            </w:r>
          </w:p>
        </w:tc>
      </w:tr>
      <w:tr w:rsidR="00EB3B4C" w:rsidRPr="00DA3766" w14:paraId="5C519D3B" w14:textId="77777777" w:rsidTr="00DA3766">
        <w:trPr>
          <w:trHeight w:val="397"/>
          <w:jc w:val="center"/>
        </w:trPr>
        <w:tc>
          <w:tcPr>
            <w:tcW w:w="518" w:type="pct"/>
            <w:vAlign w:val="center"/>
            <w:hideMark/>
          </w:tcPr>
          <w:p w14:paraId="6BE6201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成长能力</w:t>
            </w:r>
          </w:p>
        </w:tc>
        <w:tc>
          <w:tcPr>
            <w:tcW w:w="1129" w:type="pct"/>
            <w:vAlign w:val="center"/>
            <w:hideMark/>
          </w:tcPr>
          <w:p w14:paraId="76693F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依托覆盖全国</w:t>
            </w:r>
            <w:r w:rsidRPr="00DA3766">
              <w:rPr>
                <w:rFonts w:ascii="Times New Roman" w:hAnsi="Times New Roman" w:cs="Times New Roman"/>
                <w:color w:val="000000"/>
                <w:sz w:val="21"/>
              </w:rPr>
              <w:t>600</w:t>
            </w:r>
            <w:r w:rsidRPr="00DA3766">
              <w:rPr>
                <w:rFonts w:ascii="Times New Roman" w:hAnsi="Times New Roman" w:cs="Times New Roman"/>
                <w:color w:val="000000"/>
                <w:sz w:val="21"/>
              </w:rPr>
              <w:t>余城市的</w:t>
            </w:r>
            <w:r w:rsidRPr="00DA3766">
              <w:rPr>
                <w:rFonts w:ascii="Times New Roman" w:hAnsi="Times New Roman" w:cs="Times New Roman"/>
                <w:color w:val="000000"/>
                <w:sz w:val="21"/>
              </w:rPr>
              <w:t>300</w:t>
            </w:r>
            <w:r w:rsidRPr="00DA3766">
              <w:rPr>
                <w:rFonts w:ascii="Times New Roman" w:hAnsi="Times New Roman" w:cs="Times New Roman"/>
                <w:color w:val="000000"/>
                <w:sz w:val="21"/>
              </w:rPr>
              <w:t>万</w:t>
            </w:r>
            <w:r w:rsidRPr="00DA3766">
              <w:rPr>
                <w:rFonts w:ascii="Times New Roman" w:hAnsi="Times New Roman" w:cs="Times New Roman"/>
                <w:color w:val="000000"/>
                <w:sz w:val="21"/>
              </w:rPr>
              <w:t>+</w:t>
            </w:r>
            <w:r w:rsidRPr="00DA3766">
              <w:rPr>
                <w:rFonts w:ascii="Times New Roman" w:hAnsi="Times New Roman" w:cs="Times New Roman"/>
                <w:color w:val="000000"/>
                <w:sz w:val="21"/>
              </w:rPr>
              <w:t>台高频刚需自助设备网络，在社区充电、校园生活、交通枢纽等场景中形成强大网络效应与客户粘性，</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平台具备可持续变现能力，未来收入有望保持稳健增长。</w:t>
            </w:r>
          </w:p>
        </w:tc>
        <w:tc>
          <w:tcPr>
            <w:tcW w:w="1091" w:type="pct"/>
            <w:vAlign w:val="center"/>
            <w:hideMark/>
          </w:tcPr>
          <w:p w14:paraId="3EA6F6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受益于海外产能释放、</w:t>
            </w:r>
            <w:r w:rsidRPr="00DA3766">
              <w:rPr>
                <w:rFonts w:ascii="Times New Roman" w:hAnsi="Times New Roman" w:cs="Times New Roman"/>
                <w:color w:val="000000"/>
                <w:sz w:val="21"/>
              </w:rPr>
              <w:t>AI</w:t>
            </w:r>
            <w:r w:rsidRPr="00DA3766">
              <w:rPr>
                <w:rFonts w:ascii="Times New Roman" w:hAnsi="Times New Roman" w:cs="Times New Roman"/>
                <w:color w:val="000000"/>
                <w:sz w:val="21"/>
              </w:rPr>
              <w:t>边缘计算产品落地及电力</w:t>
            </w:r>
            <w:r w:rsidRPr="00DA3766">
              <w:rPr>
                <w:rFonts w:ascii="Times New Roman" w:hAnsi="Times New Roman" w:cs="Times New Roman"/>
                <w:color w:val="000000"/>
                <w:sz w:val="21"/>
              </w:rPr>
              <w:t>/</w:t>
            </w:r>
            <w:r w:rsidRPr="00DA3766">
              <w:rPr>
                <w:rFonts w:ascii="Times New Roman" w:hAnsi="Times New Roman" w:cs="Times New Roman"/>
                <w:color w:val="000000"/>
                <w:sz w:val="21"/>
              </w:rPr>
              <w:t>零售物联网高景气，全球订单饱满，展现出高成长性。</w:t>
            </w:r>
          </w:p>
        </w:tc>
        <w:tc>
          <w:tcPr>
            <w:tcW w:w="1080" w:type="pct"/>
            <w:vAlign w:val="center"/>
            <w:hideMark/>
          </w:tcPr>
          <w:p w14:paraId="26514A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作为建筑信息化龙头，在行业调整期展现韧性，增长主要来自云服务</w:t>
            </w:r>
            <w:r w:rsidRPr="00DA3766">
              <w:rPr>
                <w:rFonts w:ascii="Times New Roman" w:hAnsi="Times New Roman" w:cs="Times New Roman"/>
                <w:color w:val="000000"/>
                <w:sz w:val="21"/>
              </w:rPr>
              <w:t>ARPU</w:t>
            </w:r>
            <w:r w:rsidRPr="00DA3766">
              <w:rPr>
                <w:rFonts w:ascii="Times New Roman" w:hAnsi="Times New Roman" w:cs="Times New Roman"/>
                <w:color w:val="000000"/>
                <w:sz w:val="21"/>
              </w:rPr>
              <w:t>值提升及</w:t>
            </w:r>
            <w:r w:rsidRPr="00DA3766">
              <w:rPr>
                <w:rFonts w:ascii="Times New Roman" w:hAnsi="Times New Roman" w:cs="Times New Roman"/>
                <w:color w:val="000000"/>
                <w:sz w:val="21"/>
              </w:rPr>
              <w:t>AI</w:t>
            </w:r>
            <w:r w:rsidRPr="00DA3766">
              <w:rPr>
                <w:rFonts w:ascii="Times New Roman" w:hAnsi="Times New Roman" w:cs="Times New Roman"/>
                <w:color w:val="000000"/>
                <w:sz w:val="21"/>
              </w:rPr>
              <w:t>新场景培育，维持低速稳健增长。</w:t>
            </w:r>
          </w:p>
        </w:tc>
        <w:tc>
          <w:tcPr>
            <w:tcW w:w="1183" w:type="pct"/>
            <w:vAlign w:val="center"/>
            <w:hideMark/>
          </w:tcPr>
          <w:p w14:paraId="17A97D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国际酒店云</w:t>
            </w:r>
            <w:r w:rsidRPr="00DA3766">
              <w:rPr>
                <w:rFonts w:ascii="Times New Roman" w:hAnsi="Times New Roman" w:cs="Times New Roman"/>
                <w:color w:val="000000"/>
                <w:sz w:val="21"/>
              </w:rPr>
              <w:t>PMS</w:t>
            </w:r>
            <w:r w:rsidRPr="00DA3766">
              <w:rPr>
                <w:rFonts w:ascii="Times New Roman" w:hAnsi="Times New Roman" w:cs="Times New Roman"/>
                <w:color w:val="000000"/>
                <w:sz w:val="21"/>
              </w:rPr>
              <w:t>大客户切换基本完成，</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订阅收入进入加速确认期，云转型成效全面显现，重回恢复性高增长通道。</w:t>
            </w:r>
          </w:p>
        </w:tc>
      </w:tr>
      <w:tr w:rsidR="00EB3B4C" w:rsidRPr="00DA3766" w14:paraId="77DC2F6D" w14:textId="77777777" w:rsidTr="00DA3766">
        <w:trPr>
          <w:trHeight w:val="397"/>
          <w:jc w:val="center"/>
        </w:trPr>
        <w:tc>
          <w:tcPr>
            <w:tcW w:w="518" w:type="pct"/>
            <w:vAlign w:val="center"/>
            <w:hideMark/>
          </w:tcPr>
          <w:p w14:paraId="4209C4F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盈利能力</w:t>
            </w:r>
          </w:p>
        </w:tc>
        <w:tc>
          <w:tcPr>
            <w:tcW w:w="1129" w:type="pct"/>
            <w:vAlign w:val="center"/>
            <w:hideMark/>
          </w:tcPr>
          <w:p w14:paraId="0BD6EE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毛利率为</w:t>
            </w:r>
            <w:r w:rsidRPr="00DA3766">
              <w:rPr>
                <w:rFonts w:ascii="Times New Roman" w:hAnsi="Times New Roman" w:cs="Times New Roman"/>
                <w:color w:val="000000"/>
                <w:sz w:val="21"/>
              </w:rPr>
              <w:t>62.96%</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占营业收入比重达</w:t>
            </w:r>
            <w:r w:rsidRPr="00DA3766">
              <w:rPr>
                <w:rFonts w:ascii="Times New Roman" w:hAnsi="Times New Roman" w:cs="Times New Roman"/>
                <w:color w:val="000000"/>
                <w:sz w:val="21"/>
              </w:rPr>
              <w:t>28.6%</w:t>
            </w:r>
            <w:r w:rsidRPr="00DA3766">
              <w:rPr>
                <w:rFonts w:ascii="Times New Roman" w:hAnsi="Times New Roman" w:cs="Times New Roman"/>
                <w:color w:val="000000"/>
                <w:sz w:val="21"/>
              </w:rPr>
              <w:t>，净利率为</w:t>
            </w:r>
            <w:r w:rsidRPr="00DA3766">
              <w:rPr>
                <w:rFonts w:ascii="Times New Roman" w:hAnsi="Times New Roman" w:cs="Times New Roman"/>
                <w:color w:val="000000"/>
                <w:sz w:val="21"/>
              </w:rPr>
              <w:t>19.4%</w:t>
            </w:r>
            <w:r w:rsidRPr="00DA3766">
              <w:rPr>
                <w:rFonts w:ascii="Times New Roman" w:hAnsi="Times New Roman" w:cs="Times New Roman"/>
                <w:color w:val="000000"/>
                <w:sz w:val="21"/>
              </w:rPr>
              <w:t>，反映出其以高</w:t>
            </w:r>
            <w:r w:rsidRPr="00DA3766">
              <w:rPr>
                <w:rFonts w:ascii="Times New Roman" w:hAnsi="Times New Roman" w:cs="Times New Roman"/>
                <w:color w:val="000000"/>
                <w:sz w:val="21"/>
              </w:rPr>
              <w:lastRenderedPageBreak/>
              <w:t>毛利</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服务为核心、轻资产运营为支撑的商业模式已具备较强的盈利转化能力，整体盈利能力较强。</w:t>
            </w:r>
          </w:p>
        </w:tc>
        <w:tc>
          <w:tcPr>
            <w:tcW w:w="1091" w:type="pct"/>
            <w:vAlign w:val="center"/>
            <w:hideMark/>
          </w:tcPr>
          <w:p w14:paraId="4F8CA23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毛利率为</w:t>
            </w:r>
            <w:r w:rsidRPr="00DA3766">
              <w:rPr>
                <w:rFonts w:ascii="Times New Roman" w:hAnsi="Times New Roman" w:cs="Times New Roman"/>
                <w:color w:val="000000"/>
                <w:sz w:val="21"/>
              </w:rPr>
              <w:t>48.2%</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22.3%</w:t>
            </w:r>
            <w:r w:rsidRPr="00DA3766">
              <w:rPr>
                <w:rFonts w:ascii="Times New Roman" w:hAnsi="Times New Roman" w:cs="Times New Roman"/>
                <w:color w:val="000000"/>
                <w:sz w:val="21"/>
              </w:rPr>
              <w:t>，净利率</w:t>
            </w:r>
            <w:r w:rsidRPr="00DA3766">
              <w:rPr>
                <w:rFonts w:ascii="Times New Roman" w:hAnsi="Times New Roman" w:cs="Times New Roman"/>
                <w:color w:val="000000"/>
                <w:sz w:val="21"/>
              </w:rPr>
              <w:t>15.0%</w:t>
            </w:r>
            <w:r w:rsidRPr="00DA3766">
              <w:rPr>
                <w:rFonts w:ascii="Times New Roman" w:hAnsi="Times New Roman" w:cs="Times New Roman"/>
                <w:color w:val="000000"/>
                <w:sz w:val="21"/>
              </w:rPr>
              <w:t>，硬件与云服务协同发展，成本</w:t>
            </w:r>
            <w:r w:rsidRPr="00DA3766">
              <w:rPr>
                <w:rFonts w:ascii="Times New Roman" w:hAnsi="Times New Roman" w:cs="Times New Roman"/>
                <w:color w:val="000000"/>
                <w:sz w:val="21"/>
              </w:rPr>
              <w:lastRenderedPageBreak/>
              <w:t>及费用控制较为稳健，整体盈利能力良好。</w:t>
            </w:r>
          </w:p>
        </w:tc>
        <w:tc>
          <w:tcPr>
            <w:tcW w:w="1080" w:type="pct"/>
            <w:vAlign w:val="center"/>
            <w:hideMark/>
          </w:tcPr>
          <w:p w14:paraId="61375BF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w:t>
            </w:r>
            <w:r w:rsidRPr="00DA3766">
              <w:rPr>
                <w:rFonts w:ascii="Times New Roman" w:hAnsi="Times New Roman" w:cs="Times New Roman"/>
                <w:color w:val="000000"/>
                <w:sz w:val="21"/>
              </w:rPr>
              <w:t>89.1%</w:t>
            </w:r>
            <w:r w:rsidRPr="00DA3766">
              <w:rPr>
                <w:rFonts w:ascii="Times New Roman" w:hAnsi="Times New Roman" w:cs="Times New Roman"/>
                <w:color w:val="000000"/>
                <w:sz w:val="21"/>
              </w:rPr>
              <w:t>，但受持续高强度研发投入及市场拓展支出影响，</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18.5%</w:t>
            </w:r>
            <w:r w:rsidRPr="00DA3766">
              <w:rPr>
                <w:rFonts w:ascii="Times New Roman" w:hAnsi="Times New Roman" w:cs="Times New Roman"/>
                <w:color w:val="000000"/>
                <w:sz w:val="21"/>
              </w:rPr>
              <w:t>）</w:t>
            </w:r>
            <w:r w:rsidRPr="00DA3766">
              <w:rPr>
                <w:rFonts w:ascii="Times New Roman" w:hAnsi="Times New Roman" w:cs="Times New Roman"/>
                <w:color w:val="000000"/>
                <w:sz w:val="21"/>
              </w:rPr>
              <w:lastRenderedPageBreak/>
              <w:t>与净利率（</w:t>
            </w:r>
            <w:r w:rsidRPr="00DA3766">
              <w:rPr>
                <w:rFonts w:ascii="Times New Roman" w:hAnsi="Times New Roman" w:cs="Times New Roman"/>
                <w:color w:val="000000"/>
                <w:sz w:val="21"/>
              </w:rPr>
              <w:t>10.0%</w:t>
            </w:r>
            <w:r w:rsidRPr="00DA3766">
              <w:rPr>
                <w:rFonts w:ascii="Times New Roman" w:hAnsi="Times New Roman" w:cs="Times New Roman"/>
                <w:color w:val="000000"/>
                <w:sz w:val="21"/>
              </w:rPr>
              <w:t>）相对偏低，整体盈利能力处于一般水平。</w:t>
            </w:r>
          </w:p>
        </w:tc>
        <w:tc>
          <w:tcPr>
            <w:tcW w:w="1183" w:type="pct"/>
            <w:vAlign w:val="center"/>
            <w:hideMark/>
          </w:tcPr>
          <w:p w14:paraId="23CFD9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毛利率为</w:t>
            </w:r>
            <w:r w:rsidRPr="00DA3766">
              <w:rPr>
                <w:rFonts w:ascii="Times New Roman" w:hAnsi="Times New Roman" w:cs="Times New Roman"/>
                <w:color w:val="000000"/>
                <w:sz w:val="21"/>
              </w:rPr>
              <w:t>42.5%</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5.2%</w:t>
            </w:r>
            <w:r w:rsidRPr="00DA3766">
              <w:rPr>
                <w:rFonts w:ascii="Times New Roman" w:hAnsi="Times New Roman" w:cs="Times New Roman"/>
                <w:color w:val="000000"/>
                <w:sz w:val="21"/>
              </w:rPr>
              <w:t>，净利率为</w:t>
            </w:r>
            <w:r w:rsidRPr="00DA3766">
              <w:rPr>
                <w:rFonts w:ascii="Times New Roman" w:hAnsi="Times New Roman" w:cs="Times New Roman"/>
                <w:color w:val="000000"/>
                <w:sz w:val="21"/>
              </w:rPr>
              <w:t>-8.3%</w:t>
            </w:r>
            <w:r w:rsidRPr="00DA3766">
              <w:rPr>
                <w:rFonts w:ascii="Times New Roman" w:hAnsi="Times New Roman" w:cs="Times New Roman"/>
                <w:color w:val="000000"/>
                <w:sz w:val="21"/>
              </w:rPr>
              <w:t>，主要系公司正处于国际酒店云</w:t>
            </w:r>
            <w:r w:rsidRPr="00DA3766">
              <w:rPr>
                <w:rFonts w:ascii="Times New Roman" w:hAnsi="Times New Roman" w:cs="Times New Roman"/>
                <w:color w:val="000000"/>
                <w:sz w:val="21"/>
              </w:rPr>
              <w:lastRenderedPageBreak/>
              <w:t>PMS</w:t>
            </w:r>
            <w:r w:rsidRPr="00DA3766">
              <w:rPr>
                <w:rFonts w:ascii="Times New Roman" w:hAnsi="Times New Roman" w:cs="Times New Roman"/>
                <w:color w:val="000000"/>
                <w:sz w:val="21"/>
              </w:rPr>
              <w:t>业务的战略投入阶段，相关研发与市场费用前置，当前盈利能力相对较弱，但具有阶段性特征。</w:t>
            </w:r>
          </w:p>
        </w:tc>
      </w:tr>
      <w:tr w:rsidR="00EB3B4C" w:rsidRPr="00DA3766" w14:paraId="7081BDD6" w14:textId="77777777" w:rsidTr="00DA3766">
        <w:trPr>
          <w:trHeight w:val="397"/>
          <w:jc w:val="center"/>
        </w:trPr>
        <w:tc>
          <w:tcPr>
            <w:tcW w:w="518" w:type="pct"/>
            <w:vAlign w:val="center"/>
            <w:hideMark/>
          </w:tcPr>
          <w:p w14:paraId="55146F2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所处经营阶段</w:t>
            </w:r>
          </w:p>
        </w:tc>
        <w:tc>
          <w:tcPr>
            <w:tcW w:w="1129" w:type="pct"/>
            <w:vAlign w:val="center"/>
            <w:hideMark/>
          </w:tcPr>
          <w:p w14:paraId="0BF9A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成长期：已完成核心技术与产品的验证，正处于市场快速扩张和规模化复制阶段。</w:t>
            </w:r>
          </w:p>
        </w:tc>
        <w:tc>
          <w:tcPr>
            <w:tcW w:w="1091" w:type="pct"/>
            <w:vAlign w:val="center"/>
            <w:hideMark/>
          </w:tcPr>
          <w:p w14:paraId="038E57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成熟成长期：在工业物联网细分市场已建立稳固地位，增长趋于稳健。</w:t>
            </w:r>
          </w:p>
        </w:tc>
        <w:tc>
          <w:tcPr>
            <w:tcW w:w="1080" w:type="pct"/>
            <w:vAlign w:val="center"/>
            <w:hideMark/>
          </w:tcPr>
          <w:p w14:paraId="06C110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成熟期：在建筑信息化领域占据绝对领先地位，进入高质量发展阶段。</w:t>
            </w:r>
          </w:p>
        </w:tc>
        <w:tc>
          <w:tcPr>
            <w:tcW w:w="1183" w:type="pct"/>
            <w:vAlign w:val="center"/>
            <w:hideMark/>
          </w:tcPr>
          <w:p w14:paraId="37AFDB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战略转型期：正经历从传统软件向云服务的重大战略转型，短期业绩承压。</w:t>
            </w:r>
          </w:p>
        </w:tc>
      </w:tr>
    </w:tbl>
    <w:p w14:paraId="3C5CA165"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与上述三家可比上市公司在业务结构、企业规模、成长能力、盈利能力及所处发展阶段上存在一定差异，但可比上市公司的经营模式与标的公司核心逻辑具有一致性。本次标的评估过程中已针对企业规模、成长能力、盈利能力等财务指标进行修正，充分考虑上述因素对评估值造成的影响，标的公司与本次市场法评估选取的</w:t>
      </w:r>
      <w:r w:rsidRPr="00DA3766">
        <w:rPr>
          <w:rFonts w:ascii="Times New Roman" w:hAnsi="Times New Roman" w:cs="Times New Roman"/>
          <w:szCs w:val="22"/>
        </w:rPr>
        <w:t>3</w:t>
      </w:r>
      <w:r w:rsidRPr="00DA3766">
        <w:rPr>
          <w:rFonts w:ascii="Times New Roman" w:hAnsi="Times New Roman" w:cs="Times New Roman"/>
          <w:szCs w:val="22"/>
        </w:rPr>
        <w:t>家上市公司具备可比性。</w:t>
      </w:r>
    </w:p>
    <w:p w14:paraId="48A873D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上述内容已在《重组报告书》</w:t>
      </w:r>
      <w:r w:rsidRPr="00DA3766">
        <w:rPr>
          <w:rFonts w:cs="Times New Roman"/>
          <w:szCs w:val="22"/>
        </w:rPr>
        <w:t>“</w:t>
      </w:r>
      <w:r w:rsidRPr="00DA3766">
        <w:rPr>
          <w:rFonts w:ascii="Times New Roman" w:hAnsi="Times New Roman" w:cs="Times New Roman"/>
          <w:szCs w:val="22"/>
        </w:rPr>
        <w:t>第六节</w:t>
      </w:r>
      <w:r w:rsidRPr="00DA3766">
        <w:rPr>
          <w:rFonts w:ascii="Times New Roman" w:hAnsi="Times New Roman" w:cs="Times New Roman"/>
          <w:szCs w:val="22"/>
        </w:rPr>
        <w:t xml:space="preserve"> </w:t>
      </w:r>
      <w:r w:rsidRPr="00DA3766">
        <w:rPr>
          <w:rFonts w:ascii="Times New Roman" w:hAnsi="Times New Roman" w:cs="Times New Roman"/>
          <w:szCs w:val="22"/>
        </w:rPr>
        <w:t>交易标的评估情况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二、标的公司评估基本情况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（四）市场法的评估情况及分析</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、可比公司的筛选</w:t>
      </w:r>
      <w:r w:rsidRPr="00DA3766">
        <w:rPr>
          <w:rFonts w:cs="Times New Roman"/>
          <w:szCs w:val="22"/>
        </w:rPr>
        <w:t>”</w:t>
      </w:r>
      <w:r w:rsidRPr="00DA3766">
        <w:rPr>
          <w:rFonts w:ascii="Times New Roman" w:hAnsi="Times New Roman" w:cs="Times New Roman"/>
          <w:szCs w:val="22"/>
        </w:rPr>
        <w:t>补充披露。</w:t>
      </w:r>
    </w:p>
    <w:p w14:paraId="0170B1E9"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二、结合标的资产所处行业特点及其发展阶段等因素，补充披露选择</w:t>
      </w:r>
      <w:r w:rsidRPr="00DA3766">
        <w:rPr>
          <w:rFonts w:ascii="Times New Roman" w:hAnsi="Times New Roman" w:cs="Times New Roman"/>
          <w:b/>
          <w:bCs/>
          <w:szCs w:val="28"/>
        </w:rPr>
        <w:t>EV/S</w:t>
      </w:r>
      <w:r w:rsidRPr="00DA3766">
        <w:rPr>
          <w:rFonts w:ascii="Times New Roman" w:hAnsi="Times New Roman" w:cs="Times New Roman"/>
          <w:b/>
          <w:bCs/>
          <w:szCs w:val="28"/>
        </w:rPr>
        <w:t>作为价值比率的原因及合理性，与行业内其他交易案例是否一致。</w:t>
      </w:r>
    </w:p>
    <w:p w14:paraId="5B65F0F7"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bookmarkStart w:id="106" w:name="_Hlk220169890"/>
      <w:r w:rsidRPr="00DA3766">
        <w:rPr>
          <w:rFonts w:ascii="Times New Roman" w:hAnsi="Times New Roman" w:cs="Times New Roman"/>
          <w:b/>
          <w:bCs/>
          <w:szCs w:val="28"/>
        </w:rPr>
        <w:t>（一）根据线性回归分析及近期案例，市盈率及市净率适用性较低</w:t>
      </w:r>
    </w:p>
    <w:p w14:paraId="70DA0BD8" w14:textId="77777777" w:rsidR="00EB3B4C" w:rsidRPr="00DA3766" w:rsidRDefault="00EB3B4C" w:rsidP="00EB3B4C">
      <w:pPr>
        <w:spacing w:before="120" w:after="120"/>
        <w:ind w:firstLine="480"/>
        <w:jc w:val="both"/>
        <w:rPr>
          <w:rFonts w:ascii="Times New Roman" w:hAnsi="Times New Roman" w:cs="Times New Roman"/>
          <w:szCs w:val="22"/>
        </w:rPr>
      </w:pPr>
      <w:bookmarkStart w:id="107" w:name="_Hlk220280043"/>
      <w:r w:rsidRPr="00DA3766">
        <w:rPr>
          <w:rFonts w:ascii="Times New Roman" w:hAnsi="Times New Roman" w:cs="Times New Roman"/>
          <w:szCs w:val="22"/>
        </w:rPr>
        <w:t>为判断不同价值比率对标的公司所属行业的适用性，本次评估以</w:t>
      </w:r>
      <w:r w:rsidRPr="00DA3766">
        <w:rPr>
          <w:rFonts w:ascii="Times New Roman" w:hAnsi="Times New Roman" w:cs="Times New Roman"/>
          <w:szCs w:val="22"/>
        </w:rPr>
        <w:t>A</w:t>
      </w:r>
      <w:r w:rsidRPr="00DA3766">
        <w:rPr>
          <w:rFonts w:ascii="Times New Roman" w:hAnsi="Times New Roman" w:cs="Times New Roman"/>
          <w:szCs w:val="22"/>
        </w:rPr>
        <w:t>股资本市场</w:t>
      </w:r>
      <w:r w:rsidRPr="00DA3766">
        <w:rPr>
          <w:rFonts w:ascii="Times New Roman" w:hAnsi="Times New Roman" w:cs="Times New Roman"/>
          <w:szCs w:val="22"/>
        </w:rPr>
        <w:t>26</w:t>
      </w:r>
      <w:r w:rsidRPr="00DA3766">
        <w:rPr>
          <w:rFonts w:ascii="Times New Roman" w:hAnsi="Times New Roman" w:cs="Times New Roman"/>
          <w:szCs w:val="22"/>
        </w:rPr>
        <w:t>家从事物联网或</w:t>
      </w:r>
      <w:r w:rsidRPr="00DA3766">
        <w:rPr>
          <w:rFonts w:ascii="Times New Roman" w:hAnsi="Times New Roman" w:cs="Times New Roman"/>
          <w:szCs w:val="22"/>
        </w:rPr>
        <w:t>SaaS</w:t>
      </w:r>
      <w:r w:rsidRPr="00DA3766">
        <w:rPr>
          <w:rFonts w:ascii="Times New Roman" w:hAnsi="Times New Roman" w:cs="Times New Roman"/>
          <w:szCs w:val="22"/>
        </w:rPr>
        <w:t>业务相关的上市公司作为样本，对上市公司价值与净利润、净资产、营业收入之间的相关性进行线性回归分析，线性回归结果显示，企业价值与营业收入比率（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）、市销率（</w:t>
      </w:r>
      <w:r w:rsidRPr="00DA3766">
        <w:rPr>
          <w:rFonts w:ascii="Times New Roman" w:hAnsi="Times New Roman" w:cs="Times New Roman"/>
          <w:szCs w:val="22"/>
        </w:rPr>
        <w:t>P/S</w:t>
      </w:r>
      <w:r w:rsidRPr="00DA3766">
        <w:rPr>
          <w:rFonts w:ascii="Times New Roman" w:hAnsi="Times New Roman" w:cs="Times New Roman"/>
          <w:szCs w:val="22"/>
        </w:rPr>
        <w:t>）、市净率（</w:t>
      </w:r>
      <w:r w:rsidRPr="00DA3766">
        <w:rPr>
          <w:rFonts w:ascii="Times New Roman" w:hAnsi="Times New Roman" w:cs="Times New Roman"/>
          <w:szCs w:val="22"/>
        </w:rPr>
        <w:t>P/B</w:t>
      </w:r>
      <w:r w:rsidRPr="00DA3766">
        <w:rPr>
          <w:rFonts w:ascii="Times New Roman" w:hAnsi="Times New Roman" w:cs="Times New Roman"/>
          <w:szCs w:val="22"/>
        </w:rPr>
        <w:t>）相关系数显著高于市盈率（</w:t>
      </w:r>
      <w:r w:rsidRPr="00DA3766">
        <w:rPr>
          <w:rFonts w:ascii="Times New Roman" w:hAnsi="Times New Roman" w:cs="Times New Roman"/>
          <w:szCs w:val="22"/>
        </w:rPr>
        <w:t>P/E</w:t>
      </w:r>
      <w:r w:rsidRPr="00DA3766">
        <w:rPr>
          <w:rFonts w:ascii="Times New Roman" w:hAnsi="Times New Roman" w:cs="Times New Roman"/>
          <w:szCs w:val="22"/>
        </w:rPr>
        <w:t>），具体如下表所示</w:t>
      </w:r>
      <w:bookmarkEnd w:id="107"/>
      <w:r w:rsidRPr="00DA3766">
        <w:rPr>
          <w:rFonts w:ascii="Times New Roman" w:hAnsi="Times New Roman" w:cs="Times New Roman"/>
          <w:szCs w:val="22"/>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1747"/>
        <w:gridCol w:w="1617"/>
        <w:gridCol w:w="1605"/>
        <w:gridCol w:w="1699"/>
      </w:tblGrid>
      <w:tr w:rsidR="00EB3B4C" w:rsidRPr="00DA3766" w14:paraId="093A964E" w14:textId="77777777" w:rsidTr="00DA3766">
        <w:trPr>
          <w:trHeight w:val="397"/>
          <w:tblHeader/>
          <w:jc w:val="center"/>
        </w:trPr>
        <w:tc>
          <w:tcPr>
            <w:tcW w:w="1091" w:type="pct"/>
            <w:vAlign w:val="center"/>
          </w:tcPr>
          <w:p w14:paraId="78055A25" w14:textId="77777777" w:rsidR="00EB3B4C" w:rsidRPr="00DA3766" w:rsidRDefault="00EB3B4C" w:rsidP="00DA3766">
            <w:pPr>
              <w:keepNext/>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rPr>
              <w:t>因变量</w:t>
            </w:r>
          </w:p>
        </w:tc>
        <w:tc>
          <w:tcPr>
            <w:tcW w:w="2913" w:type="pct"/>
            <w:gridSpan w:val="3"/>
            <w:vAlign w:val="center"/>
          </w:tcPr>
          <w:p w14:paraId="006047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P</w:t>
            </w:r>
          </w:p>
        </w:tc>
        <w:tc>
          <w:tcPr>
            <w:tcW w:w="996" w:type="pct"/>
            <w:vAlign w:val="center"/>
          </w:tcPr>
          <w:p w14:paraId="0899A4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EV</w:t>
            </w:r>
          </w:p>
        </w:tc>
      </w:tr>
      <w:tr w:rsidR="00EB3B4C" w:rsidRPr="00DA3766" w14:paraId="121017B9" w14:textId="77777777" w:rsidTr="00DA3766">
        <w:trPr>
          <w:trHeight w:val="397"/>
          <w:jc w:val="center"/>
        </w:trPr>
        <w:tc>
          <w:tcPr>
            <w:tcW w:w="1091" w:type="pct"/>
            <w:vAlign w:val="center"/>
          </w:tcPr>
          <w:p w14:paraId="27A4EA0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自变量</w:t>
            </w:r>
          </w:p>
        </w:tc>
        <w:tc>
          <w:tcPr>
            <w:tcW w:w="1024" w:type="pct"/>
            <w:vAlign w:val="center"/>
          </w:tcPr>
          <w:p w14:paraId="7CB3900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rPr>
            </w:pPr>
            <w:r w:rsidRPr="00DA3766">
              <w:rPr>
                <w:rFonts w:ascii="Times New Roman" w:hAnsi="Times New Roman" w:cs="Times New Roman"/>
                <w:b/>
                <w:bCs/>
              </w:rPr>
              <w:t>B</w:t>
            </w:r>
          </w:p>
        </w:tc>
        <w:tc>
          <w:tcPr>
            <w:tcW w:w="948" w:type="pct"/>
            <w:vAlign w:val="center"/>
          </w:tcPr>
          <w:p w14:paraId="0FA91BF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w:t>
            </w:r>
          </w:p>
        </w:tc>
        <w:tc>
          <w:tcPr>
            <w:tcW w:w="941" w:type="pct"/>
            <w:vAlign w:val="center"/>
          </w:tcPr>
          <w:p w14:paraId="65A16D1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S</w:t>
            </w:r>
          </w:p>
        </w:tc>
        <w:tc>
          <w:tcPr>
            <w:tcW w:w="996" w:type="pct"/>
            <w:vAlign w:val="center"/>
          </w:tcPr>
          <w:p w14:paraId="7CE256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S</w:t>
            </w:r>
          </w:p>
        </w:tc>
      </w:tr>
      <w:tr w:rsidR="00EB3B4C" w:rsidRPr="00DA3766" w14:paraId="44C92D36" w14:textId="77777777" w:rsidTr="00DA3766">
        <w:trPr>
          <w:trHeight w:val="397"/>
          <w:jc w:val="center"/>
        </w:trPr>
        <w:tc>
          <w:tcPr>
            <w:tcW w:w="1091" w:type="pct"/>
            <w:vAlign w:val="center"/>
          </w:tcPr>
          <w:p w14:paraId="0E6AC9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相关系数</w:t>
            </w:r>
          </w:p>
        </w:tc>
        <w:tc>
          <w:tcPr>
            <w:tcW w:w="1024" w:type="pct"/>
            <w:vAlign w:val="center"/>
          </w:tcPr>
          <w:p w14:paraId="31D192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0.6930</w:t>
            </w:r>
          </w:p>
        </w:tc>
        <w:tc>
          <w:tcPr>
            <w:tcW w:w="948" w:type="pct"/>
            <w:vAlign w:val="center"/>
          </w:tcPr>
          <w:p w14:paraId="4FE8F0F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0.1865</w:t>
            </w:r>
          </w:p>
        </w:tc>
        <w:tc>
          <w:tcPr>
            <w:tcW w:w="941" w:type="pct"/>
            <w:vAlign w:val="center"/>
          </w:tcPr>
          <w:p w14:paraId="367240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0.6827</w:t>
            </w:r>
          </w:p>
        </w:tc>
        <w:tc>
          <w:tcPr>
            <w:tcW w:w="996" w:type="pct"/>
            <w:vAlign w:val="center"/>
          </w:tcPr>
          <w:p w14:paraId="5811FA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0.7058</w:t>
            </w:r>
          </w:p>
        </w:tc>
      </w:tr>
      <w:tr w:rsidR="00EB3B4C" w:rsidRPr="00DA3766" w14:paraId="4F7E6491" w14:textId="77777777" w:rsidTr="00DA3766">
        <w:trPr>
          <w:trHeight w:val="397"/>
          <w:jc w:val="center"/>
        </w:trPr>
        <w:tc>
          <w:tcPr>
            <w:tcW w:w="1091" w:type="pct"/>
            <w:vAlign w:val="center"/>
          </w:tcPr>
          <w:p w14:paraId="74D83C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拟合度</w:t>
            </w:r>
          </w:p>
        </w:tc>
        <w:tc>
          <w:tcPr>
            <w:tcW w:w="1024" w:type="pct"/>
            <w:vAlign w:val="center"/>
          </w:tcPr>
          <w:p w14:paraId="26A7D37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0.4803</w:t>
            </w:r>
          </w:p>
        </w:tc>
        <w:tc>
          <w:tcPr>
            <w:tcW w:w="948" w:type="pct"/>
            <w:vAlign w:val="center"/>
          </w:tcPr>
          <w:p w14:paraId="0F67EF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0.0348</w:t>
            </w:r>
          </w:p>
        </w:tc>
        <w:tc>
          <w:tcPr>
            <w:tcW w:w="941" w:type="pct"/>
            <w:vAlign w:val="center"/>
          </w:tcPr>
          <w:p w14:paraId="215E732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0.4661</w:t>
            </w:r>
          </w:p>
        </w:tc>
        <w:tc>
          <w:tcPr>
            <w:tcW w:w="996" w:type="pct"/>
            <w:vAlign w:val="center"/>
          </w:tcPr>
          <w:p w14:paraId="3F7390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0.4982</w:t>
            </w:r>
          </w:p>
        </w:tc>
      </w:tr>
      <w:tr w:rsidR="00EB3B4C" w:rsidRPr="00DA3766" w14:paraId="392ACAFF" w14:textId="77777777" w:rsidTr="00DA3766">
        <w:trPr>
          <w:trHeight w:val="397"/>
          <w:jc w:val="center"/>
        </w:trPr>
        <w:tc>
          <w:tcPr>
            <w:tcW w:w="1091" w:type="pct"/>
            <w:vAlign w:val="center"/>
          </w:tcPr>
          <w:p w14:paraId="3EE4F0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观测值</w:t>
            </w:r>
          </w:p>
        </w:tc>
        <w:tc>
          <w:tcPr>
            <w:tcW w:w="1024" w:type="pct"/>
            <w:vAlign w:val="center"/>
          </w:tcPr>
          <w:p w14:paraId="6FEF53A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48" w:type="pct"/>
            <w:vAlign w:val="center"/>
          </w:tcPr>
          <w:p w14:paraId="4B693CB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41" w:type="pct"/>
            <w:vAlign w:val="center"/>
          </w:tcPr>
          <w:p w14:paraId="1F4ABC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96" w:type="pct"/>
            <w:vAlign w:val="center"/>
          </w:tcPr>
          <w:p w14:paraId="1120FA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r>
      <w:tr w:rsidR="00EB3B4C" w:rsidRPr="00DA3766" w14:paraId="4EE8457E" w14:textId="77777777" w:rsidTr="00DA3766">
        <w:trPr>
          <w:trHeight w:val="397"/>
          <w:jc w:val="center"/>
        </w:trPr>
        <w:tc>
          <w:tcPr>
            <w:tcW w:w="1091" w:type="pct"/>
            <w:vAlign w:val="center"/>
          </w:tcPr>
          <w:p w14:paraId="39BA5E0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价值比率</w:t>
            </w:r>
          </w:p>
        </w:tc>
        <w:tc>
          <w:tcPr>
            <w:tcW w:w="1024" w:type="pct"/>
            <w:vAlign w:val="center"/>
          </w:tcPr>
          <w:p w14:paraId="3DB5C74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948" w:type="pct"/>
            <w:vAlign w:val="center"/>
          </w:tcPr>
          <w:p w14:paraId="01AB94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P/E</w:t>
            </w:r>
          </w:p>
        </w:tc>
        <w:tc>
          <w:tcPr>
            <w:tcW w:w="941" w:type="pct"/>
            <w:vAlign w:val="center"/>
          </w:tcPr>
          <w:p w14:paraId="2E6D40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P/S</w:t>
            </w:r>
          </w:p>
        </w:tc>
        <w:tc>
          <w:tcPr>
            <w:tcW w:w="996" w:type="pct"/>
            <w:vAlign w:val="center"/>
          </w:tcPr>
          <w:p w14:paraId="30552E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w:t>
            </w:r>
          </w:p>
        </w:tc>
      </w:tr>
    </w:tbl>
    <w:p w14:paraId="3FBEE44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线性回归分析中，相关系数</w:t>
      </w:r>
      <w:r w:rsidRPr="00DA3766">
        <w:rPr>
          <w:rFonts w:ascii="Times New Roman" w:hAnsi="Times New Roman" w:cs="Times New Roman"/>
        </w:rPr>
        <w:t>&lt;0.5</w:t>
      </w:r>
      <w:r w:rsidRPr="00DA3766">
        <w:rPr>
          <w:rFonts w:ascii="Times New Roman" w:hAnsi="Times New Roman" w:cs="Times New Roman"/>
        </w:rPr>
        <w:t>则相关性较弱，根据回归结果，市盈率</w:t>
      </w:r>
      <w:r w:rsidRPr="00DA3766">
        <w:rPr>
          <w:rFonts w:ascii="Times New Roman" w:hAnsi="Times New Roman" w:cs="Times New Roman"/>
        </w:rPr>
        <w:t>P/E</w:t>
      </w:r>
      <w:r w:rsidRPr="00DA3766">
        <w:rPr>
          <w:rFonts w:ascii="Times New Roman" w:hAnsi="Times New Roman" w:cs="Times New Roman"/>
        </w:rPr>
        <w:t>指标相关性小于</w:t>
      </w:r>
      <w:r w:rsidRPr="00DA3766">
        <w:rPr>
          <w:rFonts w:ascii="Times New Roman" w:hAnsi="Times New Roman" w:cs="Times New Roman"/>
        </w:rPr>
        <w:t>0.5</w:t>
      </w:r>
      <w:r w:rsidRPr="00DA3766">
        <w:rPr>
          <w:rFonts w:ascii="Times New Roman" w:hAnsi="Times New Roman" w:cs="Times New Roman"/>
        </w:rPr>
        <w:t>，即市盈率</w:t>
      </w:r>
      <w:r w:rsidRPr="00DA3766">
        <w:rPr>
          <w:rFonts w:ascii="Times New Roman" w:hAnsi="Times New Roman" w:cs="Times New Roman"/>
        </w:rPr>
        <w:t>P/E</w:t>
      </w:r>
      <w:r w:rsidRPr="00DA3766">
        <w:rPr>
          <w:rFonts w:ascii="Times New Roman" w:hAnsi="Times New Roman" w:cs="Times New Roman"/>
        </w:rPr>
        <w:t>指标无法准确反映</w:t>
      </w:r>
      <w:r w:rsidRPr="00DA3766">
        <w:rPr>
          <w:rFonts w:ascii="Times New Roman" w:hAnsi="Times New Roman" w:cs="Times New Roman"/>
        </w:rPr>
        <w:t>A</w:t>
      </w:r>
      <w:r w:rsidRPr="00DA3766">
        <w:rPr>
          <w:rFonts w:ascii="Times New Roman" w:hAnsi="Times New Roman" w:cs="Times New Roman"/>
        </w:rPr>
        <w:t>股物联网或</w:t>
      </w:r>
      <w:r w:rsidRPr="00DA3766">
        <w:rPr>
          <w:rFonts w:ascii="Times New Roman" w:hAnsi="Times New Roman" w:cs="Times New Roman"/>
        </w:rPr>
        <w:t>SaaS</w:t>
      </w:r>
      <w:r w:rsidRPr="00DA3766">
        <w:rPr>
          <w:rFonts w:ascii="Times New Roman" w:hAnsi="Times New Roman" w:cs="Times New Roman"/>
        </w:rPr>
        <w:t>业务企业价值，其作为价值比率的适用性较低。</w:t>
      </w:r>
    </w:p>
    <w:p w14:paraId="1948CBD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标的公司专注于为智能自助设备运营商提供</w:t>
      </w:r>
      <w:r w:rsidRPr="00DA3766">
        <w:rPr>
          <w:rFonts w:cs="Times New Roman"/>
          <w:szCs w:val="22"/>
        </w:rPr>
        <w:t>“</w:t>
      </w:r>
      <w:r w:rsidRPr="00DA3766">
        <w:rPr>
          <w:rFonts w:ascii="Times New Roman" w:hAnsi="Times New Roman" w:cs="Times New Roman"/>
          <w:szCs w:val="22"/>
        </w:rPr>
        <w:t>IoT</w:t>
      </w:r>
      <w:r w:rsidRPr="00DA3766">
        <w:rPr>
          <w:rFonts w:ascii="Times New Roman" w:hAnsi="Times New Roman" w:cs="Times New Roman"/>
          <w:szCs w:val="22"/>
        </w:rPr>
        <w:t>智能硬件</w:t>
      </w:r>
      <w:r w:rsidRPr="00DA3766">
        <w:rPr>
          <w:rFonts w:ascii="Times New Roman" w:hAnsi="Times New Roman" w:cs="Times New Roman"/>
          <w:szCs w:val="22"/>
        </w:rPr>
        <w:t>+SaaS</w:t>
      </w:r>
      <w:r w:rsidRPr="00DA3766">
        <w:rPr>
          <w:rFonts w:ascii="Times New Roman" w:hAnsi="Times New Roman" w:cs="Times New Roman"/>
          <w:szCs w:val="22"/>
        </w:rPr>
        <w:t>云平台</w:t>
      </w:r>
      <w:r w:rsidRPr="00DA3766">
        <w:rPr>
          <w:rFonts w:cs="Times New Roman"/>
          <w:szCs w:val="22"/>
        </w:rPr>
        <w:t>”</w:t>
      </w:r>
      <w:r w:rsidRPr="00DA3766">
        <w:rPr>
          <w:rFonts w:ascii="Times New Roman" w:hAnsi="Times New Roman" w:cs="Times New Roman"/>
          <w:szCs w:val="22"/>
        </w:rPr>
        <w:t>一体化解决方案，所属行业为</w:t>
      </w:r>
      <w:r w:rsidRPr="00DA3766">
        <w:rPr>
          <w:rFonts w:cs="Times New Roman"/>
          <w:szCs w:val="22"/>
        </w:rPr>
        <w:t>“</w:t>
      </w:r>
      <w:r w:rsidRPr="00DA3766">
        <w:rPr>
          <w:rFonts w:ascii="Times New Roman" w:hAnsi="Times New Roman" w:cs="Times New Roman"/>
          <w:szCs w:val="22"/>
        </w:rPr>
        <w:t>信息系统集成和物联网技术服务</w:t>
      </w:r>
      <w:r w:rsidRPr="00DA3766">
        <w:rPr>
          <w:rFonts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I653</w:t>
      </w:r>
      <w:r w:rsidRPr="00DA3766">
        <w:rPr>
          <w:rFonts w:ascii="Times New Roman" w:hAnsi="Times New Roman" w:cs="Times New Roman"/>
          <w:szCs w:val="22"/>
        </w:rPr>
        <w:t>），属于物联网行业大类。该行业核心价值不在于自身资产，而在于</w:t>
      </w:r>
      <w:r w:rsidRPr="00DA3766">
        <w:rPr>
          <w:rFonts w:ascii="Times New Roman" w:hAnsi="Times New Roman" w:cs="Times New Roman"/>
          <w:szCs w:val="22"/>
        </w:rPr>
        <w:t>IoT</w:t>
      </w:r>
      <w:r w:rsidRPr="00DA3766">
        <w:rPr>
          <w:rFonts w:ascii="Times New Roman" w:hAnsi="Times New Roman" w:cs="Times New Roman"/>
          <w:szCs w:val="22"/>
        </w:rPr>
        <w:t>硬件与</w:t>
      </w:r>
      <w:r w:rsidRPr="00DA3766">
        <w:rPr>
          <w:rFonts w:ascii="Times New Roman" w:hAnsi="Times New Roman" w:cs="Times New Roman"/>
          <w:szCs w:val="22"/>
        </w:rPr>
        <w:t>SaaS</w:t>
      </w:r>
      <w:r w:rsidRPr="00DA3766">
        <w:rPr>
          <w:rFonts w:ascii="Times New Roman" w:hAnsi="Times New Roman" w:cs="Times New Roman"/>
          <w:szCs w:val="22"/>
        </w:rPr>
        <w:t>平台的协同能力、设备连接规模、客户资源及数据服务能力。行业公司均呈现轻资产特征，企业价值与资产规模关联性较弱，且轻资产企业通常包含大量无形资源，如客户关系、品牌、团队等价值，而市净率</w:t>
      </w:r>
      <w:r w:rsidRPr="00DA3766">
        <w:rPr>
          <w:rFonts w:ascii="Times New Roman" w:hAnsi="Times New Roman" w:cs="Times New Roman"/>
          <w:szCs w:val="22"/>
        </w:rPr>
        <w:t>P/B</w:t>
      </w:r>
      <w:r w:rsidRPr="00DA3766">
        <w:rPr>
          <w:rFonts w:ascii="Times New Roman" w:hAnsi="Times New Roman" w:cs="Times New Roman"/>
          <w:szCs w:val="22"/>
        </w:rPr>
        <w:t>估值直接以账面净资产为基准，无法体现这些无形资源的价值，因此市净率</w:t>
      </w:r>
      <w:r w:rsidRPr="00DA3766">
        <w:rPr>
          <w:rFonts w:ascii="Times New Roman" w:hAnsi="Times New Roman" w:cs="Times New Roman"/>
          <w:szCs w:val="22"/>
        </w:rPr>
        <w:t>P/B</w:t>
      </w:r>
      <w:r w:rsidRPr="00DA3766">
        <w:rPr>
          <w:rFonts w:ascii="Times New Roman" w:hAnsi="Times New Roman" w:cs="Times New Roman"/>
          <w:szCs w:val="22"/>
        </w:rPr>
        <w:t>指标适用性较弱，难以衡量企业真实价值。</w:t>
      </w:r>
    </w:p>
    <w:p w14:paraId="18C0D29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经检索，近年来并购重组案例中轻资产类型的企业，均未采用市净率</w:t>
      </w:r>
      <w:r w:rsidRPr="00DA3766">
        <w:rPr>
          <w:rFonts w:ascii="Times New Roman" w:hAnsi="Times New Roman" w:cs="Times New Roman"/>
          <w:szCs w:val="22"/>
        </w:rPr>
        <w:t>P/B</w:t>
      </w:r>
      <w:r w:rsidRPr="00DA3766">
        <w:rPr>
          <w:rFonts w:ascii="Times New Roman" w:hAnsi="Times New Roman" w:cs="Times New Roman"/>
          <w:szCs w:val="22"/>
        </w:rPr>
        <w:t>指标作为价值比例，其本质原因是对于轻资产类型的企业，公司的技术和人才积累乃至客户关系等无形资产是其经营的核心资产，这些在轻资产企业账面无法或难以完整体现，也因此导致市净率</w:t>
      </w:r>
      <w:r w:rsidRPr="00DA3766">
        <w:rPr>
          <w:rFonts w:ascii="Times New Roman" w:hAnsi="Times New Roman" w:cs="Times New Roman"/>
          <w:szCs w:val="22"/>
        </w:rPr>
        <w:t>P/B</w:t>
      </w:r>
      <w:r w:rsidRPr="00DA3766">
        <w:rPr>
          <w:rFonts w:ascii="Times New Roman" w:hAnsi="Times New Roman" w:cs="Times New Roman"/>
          <w:szCs w:val="22"/>
        </w:rPr>
        <w:t>在此类企业的适用性较差，在此类重组案例中亦未被选用。综上，根据线性回归分析及近期案例，市盈率</w:t>
      </w:r>
      <w:r w:rsidRPr="00DA3766">
        <w:rPr>
          <w:rFonts w:ascii="Times New Roman" w:hAnsi="Times New Roman" w:cs="Times New Roman"/>
          <w:szCs w:val="22"/>
        </w:rPr>
        <w:t>P/E</w:t>
      </w:r>
      <w:r w:rsidRPr="00DA3766">
        <w:rPr>
          <w:rFonts w:ascii="Times New Roman" w:hAnsi="Times New Roman" w:cs="Times New Roman"/>
          <w:szCs w:val="22"/>
        </w:rPr>
        <w:t>和市净率</w:t>
      </w:r>
      <w:r w:rsidRPr="00DA3766">
        <w:rPr>
          <w:rFonts w:ascii="Times New Roman" w:hAnsi="Times New Roman" w:cs="Times New Roman"/>
          <w:szCs w:val="22"/>
        </w:rPr>
        <w:t>P/B</w:t>
      </w:r>
      <w:r w:rsidRPr="00DA3766">
        <w:rPr>
          <w:rFonts w:ascii="Times New Roman" w:hAnsi="Times New Roman" w:cs="Times New Roman"/>
          <w:szCs w:val="22"/>
        </w:rPr>
        <w:t>作为价值比率的适用性较低，本次评估未选用市盈率</w:t>
      </w:r>
      <w:r w:rsidRPr="00DA3766">
        <w:rPr>
          <w:rFonts w:ascii="Times New Roman" w:hAnsi="Times New Roman" w:cs="Times New Roman"/>
          <w:szCs w:val="22"/>
        </w:rPr>
        <w:t>P/E</w:t>
      </w:r>
      <w:r w:rsidRPr="00DA3766">
        <w:rPr>
          <w:rFonts w:ascii="Times New Roman" w:hAnsi="Times New Roman" w:cs="Times New Roman"/>
          <w:szCs w:val="22"/>
        </w:rPr>
        <w:t>和市净率</w:t>
      </w:r>
      <w:r w:rsidRPr="00DA3766">
        <w:rPr>
          <w:rFonts w:ascii="Times New Roman" w:hAnsi="Times New Roman" w:cs="Times New Roman"/>
          <w:szCs w:val="22"/>
        </w:rPr>
        <w:t>P/B</w:t>
      </w:r>
      <w:r w:rsidRPr="00DA3766">
        <w:rPr>
          <w:rFonts w:ascii="Times New Roman" w:hAnsi="Times New Roman" w:cs="Times New Roman"/>
          <w:szCs w:val="22"/>
        </w:rPr>
        <w:t>作为价值比率具备合理性。</w:t>
      </w:r>
    </w:p>
    <w:p w14:paraId="385BE2BE"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（二）选择企业价值与营业收入比率（</w:t>
      </w:r>
      <w:r w:rsidRPr="00DA3766">
        <w:rPr>
          <w:rFonts w:ascii="Times New Roman" w:hAnsi="Times New Roman" w:cs="Times New Roman"/>
          <w:b/>
          <w:bCs/>
          <w:szCs w:val="28"/>
        </w:rPr>
        <w:t>EV/S</w:t>
      </w:r>
      <w:r w:rsidRPr="00DA3766">
        <w:rPr>
          <w:rFonts w:ascii="Times New Roman" w:hAnsi="Times New Roman" w:cs="Times New Roman"/>
          <w:b/>
          <w:bCs/>
          <w:szCs w:val="28"/>
        </w:rPr>
        <w:t>）作为比准价值比率具有合理性，符合行业惯例及可比交易案例</w:t>
      </w:r>
    </w:p>
    <w:p w14:paraId="38165E7A"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、选择企业价值与营业收入比率（</w:t>
      </w:r>
      <w:r w:rsidRPr="00DA3766">
        <w:rPr>
          <w:rFonts w:ascii="Times New Roman" w:hAnsi="Times New Roman" w:cs="Times New Roman"/>
          <w:b/>
          <w:bCs/>
          <w:szCs w:val="28"/>
        </w:rPr>
        <w:t>EV/S</w:t>
      </w:r>
      <w:r w:rsidRPr="00DA3766">
        <w:rPr>
          <w:rFonts w:ascii="Times New Roman" w:hAnsi="Times New Roman" w:cs="Times New Roman"/>
          <w:b/>
          <w:bCs/>
          <w:szCs w:val="28"/>
        </w:rPr>
        <w:t>）作为比准价值比率具有合理性</w:t>
      </w:r>
    </w:p>
    <w:p w14:paraId="4D3344C9"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根据《资产评估准则</w:t>
      </w:r>
      <w:r w:rsidRPr="00DA3766">
        <w:rPr>
          <w:rFonts w:ascii="Times New Roman" w:hAnsi="Times New Roman" w:cs="Times New Roman"/>
          <w:szCs w:val="22"/>
        </w:rPr>
        <w:t>——</w:t>
      </w:r>
      <w:r w:rsidRPr="00DA3766">
        <w:rPr>
          <w:rFonts w:ascii="Times New Roman" w:hAnsi="Times New Roman" w:cs="Times New Roman"/>
          <w:szCs w:val="22"/>
        </w:rPr>
        <w:t>企业价值》（中评协〔</w:t>
      </w:r>
      <w:r w:rsidRPr="00DA3766">
        <w:rPr>
          <w:rFonts w:ascii="Times New Roman" w:hAnsi="Times New Roman" w:cs="Times New Roman"/>
          <w:szCs w:val="22"/>
        </w:rPr>
        <w:t>2018</w:t>
      </w:r>
      <w:r w:rsidRPr="00DA3766">
        <w:rPr>
          <w:rFonts w:ascii="Times New Roman" w:hAnsi="Times New Roman" w:cs="Times New Roman"/>
          <w:szCs w:val="22"/>
        </w:rPr>
        <w:t>〕</w:t>
      </w:r>
      <w:r w:rsidRPr="00DA3766">
        <w:rPr>
          <w:rFonts w:ascii="Times New Roman" w:hAnsi="Times New Roman" w:cs="Times New Roman"/>
          <w:szCs w:val="22"/>
        </w:rPr>
        <w:t>38</w:t>
      </w:r>
      <w:r w:rsidRPr="00DA3766">
        <w:rPr>
          <w:rFonts w:ascii="Times New Roman" w:hAnsi="Times New Roman" w:cs="Times New Roman"/>
          <w:szCs w:val="22"/>
        </w:rPr>
        <w:t>号）第三十四条，价值比率通常包括盈利比率、资产比率、收入比率和其他特定比率。在选择、计算、应用价值比率时，应当考虑（一）选择的价值比率有利于合理确定评估对象的价值；（二）计算价值比率的数据口径及计算方式一致；（三）对可比企业和被评估单位间的差异进行合理调整。</w:t>
      </w:r>
    </w:p>
    <w:p w14:paraId="42E2C46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本次市场法评估选取的价值比率为企业价值与营业收入比率（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），理由如下：</w:t>
      </w:r>
    </w:p>
    <w:p w14:paraId="1094DCFD"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lastRenderedPageBreak/>
        <w:t>（</w:t>
      </w:r>
      <w:r w:rsidRPr="00DA3766">
        <w:rPr>
          <w:rFonts w:ascii="Times New Roman" w:hAnsi="Times New Roman" w:cs="Times New Roman"/>
          <w:szCs w:val="22"/>
        </w:rPr>
        <w:t>1</w:t>
      </w:r>
      <w:r w:rsidRPr="00DA3766">
        <w:rPr>
          <w:rFonts w:ascii="Times New Roman" w:hAnsi="Times New Roman" w:cs="Times New Roman"/>
          <w:szCs w:val="22"/>
        </w:rPr>
        <w:t>）随着近几年的发展，标的公司营业收入已初具规模，部分细分领域（如智慧生活类）市场份额已形成竞争优势。由于标的公司</w:t>
      </w:r>
      <w:r w:rsidRPr="00DA3766">
        <w:rPr>
          <w:rFonts w:cs="Times New Roman"/>
          <w:szCs w:val="22"/>
        </w:rPr>
        <w:t>“</w:t>
      </w:r>
      <w:r w:rsidRPr="00DA3766">
        <w:rPr>
          <w:rFonts w:ascii="Times New Roman" w:hAnsi="Times New Roman" w:cs="Times New Roman"/>
          <w:szCs w:val="22"/>
        </w:rPr>
        <w:t>IoT+SaaS</w:t>
      </w:r>
      <w:r w:rsidRPr="00DA3766">
        <w:rPr>
          <w:rFonts w:ascii="Times New Roman" w:hAnsi="Times New Roman" w:cs="Times New Roman"/>
          <w:szCs w:val="22"/>
        </w:rPr>
        <w:t>模式</w:t>
      </w:r>
      <w:r w:rsidRPr="00DA3766">
        <w:rPr>
          <w:rFonts w:cs="Times New Roman"/>
          <w:szCs w:val="22"/>
        </w:rPr>
        <w:t>”</w:t>
      </w:r>
      <w:r w:rsidRPr="00DA3766">
        <w:rPr>
          <w:rFonts w:ascii="Times New Roman" w:hAnsi="Times New Roman" w:cs="Times New Roman"/>
          <w:szCs w:val="22"/>
        </w:rPr>
        <w:t>的价值创造需要高度依赖业务规模，通过前期市场拓展，逐步积累设备连接数、</w:t>
      </w:r>
      <w:r w:rsidRPr="00DA3766">
        <w:rPr>
          <w:rFonts w:ascii="Times New Roman" w:hAnsi="Times New Roman" w:cs="Times New Roman"/>
          <w:szCs w:val="22"/>
        </w:rPr>
        <w:t>SaaS</w:t>
      </w:r>
      <w:r w:rsidRPr="00DA3766">
        <w:rPr>
          <w:rFonts w:ascii="Times New Roman" w:hAnsi="Times New Roman" w:cs="Times New Roman"/>
          <w:szCs w:val="22"/>
        </w:rPr>
        <w:t>订阅客户数以转化为营业收入，营业收入更能反映企业在行业内的地位，选用营业收入比率更能衡量企业价值。</w:t>
      </w:r>
    </w:p>
    <w:p w14:paraId="39EE934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w:t>
      </w:r>
      <w:r w:rsidRPr="00DA3766">
        <w:rPr>
          <w:rFonts w:ascii="Times New Roman" w:hAnsi="Times New Roman" w:cs="Times New Roman"/>
          <w:szCs w:val="22"/>
        </w:rPr>
        <w:t>IoT+SaaS</w:t>
      </w:r>
      <w:r w:rsidRPr="00DA3766">
        <w:rPr>
          <w:rFonts w:ascii="Times New Roman" w:hAnsi="Times New Roman" w:cs="Times New Roman"/>
          <w:szCs w:val="22"/>
        </w:rPr>
        <w:t>行业成长期企业普遍遵循</w:t>
      </w:r>
      <w:r w:rsidRPr="00DA3766">
        <w:rPr>
          <w:rFonts w:cs="Times New Roman"/>
          <w:szCs w:val="22"/>
        </w:rPr>
        <w:t>“</w:t>
      </w:r>
      <w:r w:rsidRPr="00DA3766">
        <w:rPr>
          <w:rFonts w:ascii="Times New Roman" w:hAnsi="Times New Roman" w:cs="Times New Roman"/>
          <w:szCs w:val="22"/>
        </w:rPr>
        <w:t>先拓展规模、后释放盈利</w:t>
      </w:r>
      <w:r w:rsidRPr="00DA3766">
        <w:rPr>
          <w:rFonts w:cs="Times New Roman"/>
          <w:szCs w:val="22"/>
        </w:rPr>
        <w:t>”</w:t>
      </w:r>
      <w:r w:rsidRPr="00DA3766">
        <w:rPr>
          <w:rFonts w:ascii="Times New Roman" w:hAnsi="Times New Roman" w:cs="Times New Roman"/>
          <w:szCs w:val="22"/>
        </w:rPr>
        <w:t>的发展规律，核心目标是扩大智能自助设备连接规模、积累</w:t>
      </w:r>
      <w:r w:rsidRPr="00DA3766">
        <w:rPr>
          <w:rFonts w:ascii="Times New Roman" w:hAnsi="Times New Roman" w:cs="Times New Roman"/>
          <w:szCs w:val="22"/>
        </w:rPr>
        <w:t>SaaS</w:t>
      </w:r>
      <w:r w:rsidRPr="00DA3766">
        <w:rPr>
          <w:rFonts w:ascii="Times New Roman" w:hAnsi="Times New Roman" w:cs="Times New Roman"/>
          <w:szCs w:val="22"/>
        </w:rPr>
        <w:t>订阅客户，短期内盈利水平难以匹配业务成长速度。现阶段行业内企业更注重提高产品种类覆盖面、提升体现市场地位的收入规模、持续向平台型公司转型，而非注重利润指标。</w:t>
      </w:r>
      <w:r w:rsidRPr="00DA3766">
        <w:rPr>
          <w:rFonts w:ascii="Times New Roman" w:hAnsi="Times New Roman" w:cs="Times New Roman"/>
          <w:szCs w:val="22"/>
        </w:rPr>
        <w:t>EV/S</w:t>
      </w:r>
      <w:r w:rsidRPr="00DA3766">
        <w:rPr>
          <w:rFonts w:ascii="Times New Roman" w:hAnsi="Times New Roman" w:cs="Times New Roman"/>
          <w:szCs w:val="22"/>
        </w:rPr>
        <w:t>不依赖盈利指标，仅聚焦营收规模及增长趋势，可充分体现企业规模扩张背后的长期价值，避免因短期盈利偏低导致的估值低估，完全适配行业成长期的价值评估需求。</w:t>
      </w:r>
    </w:p>
    <w:p w14:paraId="1094DB92"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3</w:t>
      </w:r>
      <w:r w:rsidRPr="00DA3766">
        <w:rPr>
          <w:rFonts w:ascii="Times New Roman" w:hAnsi="Times New Roman" w:cs="Times New Roman"/>
          <w:szCs w:val="22"/>
        </w:rPr>
        <w:t>）企业价值类收入价值比率</w:t>
      </w:r>
      <w:r w:rsidRPr="00DA3766">
        <w:rPr>
          <w:rFonts w:ascii="Times New Roman" w:hAnsi="Times New Roman" w:cs="Times New Roman"/>
          <w:szCs w:val="22"/>
        </w:rPr>
        <w:t>EV/S</w:t>
      </w:r>
      <w:r w:rsidRPr="00DA3766">
        <w:rPr>
          <w:rFonts w:ascii="Times New Roman" w:hAnsi="Times New Roman" w:cs="Times New Roman"/>
          <w:szCs w:val="22"/>
        </w:rPr>
        <w:t>较权益类收入价值比率</w:t>
      </w:r>
      <w:r w:rsidRPr="00DA3766">
        <w:rPr>
          <w:rFonts w:ascii="Times New Roman" w:hAnsi="Times New Roman" w:cs="Times New Roman"/>
          <w:szCs w:val="22"/>
        </w:rPr>
        <w:t>P/S</w:t>
      </w:r>
      <w:r w:rsidRPr="00DA3766">
        <w:rPr>
          <w:rFonts w:ascii="Times New Roman" w:hAnsi="Times New Roman" w:cs="Times New Roman"/>
          <w:szCs w:val="22"/>
        </w:rPr>
        <w:t>口径更匹配，收入价值比率中的</w:t>
      </w:r>
      <w:r w:rsidRPr="00DA3766">
        <w:rPr>
          <w:rFonts w:ascii="Times New Roman" w:hAnsi="Times New Roman" w:cs="Times New Roman"/>
          <w:szCs w:val="22"/>
        </w:rPr>
        <w:t>S</w:t>
      </w:r>
      <w:r w:rsidRPr="00DA3766">
        <w:rPr>
          <w:rFonts w:ascii="Times New Roman" w:hAnsi="Times New Roman" w:cs="Times New Roman"/>
          <w:szCs w:val="22"/>
        </w:rPr>
        <w:t>来自于合并报表的收入，包括了少数股东对应的收入。股权价值</w:t>
      </w:r>
      <w:r w:rsidRPr="00DA3766">
        <w:rPr>
          <w:rFonts w:ascii="Times New Roman" w:hAnsi="Times New Roman" w:cs="Times New Roman"/>
          <w:szCs w:val="22"/>
        </w:rPr>
        <w:t>P</w:t>
      </w:r>
      <w:r w:rsidRPr="00DA3766">
        <w:rPr>
          <w:rFonts w:ascii="Times New Roman" w:hAnsi="Times New Roman" w:cs="Times New Roman"/>
          <w:szCs w:val="22"/>
        </w:rPr>
        <w:t>对应的是合并报表归属于母公司所有者的股权价值，企业价值</w:t>
      </w:r>
      <w:r w:rsidRPr="00DA3766">
        <w:rPr>
          <w:rFonts w:ascii="Times New Roman" w:hAnsi="Times New Roman" w:cs="Times New Roman"/>
          <w:szCs w:val="22"/>
        </w:rPr>
        <w:t xml:space="preserve">E </w:t>
      </w:r>
      <w:r w:rsidRPr="00DA3766">
        <w:rPr>
          <w:rFonts w:ascii="Times New Roman" w:hAnsi="Times New Roman" w:cs="Times New Roman"/>
          <w:szCs w:val="22"/>
        </w:rPr>
        <w:t>属于整体价值，包含股权价值与债权价值，其中股权价值即包括归属母公司所有者的股权价值，也包括归属于少数股东的权益价值。因此，</w:t>
      </w:r>
      <w:r w:rsidRPr="00DA3766">
        <w:rPr>
          <w:rFonts w:ascii="Times New Roman" w:hAnsi="Times New Roman" w:cs="Times New Roman"/>
          <w:szCs w:val="22"/>
        </w:rPr>
        <w:t>EV</w:t>
      </w:r>
      <w:r w:rsidRPr="00DA3766">
        <w:rPr>
          <w:rFonts w:ascii="Times New Roman" w:hAnsi="Times New Roman" w:cs="Times New Roman"/>
          <w:szCs w:val="22"/>
        </w:rPr>
        <w:t>作为企业整体价值，相对于归属于母公司所有者的股权价值</w:t>
      </w:r>
      <w:r w:rsidRPr="00DA3766">
        <w:rPr>
          <w:rFonts w:ascii="Times New Roman" w:hAnsi="Times New Roman" w:cs="Times New Roman"/>
          <w:szCs w:val="22"/>
        </w:rPr>
        <w:t>P</w:t>
      </w:r>
      <w:r w:rsidRPr="00DA3766">
        <w:rPr>
          <w:rFonts w:ascii="Times New Roman" w:hAnsi="Times New Roman" w:cs="Times New Roman"/>
          <w:szCs w:val="22"/>
        </w:rPr>
        <w:t>而言，与公司整体销售收入的口径更为匹配。本次评估采用企业价值与营业收入比率（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可以降低可比上市公司与标的公司因账面货币资金、资本结构、上市公司与非上市公司之间的历史融资规模等方面存在差异而产生的影响，有助于分析标的公司价值基础的稳定性和可靠性，又能合理反应标的公司的市场价值。</w:t>
      </w:r>
    </w:p>
    <w:p w14:paraId="39B81C2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综上所属，标的公司目前处于成长期，核心发展目标为提高产品种类覆盖面、拓展细分领域客户、扩大业务规模，收入增长是现阶段核心价值驱动因素，本次选择企业价值与营业收入比率（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）作为价值比率具有合理性。</w:t>
      </w:r>
    </w:p>
    <w:p w14:paraId="671D9D4C"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、从市场案例来看，选用企业价值与营业收入比率符合行业惯例</w:t>
      </w:r>
    </w:p>
    <w:p w14:paraId="76285A3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经查询，近期软件和信息技术服务行业重大资产重组市场案例较少，考虑到标的公司主营物联网、</w:t>
      </w:r>
      <w:r w:rsidRPr="00DA3766">
        <w:rPr>
          <w:rFonts w:ascii="Times New Roman" w:hAnsi="Times New Roman" w:cs="Times New Roman"/>
          <w:szCs w:val="22"/>
        </w:rPr>
        <w:t>SaaS</w:t>
      </w:r>
      <w:r w:rsidRPr="00DA3766">
        <w:rPr>
          <w:rFonts w:ascii="Times New Roman" w:hAnsi="Times New Roman" w:cs="Times New Roman"/>
          <w:szCs w:val="22"/>
        </w:rPr>
        <w:t>相关服务，核心资产为技术研发能力、客户资源、</w:t>
      </w:r>
      <w:r w:rsidRPr="00DA3766">
        <w:rPr>
          <w:rFonts w:ascii="Times New Roman" w:hAnsi="Times New Roman" w:cs="Times New Roman"/>
          <w:szCs w:val="22"/>
        </w:rPr>
        <w:lastRenderedPageBreak/>
        <w:t>平台运营能力、知识产权等无形资产，固定资产等有形资产占比极低，具备轻资产运营的典型特征。近</w:t>
      </w:r>
      <w:r w:rsidRPr="00DA3766">
        <w:rPr>
          <w:rFonts w:ascii="Times New Roman" w:hAnsi="Times New Roman" w:cs="Times New Roman"/>
          <w:szCs w:val="22"/>
        </w:rPr>
        <w:t>1</w:t>
      </w:r>
      <w:r w:rsidRPr="00DA3766">
        <w:rPr>
          <w:rFonts w:ascii="Times New Roman" w:hAnsi="Times New Roman" w:cs="Times New Roman"/>
          <w:szCs w:val="22"/>
        </w:rPr>
        <w:t>年来具备轻资产运营特征行业重大重组项目中，</w:t>
      </w:r>
      <w:r w:rsidRPr="00DA3766">
        <w:rPr>
          <w:rFonts w:ascii="Times New Roman" w:hAnsi="Times New Roman" w:cs="Times New Roman"/>
          <w:szCs w:val="22"/>
        </w:rPr>
        <w:t>EV/S</w:t>
      </w:r>
      <w:r w:rsidRPr="00DA3766">
        <w:rPr>
          <w:rFonts w:ascii="Times New Roman" w:hAnsi="Times New Roman" w:cs="Times New Roman"/>
          <w:szCs w:val="22"/>
        </w:rPr>
        <w:t>为被主要采用的价值比率之一，多家上市公司重组估值中均以该比率作为市场法比准指标（见下表）：</w:t>
      </w:r>
    </w:p>
    <w:tbl>
      <w:tblPr>
        <w:tblW w:w="53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4"/>
        <w:gridCol w:w="1297"/>
        <w:gridCol w:w="1296"/>
        <w:gridCol w:w="2290"/>
        <w:gridCol w:w="1311"/>
        <w:gridCol w:w="1311"/>
      </w:tblGrid>
      <w:tr w:rsidR="00EB3B4C" w:rsidRPr="00DA3766" w14:paraId="04B8B53F" w14:textId="77777777" w:rsidTr="001076ED">
        <w:trPr>
          <w:trHeight w:val="397"/>
          <w:tblHeader/>
          <w:jc w:val="center"/>
        </w:trPr>
        <w:tc>
          <w:tcPr>
            <w:tcW w:w="907" w:type="pct"/>
            <w:vAlign w:val="center"/>
          </w:tcPr>
          <w:p w14:paraId="051A59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股票代码</w:t>
            </w:r>
          </w:p>
        </w:tc>
        <w:tc>
          <w:tcPr>
            <w:tcW w:w="707" w:type="pct"/>
            <w:vAlign w:val="center"/>
          </w:tcPr>
          <w:p w14:paraId="5EE0F77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上市公司</w:t>
            </w:r>
          </w:p>
        </w:tc>
        <w:tc>
          <w:tcPr>
            <w:tcW w:w="707" w:type="pct"/>
            <w:vAlign w:val="center"/>
          </w:tcPr>
          <w:p w14:paraId="7781E91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标的公司</w:t>
            </w:r>
          </w:p>
        </w:tc>
        <w:tc>
          <w:tcPr>
            <w:tcW w:w="1249" w:type="pct"/>
            <w:vAlign w:val="center"/>
          </w:tcPr>
          <w:p w14:paraId="4DD904C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主营业务</w:t>
            </w:r>
          </w:p>
        </w:tc>
        <w:tc>
          <w:tcPr>
            <w:tcW w:w="715" w:type="pct"/>
            <w:vAlign w:val="center"/>
          </w:tcPr>
          <w:p w14:paraId="1999414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评估基准日</w:t>
            </w:r>
          </w:p>
        </w:tc>
        <w:tc>
          <w:tcPr>
            <w:tcW w:w="715" w:type="pct"/>
            <w:vAlign w:val="center"/>
          </w:tcPr>
          <w:p w14:paraId="276910D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价值比率</w:t>
            </w:r>
          </w:p>
        </w:tc>
      </w:tr>
      <w:tr w:rsidR="00EB3B4C" w:rsidRPr="00DA3766" w14:paraId="7DB2A94C" w14:textId="77777777" w:rsidTr="001076ED">
        <w:trPr>
          <w:trHeight w:val="397"/>
          <w:jc w:val="center"/>
        </w:trPr>
        <w:tc>
          <w:tcPr>
            <w:tcW w:w="907" w:type="pct"/>
            <w:vAlign w:val="center"/>
          </w:tcPr>
          <w:p w14:paraId="3D0DE5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300757.SZ</w:t>
            </w:r>
          </w:p>
        </w:tc>
        <w:tc>
          <w:tcPr>
            <w:tcW w:w="707" w:type="pct"/>
            <w:vAlign w:val="center"/>
          </w:tcPr>
          <w:p w14:paraId="5939118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罗博特科</w:t>
            </w:r>
          </w:p>
        </w:tc>
        <w:tc>
          <w:tcPr>
            <w:tcW w:w="707" w:type="pct"/>
            <w:vAlign w:val="center"/>
          </w:tcPr>
          <w:p w14:paraId="7D6331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FSGGroup</w:t>
            </w:r>
          </w:p>
        </w:tc>
        <w:tc>
          <w:tcPr>
            <w:tcW w:w="1249" w:type="pct"/>
            <w:vAlign w:val="center"/>
          </w:tcPr>
          <w:p w14:paraId="61608F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半导体自动化微组装及精密测试设备的设计、研发、生产和销售</w:t>
            </w:r>
          </w:p>
        </w:tc>
        <w:tc>
          <w:tcPr>
            <w:tcW w:w="715" w:type="pct"/>
            <w:vAlign w:val="center"/>
          </w:tcPr>
          <w:p w14:paraId="507ADE4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2024/07/31</w:t>
            </w:r>
          </w:p>
        </w:tc>
        <w:tc>
          <w:tcPr>
            <w:tcW w:w="715" w:type="pct"/>
            <w:vAlign w:val="center"/>
          </w:tcPr>
          <w:p w14:paraId="14AE4C5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r w:rsidR="00EB3B4C" w:rsidRPr="00DA3766" w14:paraId="0BFD4988" w14:textId="77777777" w:rsidTr="001076ED">
        <w:trPr>
          <w:trHeight w:val="397"/>
          <w:jc w:val="center"/>
        </w:trPr>
        <w:tc>
          <w:tcPr>
            <w:tcW w:w="907" w:type="pct"/>
            <w:vAlign w:val="center"/>
          </w:tcPr>
          <w:p w14:paraId="4A15BBB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0268.HK</w:t>
            </w:r>
          </w:p>
        </w:tc>
        <w:tc>
          <w:tcPr>
            <w:tcW w:w="707" w:type="pct"/>
            <w:vAlign w:val="center"/>
          </w:tcPr>
          <w:p w14:paraId="3ECE9BD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金蝶国际</w:t>
            </w:r>
          </w:p>
        </w:tc>
        <w:tc>
          <w:tcPr>
            <w:tcW w:w="707" w:type="pct"/>
            <w:vAlign w:val="center"/>
          </w:tcPr>
          <w:p w14:paraId="173E65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云之家</w:t>
            </w:r>
          </w:p>
        </w:tc>
        <w:tc>
          <w:tcPr>
            <w:tcW w:w="1249" w:type="pct"/>
            <w:vAlign w:val="center"/>
          </w:tcPr>
          <w:p w14:paraId="4FC1D4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企业协同办公系统集成研发和销售</w:t>
            </w:r>
          </w:p>
        </w:tc>
        <w:tc>
          <w:tcPr>
            <w:tcW w:w="715" w:type="pct"/>
            <w:vAlign w:val="center"/>
          </w:tcPr>
          <w:p w14:paraId="59F5B6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2025/04/30</w:t>
            </w:r>
          </w:p>
        </w:tc>
        <w:tc>
          <w:tcPr>
            <w:tcW w:w="715" w:type="pct"/>
            <w:vAlign w:val="center"/>
          </w:tcPr>
          <w:p w14:paraId="4277E0F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r w:rsidR="00EB3B4C" w:rsidRPr="00DA3766" w14:paraId="7B5C3DD5" w14:textId="77777777" w:rsidTr="001076ED">
        <w:trPr>
          <w:trHeight w:val="397"/>
          <w:jc w:val="center"/>
        </w:trPr>
        <w:tc>
          <w:tcPr>
            <w:tcW w:w="907" w:type="pct"/>
            <w:vAlign w:val="center"/>
          </w:tcPr>
          <w:p w14:paraId="0EFAA0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688368.SH</w:t>
            </w:r>
          </w:p>
        </w:tc>
        <w:tc>
          <w:tcPr>
            <w:tcW w:w="707" w:type="pct"/>
            <w:vAlign w:val="center"/>
          </w:tcPr>
          <w:p w14:paraId="3FFC789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晶丰明源</w:t>
            </w:r>
          </w:p>
        </w:tc>
        <w:tc>
          <w:tcPr>
            <w:tcW w:w="707" w:type="pct"/>
            <w:vAlign w:val="center"/>
          </w:tcPr>
          <w:p w14:paraId="53AC1B0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易冲科技</w:t>
            </w:r>
          </w:p>
        </w:tc>
        <w:tc>
          <w:tcPr>
            <w:tcW w:w="1249" w:type="pct"/>
            <w:vAlign w:val="center"/>
          </w:tcPr>
          <w:p w14:paraId="0C9640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芯片研发、设计与销售</w:t>
            </w:r>
          </w:p>
        </w:tc>
        <w:tc>
          <w:tcPr>
            <w:tcW w:w="715" w:type="pct"/>
            <w:vAlign w:val="center"/>
          </w:tcPr>
          <w:p w14:paraId="7B24F2E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15" w:type="pct"/>
            <w:vAlign w:val="center"/>
          </w:tcPr>
          <w:p w14:paraId="5386F47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bl>
    <w:p w14:paraId="1CBD09B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因此，本次交易选用企业价值与营业收入比率符合轻资产类型企业并购的惯例及市场案例相关应用情况。</w:t>
      </w:r>
    </w:p>
    <w:p w14:paraId="1B2A9CB5" w14:textId="1AA96E52"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上述内容已在《重组报告书》</w:t>
      </w:r>
      <w:r w:rsidRPr="00DA3766">
        <w:rPr>
          <w:rFonts w:cs="Times New Roman"/>
          <w:szCs w:val="22"/>
        </w:rPr>
        <w:t>“</w:t>
      </w:r>
      <w:r w:rsidRPr="00DA3766">
        <w:rPr>
          <w:rFonts w:ascii="Times New Roman" w:hAnsi="Times New Roman" w:cs="Times New Roman"/>
          <w:szCs w:val="22"/>
        </w:rPr>
        <w:t>第六节</w:t>
      </w:r>
      <w:r w:rsidRPr="00DA3766">
        <w:rPr>
          <w:rFonts w:ascii="Times New Roman" w:hAnsi="Times New Roman" w:cs="Times New Roman"/>
          <w:szCs w:val="22"/>
        </w:rPr>
        <w:t xml:space="preserve"> </w:t>
      </w:r>
      <w:r w:rsidRPr="00DA3766">
        <w:rPr>
          <w:rFonts w:ascii="Times New Roman" w:hAnsi="Times New Roman" w:cs="Times New Roman"/>
          <w:szCs w:val="22"/>
        </w:rPr>
        <w:t>交易标的评估情况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二、标的公司评估基本情况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（四）市场法的评估情况及分析</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、市场法模型</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00CC0A05" w:rsidRPr="00CC0A05">
        <w:rPr>
          <w:rFonts w:ascii="Times New Roman" w:hAnsi="Times New Roman" w:cs="Times New Roman" w:hint="eastAsia"/>
          <w:szCs w:val="22"/>
        </w:rPr>
        <w:t>（</w:t>
      </w:r>
      <w:r w:rsidR="00CC0A05" w:rsidRPr="00CC0A05">
        <w:rPr>
          <w:rFonts w:ascii="Times New Roman" w:hAnsi="Times New Roman" w:cs="Times New Roman" w:hint="eastAsia"/>
          <w:szCs w:val="22"/>
        </w:rPr>
        <w:t>3</w:t>
      </w:r>
      <w:r w:rsidR="00CC0A05" w:rsidRPr="00CC0A05">
        <w:rPr>
          <w:rFonts w:ascii="Times New Roman" w:hAnsi="Times New Roman" w:cs="Times New Roman" w:hint="eastAsia"/>
          <w:szCs w:val="22"/>
        </w:rPr>
        <w:t>）选择、计算、调整价值比率</w:t>
      </w:r>
      <w:r w:rsidRPr="00DA3766">
        <w:rPr>
          <w:rFonts w:cs="Times New Roman"/>
          <w:szCs w:val="22"/>
        </w:rPr>
        <w:t>”</w:t>
      </w:r>
      <w:r w:rsidRPr="00DA3766">
        <w:rPr>
          <w:rFonts w:ascii="Times New Roman" w:hAnsi="Times New Roman" w:cs="Times New Roman"/>
          <w:szCs w:val="22"/>
        </w:rPr>
        <w:t>补充披露。</w:t>
      </w:r>
    </w:p>
    <w:bookmarkEnd w:id="106"/>
    <w:p w14:paraId="4CCA7C75"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三、补充披露计算可比企业静态</w:t>
      </w:r>
      <w:r w:rsidRPr="00DA3766">
        <w:rPr>
          <w:rFonts w:ascii="Times New Roman" w:hAnsi="Times New Roman" w:cs="Times New Roman"/>
          <w:b/>
          <w:bCs/>
          <w:szCs w:val="28"/>
        </w:rPr>
        <w:t>EV/S</w:t>
      </w:r>
      <w:r w:rsidRPr="00DA3766">
        <w:rPr>
          <w:rFonts w:ascii="Times New Roman" w:hAnsi="Times New Roman" w:cs="Times New Roman"/>
          <w:b/>
          <w:bCs/>
          <w:szCs w:val="28"/>
        </w:rPr>
        <w:t>、修正价值比率、计算市场法评估值时所采用的各项指标、参数的取值时间、数据来源及具体测算过程。</w:t>
      </w:r>
    </w:p>
    <w:p w14:paraId="0F1570E5"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（一）可比企业静态</w:t>
      </w:r>
      <w:r w:rsidRPr="00DA3766">
        <w:rPr>
          <w:rFonts w:ascii="Times New Roman" w:hAnsi="Times New Roman" w:cs="Times New Roman"/>
          <w:b/>
          <w:bCs/>
          <w:szCs w:val="28"/>
        </w:rPr>
        <w:t>EV/S</w:t>
      </w:r>
      <w:r w:rsidRPr="00DA3766">
        <w:rPr>
          <w:rFonts w:ascii="Times New Roman" w:hAnsi="Times New Roman" w:cs="Times New Roman"/>
          <w:b/>
          <w:bCs/>
          <w:szCs w:val="28"/>
        </w:rPr>
        <w:t>测算过程</w:t>
      </w:r>
    </w:p>
    <w:tbl>
      <w:tblPr>
        <w:tblW w:w="55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2208"/>
        <w:gridCol w:w="1533"/>
        <w:gridCol w:w="1700"/>
        <w:gridCol w:w="1596"/>
      </w:tblGrid>
      <w:tr w:rsidR="00EB3B4C" w:rsidRPr="00DA3766" w14:paraId="5B0BD417" w14:textId="77777777" w:rsidTr="00DA3766">
        <w:trPr>
          <w:trHeight w:val="397"/>
          <w:tblHeader/>
          <w:jc w:val="center"/>
        </w:trPr>
        <w:tc>
          <w:tcPr>
            <w:tcW w:w="1300" w:type="pct"/>
            <w:vAlign w:val="center"/>
          </w:tcPr>
          <w:p w14:paraId="4498B33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161" w:type="pct"/>
            <w:vAlign w:val="center"/>
          </w:tcPr>
          <w:p w14:paraId="3121384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806" w:type="pct"/>
            <w:vAlign w:val="center"/>
          </w:tcPr>
          <w:p w14:paraId="6277CA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894" w:type="pct"/>
            <w:vAlign w:val="center"/>
          </w:tcPr>
          <w:p w14:paraId="2895671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839" w:type="pct"/>
            <w:vAlign w:val="center"/>
          </w:tcPr>
          <w:p w14:paraId="06A09F4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136B783E" w14:textId="77777777" w:rsidTr="00DA3766">
        <w:trPr>
          <w:trHeight w:val="397"/>
          <w:jc w:val="center"/>
        </w:trPr>
        <w:tc>
          <w:tcPr>
            <w:tcW w:w="1300" w:type="pct"/>
            <w:vAlign w:val="center"/>
          </w:tcPr>
          <w:p w14:paraId="6FD45A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调整前股权价值</w:t>
            </w:r>
          </w:p>
        </w:tc>
        <w:tc>
          <w:tcPr>
            <w:tcW w:w="1161" w:type="pct"/>
            <w:vAlign w:val="center"/>
          </w:tcPr>
          <w:p w14:paraId="408DEEE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A</w:t>
            </w:r>
          </w:p>
        </w:tc>
        <w:tc>
          <w:tcPr>
            <w:tcW w:w="806" w:type="pct"/>
            <w:vAlign w:val="center"/>
          </w:tcPr>
          <w:p w14:paraId="20129D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391,586.89</w:t>
            </w:r>
          </w:p>
        </w:tc>
        <w:tc>
          <w:tcPr>
            <w:tcW w:w="894" w:type="pct"/>
            <w:vAlign w:val="center"/>
          </w:tcPr>
          <w:p w14:paraId="053FC7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2,269,226.74</w:t>
            </w:r>
          </w:p>
        </w:tc>
        <w:tc>
          <w:tcPr>
            <w:tcW w:w="839" w:type="pct"/>
            <w:vAlign w:val="center"/>
          </w:tcPr>
          <w:p w14:paraId="7AC284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2,571,322.13</w:t>
            </w:r>
          </w:p>
        </w:tc>
      </w:tr>
      <w:tr w:rsidR="00EB3B4C" w:rsidRPr="00DA3766" w14:paraId="0EE8AF6E" w14:textId="77777777" w:rsidTr="00DA3766">
        <w:trPr>
          <w:trHeight w:val="397"/>
          <w:jc w:val="center"/>
        </w:trPr>
        <w:tc>
          <w:tcPr>
            <w:tcW w:w="1300" w:type="pct"/>
            <w:vAlign w:val="center"/>
          </w:tcPr>
          <w:p w14:paraId="1CF0A8E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付息债务价值</w:t>
            </w:r>
          </w:p>
        </w:tc>
        <w:tc>
          <w:tcPr>
            <w:tcW w:w="1161" w:type="pct"/>
            <w:vAlign w:val="center"/>
          </w:tcPr>
          <w:p w14:paraId="578BAF1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B</w:t>
            </w:r>
          </w:p>
        </w:tc>
        <w:tc>
          <w:tcPr>
            <w:tcW w:w="806" w:type="pct"/>
            <w:vAlign w:val="center"/>
          </w:tcPr>
          <w:p w14:paraId="24C88F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0.00</w:t>
            </w:r>
          </w:p>
        </w:tc>
        <w:tc>
          <w:tcPr>
            <w:tcW w:w="894" w:type="pct"/>
            <w:vAlign w:val="center"/>
          </w:tcPr>
          <w:p w14:paraId="3D2F1C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5,123.04</w:t>
            </w:r>
          </w:p>
        </w:tc>
        <w:tc>
          <w:tcPr>
            <w:tcW w:w="839" w:type="pct"/>
            <w:vAlign w:val="center"/>
          </w:tcPr>
          <w:p w14:paraId="536CC5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9,623.25</w:t>
            </w:r>
          </w:p>
        </w:tc>
      </w:tr>
      <w:tr w:rsidR="00EB3B4C" w:rsidRPr="00DA3766" w14:paraId="361D8D4E" w14:textId="77777777" w:rsidTr="00DA3766">
        <w:trPr>
          <w:trHeight w:val="397"/>
          <w:jc w:val="center"/>
        </w:trPr>
        <w:tc>
          <w:tcPr>
            <w:tcW w:w="1300" w:type="pct"/>
            <w:vAlign w:val="center"/>
          </w:tcPr>
          <w:p w14:paraId="0F9ED5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少数股东权益价值</w:t>
            </w:r>
          </w:p>
        </w:tc>
        <w:tc>
          <w:tcPr>
            <w:tcW w:w="1161" w:type="pct"/>
            <w:vAlign w:val="center"/>
          </w:tcPr>
          <w:p w14:paraId="5B64B40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C</w:t>
            </w:r>
          </w:p>
        </w:tc>
        <w:tc>
          <w:tcPr>
            <w:tcW w:w="806" w:type="pct"/>
            <w:vAlign w:val="center"/>
          </w:tcPr>
          <w:p w14:paraId="415B4F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307.61</w:t>
            </w:r>
          </w:p>
        </w:tc>
        <w:tc>
          <w:tcPr>
            <w:tcW w:w="894" w:type="pct"/>
            <w:vAlign w:val="center"/>
          </w:tcPr>
          <w:p w14:paraId="6704DA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12,779.38</w:t>
            </w:r>
          </w:p>
        </w:tc>
        <w:tc>
          <w:tcPr>
            <w:tcW w:w="839" w:type="pct"/>
            <w:vAlign w:val="center"/>
          </w:tcPr>
          <w:p w14:paraId="403E6E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83,976.43</w:t>
            </w:r>
          </w:p>
        </w:tc>
      </w:tr>
      <w:tr w:rsidR="00EB3B4C" w:rsidRPr="00DA3766" w14:paraId="1FF426DC" w14:textId="77777777" w:rsidTr="00DA3766">
        <w:trPr>
          <w:trHeight w:val="397"/>
          <w:jc w:val="center"/>
        </w:trPr>
        <w:tc>
          <w:tcPr>
            <w:tcW w:w="1300" w:type="pct"/>
            <w:vAlign w:val="center"/>
          </w:tcPr>
          <w:p w14:paraId="26C2ABC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缺乏流动性折扣</w:t>
            </w:r>
          </w:p>
        </w:tc>
        <w:tc>
          <w:tcPr>
            <w:tcW w:w="1161" w:type="pct"/>
            <w:vAlign w:val="center"/>
          </w:tcPr>
          <w:p w14:paraId="15458F5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D</w:t>
            </w:r>
          </w:p>
        </w:tc>
        <w:tc>
          <w:tcPr>
            <w:tcW w:w="806" w:type="pct"/>
            <w:vAlign w:val="center"/>
          </w:tcPr>
          <w:p w14:paraId="2899F65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c>
          <w:tcPr>
            <w:tcW w:w="894" w:type="pct"/>
            <w:vAlign w:val="center"/>
          </w:tcPr>
          <w:p w14:paraId="358B74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c>
          <w:tcPr>
            <w:tcW w:w="839" w:type="pct"/>
            <w:vAlign w:val="center"/>
          </w:tcPr>
          <w:p w14:paraId="41F646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r>
      <w:tr w:rsidR="00EB3B4C" w:rsidRPr="00DA3766" w14:paraId="4571DEC2" w14:textId="77777777" w:rsidTr="00DA3766">
        <w:trPr>
          <w:trHeight w:val="397"/>
          <w:jc w:val="center"/>
        </w:trPr>
        <w:tc>
          <w:tcPr>
            <w:tcW w:w="1300" w:type="pct"/>
            <w:vAlign w:val="center"/>
          </w:tcPr>
          <w:p w14:paraId="748377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调整前企业价值（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w:t>
            </w:r>
          </w:p>
        </w:tc>
        <w:tc>
          <w:tcPr>
            <w:tcW w:w="1161" w:type="pct"/>
            <w:vAlign w:val="center"/>
          </w:tcPr>
          <w:p w14:paraId="728A5316" w14:textId="1179F88F"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E=A*</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1-D</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+B+C</w:t>
            </w:r>
          </w:p>
        </w:tc>
        <w:tc>
          <w:tcPr>
            <w:tcW w:w="806" w:type="pct"/>
            <w:vAlign w:val="center"/>
          </w:tcPr>
          <w:p w14:paraId="3FA26A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260,658.46</w:t>
            </w:r>
          </w:p>
        </w:tc>
        <w:tc>
          <w:tcPr>
            <w:tcW w:w="894" w:type="pct"/>
            <w:vAlign w:val="center"/>
          </w:tcPr>
          <w:p w14:paraId="54E82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1,526,622.80</w:t>
            </w:r>
          </w:p>
        </w:tc>
        <w:tc>
          <w:tcPr>
            <w:tcW w:w="839" w:type="pct"/>
            <w:vAlign w:val="center"/>
          </w:tcPr>
          <w:p w14:paraId="68EF75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1,803,171.50</w:t>
            </w:r>
          </w:p>
        </w:tc>
      </w:tr>
      <w:tr w:rsidR="00EB3B4C" w:rsidRPr="00DA3766" w14:paraId="743C93F6" w14:textId="77777777" w:rsidTr="00DA3766">
        <w:trPr>
          <w:trHeight w:val="397"/>
          <w:jc w:val="center"/>
        </w:trPr>
        <w:tc>
          <w:tcPr>
            <w:tcW w:w="1300" w:type="pct"/>
            <w:vAlign w:val="center"/>
          </w:tcPr>
          <w:p w14:paraId="3C7B8F6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非经营性资产、负债及溢余资产价值</w:t>
            </w:r>
          </w:p>
        </w:tc>
        <w:tc>
          <w:tcPr>
            <w:tcW w:w="1161" w:type="pct"/>
            <w:vAlign w:val="center"/>
          </w:tcPr>
          <w:p w14:paraId="6B38E42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F</w:t>
            </w:r>
          </w:p>
        </w:tc>
        <w:tc>
          <w:tcPr>
            <w:tcW w:w="806" w:type="pct"/>
            <w:vAlign w:val="center"/>
          </w:tcPr>
          <w:p w14:paraId="009519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5,444.01</w:t>
            </w:r>
          </w:p>
        </w:tc>
        <w:tc>
          <w:tcPr>
            <w:tcW w:w="894" w:type="pct"/>
            <w:vAlign w:val="center"/>
          </w:tcPr>
          <w:p w14:paraId="730927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149,142.27</w:t>
            </w:r>
          </w:p>
        </w:tc>
        <w:tc>
          <w:tcPr>
            <w:tcW w:w="839" w:type="pct"/>
            <w:vAlign w:val="center"/>
          </w:tcPr>
          <w:p w14:paraId="413A4A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31,605.72</w:t>
            </w:r>
          </w:p>
        </w:tc>
      </w:tr>
      <w:tr w:rsidR="00EB3B4C" w:rsidRPr="00DA3766" w14:paraId="5515DACE" w14:textId="77777777" w:rsidTr="00DA3766">
        <w:trPr>
          <w:trHeight w:val="397"/>
          <w:jc w:val="center"/>
        </w:trPr>
        <w:tc>
          <w:tcPr>
            <w:tcW w:w="1300" w:type="pct"/>
            <w:vAlign w:val="center"/>
          </w:tcPr>
          <w:p w14:paraId="530528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调整后企业价值（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w:t>
            </w:r>
          </w:p>
        </w:tc>
        <w:tc>
          <w:tcPr>
            <w:tcW w:w="1161" w:type="pct"/>
            <w:vAlign w:val="center"/>
          </w:tcPr>
          <w:p w14:paraId="07F437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G=E-F</w:t>
            </w:r>
          </w:p>
        </w:tc>
        <w:tc>
          <w:tcPr>
            <w:tcW w:w="806" w:type="pct"/>
            <w:vAlign w:val="center"/>
          </w:tcPr>
          <w:p w14:paraId="3EF2A4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255,214.46</w:t>
            </w:r>
          </w:p>
        </w:tc>
        <w:tc>
          <w:tcPr>
            <w:tcW w:w="894" w:type="pct"/>
            <w:vAlign w:val="center"/>
          </w:tcPr>
          <w:p w14:paraId="7D8B9A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1,377,480.53</w:t>
            </w:r>
          </w:p>
        </w:tc>
        <w:tc>
          <w:tcPr>
            <w:tcW w:w="839" w:type="pct"/>
            <w:vAlign w:val="center"/>
          </w:tcPr>
          <w:p w14:paraId="6FB6DB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1,771,565.78</w:t>
            </w:r>
          </w:p>
        </w:tc>
      </w:tr>
      <w:tr w:rsidR="00EB3B4C" w:rsidRPr="00DA3766" w14:paraId="3087AC08" w14:textId="77777777" w:rsidTr="00DA3766">
        <w:trPr>
          <w:trHeight w:val="397"/>
          <w:jc w:val="center"/>
        </w:trPr>
        <w:tc>
          <w:tcPr>
            <w:tcW w:w="1300" w:type="pct"/>
            <w:vAlign w:val="center"/>
          </w:tcPr>
          <w:p w14:paraId="4277E6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货币资金</w:t>
            </w:r>
          </w:p>
        </w:tc>
        <w:tc>
          <w:tcPr>
            <w:tcW w:w="1161" w:type="pct"/>
            <w:vAlign w:val="center"/>
          </w:tcPr>
          <w:p w14:paraId="0CDD47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H</w:t>
            </w:r>
          </w:p>
        </w:tc>
        <w:tc>
          <w:tcPr>
            <w:tcW w:w="806" w:type="pct"/>
            <w:vAlign w:val="center"/>
          </w:tcPr>
          <w:p w14:paraId="20030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82,419.17</w:t>
            </w:r>
          </w:p>
        </w:tc>
        <w:tc>
          <w:tcPr>
            <w:tcW w:w="894" w:type="pct"/>
            <w:vAlign w:val="center"/>
          </w:tcPr>
          <w:p w14:paraId="2EF2AE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244,843.37</w:t>
            </w:r>
          </w:p>
        </w:tc>
        <w:tc>
          <w:tcPr>
            <w:tcW w:w="839" w:type="pct"/>
            <w:vAlign w:val="center"/>
          </w:tcPr>
          <w:p w14:paraId="2F1AC1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402,452.88</w:t>
            </w:r>
          </w:p>
        </w:tc>
      </w:tr>
      <w:tr w:rsidR="00EB3B4C" w:rsidRPr="00DA3766" w14:paraId="3FDE0099" w14:textId="77777777" w:rsidTr="00DA3766">
        <w:trPr>
          <w:trHeight w:val="397"/>
          <w:jc w:val="center"/>
        </w:trPr>
        <w:tc>
          <w:tcPr>
            <w:tcW w:w="1300" w:type="pct"/>
            <w:vAlign w:val="center"/>
          </w:tcPr>
          <w:p w14:paraId="5FDF7B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调整后企业价值（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）（不含货币资金）</w:t>
            </w:r>
          </w:p>
        </w:tc>
        <w:tc>
          <w:tcPr>
            <w:tcW w:w="1161" w:type="pct"/>
            <w:vAlign w:val="center"/>
          </w:tcPr>
          <w:p w14:paraId="1B82B0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I=G-H</w:t>
            </w:r>
          </w:p>
        </w:tc>
        <w:tc>
          <w:tcPr>
            <w:tcW w:w="806" w:type="pct"/>
            <w:vAlign w:val="center"/>
          </w:tcPr>
          <w:p w14:paraId="7FBDA5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172,795.29</w:t>
            </w:r>
          </w:p>
        </w:tc>
        <w:tc>
          <w:tcPr>
            <w:tcW w:w="894" w:type="pct"/>
            <w:vAlign w:val="center"/>
          </w:tcPr>
          <w:p w14:paraId="298C1A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1,132,637.16</w:t>
            </w:r>
          </w:p>
        </w:tc>
        <w:tc>
          <w:tcPr>
            <w:tcW w:w="839" w:type="pct"/>
            <w:vAlign w:val="center"/>
          </w:tcPr>
          <w:p w14:paraId="7EDEAE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1,369,112.90</w:t>
            </w:r>
          </w:p>
        </w:tc>
      </w:tr>
      <w:tr w:rsidR="00EB3B4C" w:rsidRPr="00DA3766" w14:paraId="499863DF" w14:textId="77777777" w:rsidTr="00DA3766">
        <w:trPr>
          <w:trHeight w:val="397"/>
          <w:jc w:val="center"/>
        </w:trPr>
        <w:tc>
          <w:tcPr>
            <w:tcW w:w="1300" w:type="pct"/>
            <w:vAlign w:val="center"/>
          </w:tcPr>
          <w:p w14:paraId="42C9CAB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r w:rsidRPr="00DA3766">
              <w:rPr>
                <w:rFonts w:ascii="Times New Roman" w:hAnsi="Times New Roman" w:cs="Times New Roman"/>
                <w:color w:val="000000"/>
                <w:sz w:val="21"/>
              </w:rPr>
              <w:t>S</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r w:rsidRPr="00DA3766">
              <w:rPr>
                <w:rFonts w:ascii="Times New Roman" w:hAnsi="Times New Roman" w:cs="Times New Roman"/>
                <w:color w:val="000000"/>
                <w:sz w:val="21"/>
              </w:rPr>
              <w:t>静态</w:t>
            </w:r>
            <w:r w:rsidRPr="00DA3766">
              <w:rPr>
                <w:rFonts w:ascii="Times New Roman" w:hAnsi="Times New Roman" w:cs="Times New Roman"/>
                <w:color w:val="000000"/>
                <w:sz w:val="21"/>
              </w:rPr>
              <w:t>2024</w:t>
            </w:r>
          </w:p>
        </w:tc>
        <w:tc>
          <w:tcPr>
            <w:tcW w:w="1161" w:type="pct"/>
            <w:vAlign w:val="center"/>
          </w:tcPr>
          <w:p w14:paraId="5272C6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J</w:t>
            </w:r>
          </w:p>
        </w:tc>
        <w:tc>
          <w:tcPr>
            <w:tcW w:w="806" w:type="pct"/>
            <w:vAlign w:val="center"/>
          </w:tcPr>
          <w:p w14:paraId="182B0FD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61,173.62</w:t>
            </w:r>
          </w:p>
        </w:tc>
        <w:tc>
          <w:tcPr>
            <w:tcW w:w="894" w:type="pct"/>
            <w:vAlign w:val="center"/>
          </w:tcPr>
          <w:p w14:paraId="470C49A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620,287.40</w:t>
            </w:r>
          </w:p>
        </w:tc>
        <w:tc>
          <w:tcPr>
            <w:tcW w:w="839" w:type="pct"/>
            <w:vAlign w:val="center"/>
          </w:tcPr>
          <w:p w14:paraId="3D7196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293,386.16</w:t>
            </w:r>
          </w:p>
        </w:tc>
      </w:tr>
      <w:tr w:rsidR="00EB3B4C" w:rsidRPr="00DA3766" w14:paraId="2E9A5C38" w14:textId="77777777" w:rsidTr="00DA3766">
        <w:trPr>
          <w:trHeight w:val="397"/>
          <w:jc w:val="center"/>
        </w:trPr>
        <w:tc>
          <w:tcPr>
            <w:tcW w:w="1300" w:type="pct"/>
            <w:vAlign w:val="center"/>
          </w:tcPr>
          <w:p w14:paraId="763C48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静态</w:t>
            </w:r>
            <w:r w:rsidRPr="00DA3766">
              <w:rPr>
                <w:rFonts w:ascii="Times New Roman" w:hAnsi="Times New Roman" w:cs="Times New Roman"/>
                <w:color w:val="000000"/>
                <w:sz w:val="21"/>
              </w:rPr>
              <w:t>EV/S</w:t>
            </w:r>
          </w:p>
        </w:tc>
        <w:tc>
          <w:tcPr>
            <w:tcW w:w="1161" w:type="pct"/>
            <w:vAlign w:val="center"/>
          </w:tcPr>
          <w:p w14:paraId="01B995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K</w:t>
            </w:r>
            <w:r w:rsidRPr="00DA3766">
              <w:rPr>
                <w:rFonts w:ascii="Times New Roman" w:hAnsi="Times New Roman" w:cs="Times New Roman"/>
                <w:color w:val="000000"/>
                <w:sz w:val="21"/>
              </w:rPr>
              <w:t>＝</w:t>
            </w:r>
            <w:r w:rsidRPr="00DA3766">
              <w:rPr>
                <w:rFonts w:ascii="Times New Roman" w:hAnsi="Times New Roman" w:cs="Times New Roman"/>
                <w:color w:val="000000"/>
                <w:sz w:val="21"/>
              </w:rPr>
              <w:t>I÷J</w:t>
            </w:r>
          </w:p>
        </w:tc>
        <w:tc>
          <w:tcPr>
            <w:tcW w:w="806" w:type="pct"/>
            <w:vAlign w:val="center"/>
          </w:tcPr>
          <w:p w14:paraId="47B7CE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2.82</w:t>
            </w:r>
          </w:p>
        </w:tc>
        <w:tc>
          <w:tcPr>
            <w:tcW w:w="894" w:type="pct"/>
            <w:vAlign w:val="center"/>
          </w:tcPr>
          <w:p w14:paraId="7177F9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1.83</w:t>
            </w:r>
          </w:p>
        </w:tc>
        <w:tc>
          <w:tcPr>
            <w:tcW w:w="839" w:type="pct"/>
            <w:vAlign w:val="center"/>
          </w:tcPr>
          <w:p w14:paraId="22A4FD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4.67</w:t>
            </w:r>
          </w:p>
        </w:tc>
      </w:tr>
    </w:tbl>
    <w:p w14:paraId="72D09739"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（二）采用的各项指标、参数的取值时间、数据来源及具体测算过程</w:t>
      </w:r>
    </w:p>
    <w:p w14:paraId="47465F77"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、调整前股权价值</w:t>
      </w:r>
    </w:p>
    <w:p w14:paraId="71C9388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调整前的股权价值＝基准日总股本</w:t>
      </w:r>
      <w:r w:rsidRPr="00DA3766">
        <w:rPr>
          <w:rFonts w:ascii="Times New Roman" w:hAnsi="Times New Roman" w:cs="Times New Roman"/>
          <w:szCs w:val="22"/>
        </w:rPr>
        <w:t>×</w:t>
      </w:r>
      <w:r w:rsidRPr="00DA3766">
        <w:rPr>
          <w:rFonts w:ascii="Times New Roman" w:hAnsi="Times New Roman" w:cs="Times New Roman"/>
          <w:szCs w:val="22"/>
        </w:rPr>
        <w:t>控制权比例</w:t>
      </w:r>
      <w:r w:rsidRPr="00DA3766">
        <w:rPr>
          <w:rFonts w:ascii="Times New Roman" w:hAnsi="Times New Roman" w:cs="Times New Roman"/>
          <w:szCs w:val="22"/>
        </w:rPr>
        <w:t>×</w:t>
      </w:r>
      <w:r w:rsidRPr="00DA3766">
        <w:rPr>
          <w:rFonts w:ascii="Times New Roman" w:hAnsi="Times New Roman" w:cs="Times New Roman"/>
          <w:szCs w:val="22"/>
        </w:rPr>
        <w:t>基准日收盘价</w:t>
      </w:r>
      <w:r w:rsidRPr="00DA3766">
        <w:rPr>
          <w:rFonts w:ascii="Times New Roman" w:hAnsi="Times New Roman"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＋控制权比例）</w:t>
      </w:r>
      <w:r w:rsidRPr="00DA3766">
        <w:rPr>
          <w:rFonts w:ascii="Times New Roman" w:hAnsi="Times New Roman" w:cs="Times New Roman"/>
          <w:szCs w:val="22"/>
        </w:rPr>
        <w:t>×</w:t>
      </w:r>
      <w:r w:rsidRPr="00DA3766">
        <w:rPr>
          <w:rFonts w:ascii="Times New Roman" w:hAnsi="Times New Roman" w:cs="Times New Roman"/>
          <w:szCs w:val="22"/>
        </w:rPr>
        <w:t>控制权溢价＋基准日总股本</w:t>
      </w:r>
      <w:r w:rsidRPr="00DA3766">
        <w:rPr>
          <w:rFonts w:ascii="Times New Roman" w:hAnsi="Times New Roman" w:cs="Times New Roman"/>
          <w:szCs w:val="22"/>
        </w:rPr>
        <w:t>×</w:t>
      </w:r>
      <w:r w:rsidRPr="00DA3766">
        <w:rPr>
          <w:rFonts w:ascii="Times New Roman" w:hAnsi="Times New Roman" w:cs="Times New Roman"/>
          <w:szCs w:val="22"/>
        </w:rPr>
        <w:t>基准日收盘价</w:t>
      </w:r>
      <w:r w:rsidRPr="00DA3766">
        <w:rPr>
          <w:rFonts w:ascii="Times New Roman" w:hAnsi="Times New Roman"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－控制权比例）</w:t>
      </w:r>
    </w:p>
    <w:p w14:paraId="4F89E317" w14:textId="6751F5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上市公司的股价系基于其公开市场正常交易形成的价格，该价格代表少数股权的交易价格，由于本次的评估对象是股东全部权益价值，因此需将上市公司股价还原为全口径股权价值，调整控制权因素对可比公司全口径</w:t>
      </w:r>
      <w:r w:rsidR="00F73023">
        <w:rPr>
          <w:rFonts w:ascii="Times New Roman" w:hAnsi="Times New Roman" w:cs="Times New Roman" w:hint="eastAsia"/>
          <w:szCs w:val="22"/>
        </w:rPr>
        <w:t>股权</w:t>
      </w:r>
      <w:r w:rsidRPr="00DA3766">
        <w:rPr>
          <w:rFonts w:ascii="Times New Roman" w:hAnsi="Times New Roman" w:cs="Times New Roman"/>
          <w:szCs w:val="22"/>
        </w:rPr>
        <w:t>价值的影响。</w:t>
      </w:r>
    </w:p>
    <w:p w14:paraId="77D9B99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本次可比企业基准日总股本、基准日收盘价信息如下表所示：</w:t>
      </w:r>
    </w:p>
    <w:p w14:paraId="76B23763" w14:textId="77777777" w:rsidR="00EB3B4C" w:rsidRPr="00DA3766" w:rsidRDefault="00EB3B4C" w:rsidP="00EB3B4C">
      <w:pPr>
        <w:spacing w:before="120" w:after="120"/>
        <w:ind w:firstLineChars="0" w:firstLine="480"/>
        <w:jc w:val="both"/>
        <w:rPr>
          <w:rFonts w:ascii="Times New Roman" w:hAnsi="Times New Roman" w:cs="Times New Roman"/>
          <w:b/>
          <w:bCs/>
        </w:rPr>
      </w:pPr>
      <w:r w:rsidRPr="00DA3766">
        <w:rPr>
          <w:rFonts w:ascii="Times New Roman" w:hAnsi="Times New Roman" w:cs="Times New Roman"/>
          <w:b/>
          <w:bCs/>
          <w:szCs w:val="22"/>
        </w:rPr>
        <w:t>（</w:t>
      </w:r>
      <w:r w:rsidRPr="00DA3766">
        <w:rPr>
          <w:rFonts w:ascii="Times New Roman" w:hAnsi="Times New Roman" w:cs="Times New Roman"/>
          <w:b/>
          <w:bCs/>
          <w:szCs w:val="22"/>
        </w:rPr>
        <w:t>1</w:t>
      </w:r>
      <w:r w:rsidRPr="00DA3766">
        <w:rPr>
          <w:rFonts w:ascii="Times New Roman" w:hAnsi="Times New Roman" w:cs="Times New Roman"/>
          <w:b/>
          <w:bCs/>
          <w:szCs w:val="22"/>
        </w:rPr>
        <w:t>）基准日总股本、基准日收盘价</w:t>
      </w:r>
    </w:p>
    <w:p w14:paraId="2E03C747"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szCs w:val="22"/>
        </w:rPr>
        <w:t>本次可比企业基准日总股本、基准日收盘价信息如下表所示：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1587"/>
        <w:gridCol w:w="1586"/>
        <w:gridCol w:w="1586"/>
        <w:gridCol w:w="1588"/>
      </w:tblGrid>
      <w:tr w:rsidR="00EB3B4C" w:rsidRPr="00DA3766" w14:paraId="052F93F8" w14:textId="77777777" w:rsidTr="001076ED">
        <w:trPr>
          <w:trHeight w:val="397"/>
          <w:tblHeader/>
          <w:jc w:val="center"/>
        </w:trPr>
        <w:tc>
          <w:tcPr>
            <w:tcW w:w="1278" w:type="pct"/>
            <w:vAlign w:val="center"/>
          </w:tcPr>
          <w:p w14:paraId="6200C17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30" w:type="pct"/>
            <w:vAlign w:val="center"/>
          </w:tcPr>
          <w:p w14:paraId="5209CC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截止日期</w:t>
            </w:r>
          </w:p>
        </w:tc>
        <w:tc>
          <w:tcPr>
            <w:tcW w:w="930" w:type="pct"/>
            <w:vAlign w:val="center"/>
          </w:tcPr>
          <w:p w14:paraId="5D07F8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30" w:type="pct"/>
            <w:vAlign w:val="center"/>
          </w:tcPr>
          <w:p w14:paraId="15D7A34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31" w:type="pct"/>
            <w:vAlign w:val="center"/>
          </w:tcPr>
          <w:p w14:paraId="0CA085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584FA0C" w14:textId="77777777" w:rsidTr="001076ED">
        <w:trPr>
          <w:trHeight w:val="397"/>
          <w:jc w:val="center"/>
        </w:trPr>
        <w:tc>
          <w:tcPr>
            <w:tcW w:w="1278" w:type="pct"/>
            <w:vAlign w:val="center"/>
          </w:tcPr>
          <w:p w14:paraId="0D4C31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总股本（万股）</w:t>
            </w:r>
          </w:p>
        </w:tc>
        <w:tc>
          <w:tcPr>
            <w:tcW w:w="930" w:type="pct"/>
            <w:vAlign w:val="center"/>
          </w:tcPr>
          <w:p w14:paraId="3F09C8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754D75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7,385.1842</w:t>
            </w:r>
          </w:p>
        </w:tc>
        <w:tc>
          <w:tcPr>
            <w:tcW w:w="930" w:type="pct"/>
            <w:vAlign w:val="center"/>
          </w:tcPr>
          <w:p w14:paraId="37A9CE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165,194.4342</w:t>
            </w:r>
          </w:p>
        </w:tc>
        <w:tc>
          <w:tcPr>
            <w:tcW w:w="931" w:type="pct"/>
            <w:vAlign w:val="center"/>
          </w:tcPr>
          <w:p w14:paraId="0855FA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272,919.3841</w:t>
            </w:r>
          </w:p>
        </w:tc>
      </w:tr>
      <w:tr w:rsidR="00EB3B4C" w:rsidRPr="00DA3766" w14:paraId="28A55872" w14:textId="77777777" w:rsidTr="001076ED">
        <w:trPr>
          <w:trHeight w:val="397"/>
          <w:jc w:val="center"/>
        </w:trPr>
        <w:tc>
          <w:tcPr>
            <w:tcW w:w="1278" w:type="pct"/>
            <w:vAlign w:val="center"/>
          </w:tcPr>
          <w:p w14:paraId="397986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收盘价（元</w:t>
            </w:r>
            <w:r w:rsidRPr="00DA3766">
              <w:rPr>
                <w:rFonts w:ascii="Times New Roman" w:hAnsi="Times New Roman" w:cs="Times New Roman"/>
                <w:color w:val="000000"/>
                <w:sz w:val="21"/>
              </w:rPr>
              <w:t>/</w:t>
            </w:r>
            <w:r w:rsidRPr="00DA3766">
              <w:rPr>
                <w:rFonts w:ascii="Times New Roman" w:hAnsi="Times New Roman" w:cs="Times New Roman"/>
                <w:color w:val="000000"/>
                <w:sz w:val="21"/>
              </w:rPr>
              <w:t>股）</w:t>
            </w:r>
          </w:p>
        </w:tc>
        <w:tc>
          <w:tcPr>
            <w:tcW w:w="930" w:type="pct"/>
            <w:vAlign w:val="center"/>
          </w:tcPr>
          <w:p w14:paraId="062735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29412B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50.89</w:t>
            </w:r>
          </w:p>
        </w:tc>
        <w:tc>
          <w:tcPr>
            <w:tcW w:w="930" w:type="pct"/>
            <w:vAlign w:val="center"/>
          </w:tcPr>
          <w:p w14:paraId="4420F3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13.41</w:t>
            </w:r>
          </w:p>
        </w:tc>
        <w:tc>
          <w:tcPr>
            <w:tcW w:w="931" w:type="pct"/>
            <w:vAlign w:val="center"/>
          </w:tcPr>
          <w:p w14:paraId="3F1BCD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8.66</w:t>
            </w:r>
          </w:p>
        </w:tc>
      </w:tr>
    </w:tbl>
    <w:p w14:paraId="6A3ED292"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iFind</w:t>
      </w:r>
    </w:p>
    <w:p w14:paraId="07211DFC"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2</w:t>
      </w:r>
      <w:r w:rsidRPr="00DA3766">
        <w:rPr>
          <w:rFonts w:ascii="Times New Roman" w:hAnsi="Times New Roman" w:cs="Times New Roman"/>
          <w:b/>
          <w:bCs/>
          <w:szCs w:val="22"/>
        </w:rPr>
        <w:t>）控制权比例</w:t>
      </w:r>
    </w:p>
    <w:p w14:paraId="1C87F21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可比企业实际控制人及其一致行动人截至评估基准日的合计持股比例如下：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1"/>
        <w:gridCol w:w="1587"/>
        <w:gridCol w:w="1586"/>
        <w:gridCol w:w="1586"/>
        <w:gridCol w:w="1588"/>
      </w:tblGrid>
      <w:tr w:rsidR="00EB3B4C" w:rsidRPr="00DA3766" w14:paraId="532A4C1A" w14:textId="77777777" w:rsidTr="001076ED">
        <w:trPr>
          <w:trHeight w:val="397"/>
          <w:tblHeader/>
          <w:jc w:val="center"/>
        </w:trPr>
        <w:tc>
          <w:tcPr>
            <w:tcW w:w="1278" w:type="pct"/>
            <w:vAlign w:val="center"/>
          </w:tcPr>
          <w:p w14:paraId="265F0FE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30" w:type="pct"/>
            <w:vAlign w:val="center"/>
          </w:tcPr>
          <w:p w14:paraId="27F20FE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截止日期</w:t>
            </w:r>
          </w:p>
        </w:tc>
        <w:tc>
          <w:tcPr>
            <w:tcW w:w="930" w:type="pct"/>
            <w:vAlign w:val="center"/>
          </w:tcPr>
          <w:p w14:paraId="0C59A6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30" w:type="pct"/>
            <w:vAlign w:val="center"/>
          </w:tcPr>
          <w:p w14:paraId="664242F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31" w:type="pct"/>
            <w:vAlign w:val="center"/>
          </w:tcPr>
          <w:p w14:paraId="170FC5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55F2D9A" w14:textId="77777777" w:rsidTr="001076ED">
        <w:trPr>
          <w:trHeight w:val="397"/>
          <w:jc w:val="center"/>
        </w:trPr>
        <w:tc>
          <w:tcPr>
            <w:tcW w:w="1278" w:type="pct"/>
            <w:vAlign w:val="center"/>
          </w:tcPr>
          <w:p w14:paraId="18B664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实际控制人及其一致行动人持股比例</w:t>
            </w:r>
          </w:p>
        </w:tc>
        <w:tc>
          <w:tcPr>
            <w:tcW w:w="930" w:type="pct"/>
            <w:vAlign w:val="center"/>
          </w:tcPr>
          <w:p w14:paraId="282EE1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29995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27.72%</w:t>
            </w:r>
          </w:p>
        </w:tc>
        <w:tc>
          <w:tcPr>
            <w:tcW w:w="930" w:type="pct"/>
            <w:vAlign w:val="center"/>
          </w:tcPr>
          <w:p w14:paraId="7AB254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16.11%</w:t>
            </w:r>
          </w:p>
        </w:tc>
        <w:tc>
          <w:tcPr>
            <w:tcW w:w="931" w:type="pct"/>
            <w:vAlign w:val="center"/>
          </w:tcPr>
          <w:p w14:paraId="265351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58.15%</w:t>
            </w:r>
          </w:p>
        </w:tc>
      </w:tr>
    </w:tbl>
    <w:p w14:paraId="0F655480"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iFind</w:t>
      </w:r>
    </w:p>
    <w:p w14:paraId="3D676706"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3</w:t>
      </w:r>
      <w:r w:rsidRPr="00DA3766">
        <w:rPr>
          <w:rFonts w:ascii="Times New Roman" w:hAnsi="Times New Roman" w:cs="Times New Roman"/>
          <w:b/>
          <w:bCs/>
          <w:szCs w:val="22"/>
        </w:rPr>
        <w:t>）控制权溢价</w:t>
      </w:r>
    </w:p>
    <w:p w14:paraId="42E837AF"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控制权溢价系利用</w:t>
      </w:r>
      <w:r w:rsidRPr="00DA3766">
        <w:rPr>
          <w:rFonts w:ascii="Times New Roman" w:hAnsi="Times New Roman" w:cs="Times New Roman"/>
          <w:szCs w:val="22"/>
        </w:rPr>
        <w:t>Wind</w:t>
      </w:r>
      <w:r w:rsidRPr="00DA3766">
        <w:rPr>
          <w:rFonts w:ascii="Times New Roman" w:hAnsi="Times New Roman" w:cs="Times New Roman"/>
          <w:szCs w:val="22"/>
        </w:rPr>
        <w:t>资讯、</w:t>
      </w:r>
      <w:r w:rsidRPr="00DA3766">
        <w:rPr>
          <w:rFonts w:ascii="Times New Roman" w:hAnsi="Times New Roman" w:cs="Times New Roman"/>
          <w:szCs w:val="22"/>
        </w:rPr>
        <w:t>CVSource</w:t>
      </w:r>
      <w:r w:rsidRPr="00DA3766">
        <w:rPr>
          <w:rFonts w:ascii="Times New Roman" w:hAnsi="Times New Roman" w:cs="Times New Roman"/>
          <w:szCs w:val="22"/>
        </w:rPr>
        <w:t>数据库和产权交易所网站发布的数据，分析对比少数股权交易并购案例市盈率和控股权交易并购案例市盈率，本次评估选取的控制权溢价为</w:t>
      </w:r>
      <w:r w:rsidRPr="00DA3766">
        <w:rPr>
          <w:rFonts w:ascii="Times New Roman" w:hAnsi="Times New Roman" w:cs="Times New Roman"/>
          <w:szCs w:val="22"/>
        </w:rPr>
        <w:t>15.12%</w:t>
      </w:r>
      <w:r w:rsidRPr="00DA3766">
        <w:rPr>
          <w:rFonts w:ascii="Times New Roman" w:hAnsi="Times New Roman" w:cs="Times New Roman"/>
          <w:szCs w:val="22"/>
        </w:rPr>
        <w:t>，具体计算方式如下：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28"/>
        <w:gridCol w:w="1520"/>
        <w:gridCol w:w="872"/>
        <w:gridCol w:w="1520"/>
        <w:gridCol w:w="872"/>
        <w:gridCol w:w="1516"/>
      </w:tblGrid>
      <w:tr w:rsidR="00EB3B4C" w:rsidRPr="00DA3766" w14:paraId="1BCB9FD3" w14:textId="77777777" w:rsidTr="00DA3766">
        <w:trPr>
          <w:trHeight w:val="397"/>
          <w:tblHeader/>
          <w:jc w:val="center"/>
        </w:trPr>
        <w:tc>
          <w:tcPr>
            <w:tcW w:w="1307" w:type="pct"/>
            <w:vMerge w:val="restart"/>
            <w:vAlign w:val="center"/>
            <w:hideMark/>
          </w:tcPr>
          <w:p w14:paraId="61ACFAA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项目</w:t>
            </w:r>
          </w:p>
        </w:tc>
        <w:tc>
          <w:tcPr>
            <w:tcW w:w="1401" w:type="pct"/>
            <w:gridSpan w:val="2"/>
            <w:vAlign w:val="center"/>
            <w:hideMark/>
          </w:tcPr>
          <w:p w14:paraId="4417EC5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少数股权交易</w:t>
            </w:r>
          </w:p>
        </w:tc>
        <w:tc>
          <w:tcPr>
            <w:tcW w:w="1401" w:type="pct"/>
            <w:gridSpan w:val="2"/>
            <w:vAlign w:val="center"/>
            <w:hideMark/>
          </w:tcPr>
          <w:p w14:paraId="64D1EC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控股权交易</w:t>
            </w:r>
          </w:p>
        </w:tc>
        <w:tc>
          <w:tcPr>
            <w:tcW w:w="890" w:type="pct"/>
            <w:vMerge w:val="restart"/>
            <w:vAlign w:val="center"/>
            <w:hideMark/>
          </w:tcPr>
          <w:p w14:paraId="647C9E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控股权溢价率</w:t>
            </w:r>
          </w:p>
        </w:tc>
      </w:tr>
      <w:tr w:rsidR="00EB3B4C" w:rsidRPr="00DA3766" w14:paraId="28802248" w14:textId="77777777" w:rsidTr="00DA3766">
        <w:trPr>
          <w:trHeight w:val="397"/>
          <w:tblHeader/>
          <w:jc w:val="center"/>
        </w:trPr>
        <w:tc>
          <w:tcPr>
            <w:tcW w:w="1307" w:type="pct"/>
            <w:vMerge/>
            <w:vAlign w:val="center"/>
            <w:hideMark/>
          </w:tcPr>
          <w:p w14:paraId="6DBF25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1" w:type="pct"/>
            <w:vAlign w:val="center"/>
            <w:hideMark/>
          </w:tcPr>
          <w:p w14:paraId="591B67D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并购案例数量</w:t>
            </w:r>
          </w:p>
        </w:tc>
        <w:tc>
          <w:tcPr>
            <w:tcW w:w="511" w:type="pct"/>
            <w:vAlign w:val="center"/>
            <w:hideMark/>
          </w:tcPr>
          <w:p w14:paraId="0B6ABE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市盈率</w:t>
            </w:r>
          </w:p>
        </w:tc>
        <w:tc>
          <w:tcPr>
            <w:tcW w:w="891" w:type="pct"/>
            <w:vAlign w:val="center"/>
            <w:hideMark/>
          </w:tcPr>
          <w:p w14:paraId="191A2A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并购案例数量</w:t>
            </w:r>
          </w:p>
        </w:tc>
        <w:tc>
          <w:tcPr>
            <w:tcW w:w="511" w:type="pct"/>
            <w:vAlign w:val="center"/>
            <w:hideMark/>
          </w:tcPr>
          <w:p w14:paraId="1BD6DAD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市盈率</w:t>
            </w:r>
          </w:p>
        </w:tc>
        <w:tc>
          <w:tcPr>
            <w:tcW w:w="890" w:type="pct"/>
            <w:vMerge/>
            <w:vAlign w:val="center"/>
            <w:hideMark/>
          </w:tcPr>
          <w:p w14:paraId="1C9558E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r>
      <w:tr w:rsidR="00EB3B4C" w:rsidRPr="00DA3766" w14:paraId="14A5C3E9" w14:textId="77777777" w:rsidTr="00DA3766">
        <w:trPr>
          <w:trHeight w:val="397"/>
          <w:jc w:val="center"/>
        </w:trPr>
        <w:tc>
          <w:tcPr>
            <w:tcW w:w="1307" w:type="pct"/>
            <w:vAlign w:val="center"/>
          </w:tcPr>
          <w:p w14:paraId="56AFFCD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b/>
                <w:bCs/>
                <w:color w:val="000000"/>
                <w:sz w:val="21"/>
              </w:rPr>
              <w:t>平均值</w:t>
            </w:r>
          </w:p>
        </w:tc>
        <w:tc>
          <w:tcPr>
            <w:tcW w:w="891" w:type="pct"/>
            <w:vAlign w:val="center"/>
            <w:hideMark/>
          </w:tcPr>
          <w:p w14:paraId="3884D3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8,808</w:t>
            </w:r>
          </w:p>
        </w:tc>
        <w:tc>
          <w:tcPr>
            <w:tcW w:w="511" w:type="pct"/>
            <w:vAlign w:val="center"/>
            <w:hideMark/>
          </w:tcPr>
          <w:p w14:paraId="5AA908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18.74</w:t>
            </w:r>
          </w:p>
        </w:tc>
        <w:tc>
          <w:tcPr>
            <w:tcW w:w="891" w:type="pct"/>
            <w:vAlign w:val="center"/>
            <w:hideMark/>
          </w:tcPr>
          <w:p w14:paraId="21C0B6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6,655</w:t>
            </w:r>
          </w:p>
        </w:tc>
        <w:tc>
          <w:tcPr>
            <w:tcW w:w="511" w:type="pct"/>
            <w:vAlign w:val="center"/>
            <w:hideMark/>
          </w:tcPr>
          <w:p w14:paraId="7927A65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21.58</w:t>
            </w:r>
          </w:p>
        </w:tc>
        <w:tc>
          <w:tcPr>
            <w:tcW w:w="890" w:type="pct"/>
            <w:vAlign w:val="center"/>
            <w:hideMark/>
          </w:tcPr>
          <w:p w14:paraId="012572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15.12%</w:t>
            </w:r>
          </w:p>
        </w:tc>
      </w:tr>
    </w:tbl>
    <w:p w14:paraId="3659725A"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Wind</w:t>
      </w:r>
      <w:r w:rsidRPr="00DA3766">
        <w:rPr>
          <w:rFonts w:ascii="Times New Roman" w:hAnsi="Times New Roman" w:cs="Times New Roman"/>
          <w:bCs/>
          <w:sz w:val="21"/>
          <w:szCs w:val="22"/>
        </w:rPr>
        <w:t>资讯、</w:t>
      </w:r>
      <w:r w:rsidRPr="00DA3766">
        <w:rPr>
          <w:rFonts w:ascii="Times New Roman" w:hAnsi="Times New Roman" w:cs="Times New Roman"/>
          <w:bCs/>
          <w:sz w:val="21"/>
          <w:szCs w:val="22"/>
        </w:rPr>
        <w:t>CVSource</w:t>
      </w:r>
      <w:r w:rsidRPr="00DA3766">
        <w:rPr>
          <w:rFonts w:ascii="Times New Roman" w:hAnsi="Times New Roman" w:cs="Times New Roman"/>
          <w:bCs/>
          <w:sz w:val="21"/>
          <w:szCs w:val="22"/>
        </w:rPr>
        <w:t>、产权交易所</w:t>
      </w:r>
    </w:p>
    <w:p w14:paraId="2084A839"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、付息债务价值</w:t>
      </w:r>
    </w:p>
    <w:p w14:paraId="1C365373" w14:textId="70C7D828" w:rsidR="00EB3B4C" w:rsidRPr="00DA3766" w:rsidRDefault="00EB3B4C" w:rsidP="00DA3766">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付息债务主要包括短期借款、一年内到期的长期借款及长期借款，付息债务价值按照可比企业公开披露的定期报告中的账面价值确认。</w:t>
      </w:r>
    </w:p>
    <w:p w14:paraId="243CBD34" w14:textId="77052A1A" w:rsidR="001A58DA" w:rsidRPr="00DA3766" w:rsidRDefault="001A58DA" w:rsidP="00DA3766">
      <w:pPr>
        <w:spacing w:beforeLines="0" w:before="0" w:afterLines="0" w:after="0" w:line="240" w:lineRule="auto"/>
        <w:ind w:firstLineChars="0" w:firstLine="420"/>
        <w:jc w:val="right"/>
        <w:rPr>
          <w:rFonts w:ascii="Times New Roman" w:hAnsi="Times New Roman" w:cs="Times New Roman"/>
          <w:sz w:val="21"/>
          <w:szCs w:val="20"/>
        </w:rPr>
      </w:pPr>
      <w:r w:rsidRPr="00DA3766">
        <w:rPr>
          <w:rFonts w:ascii="Times New Roman" w:hAnsi="Times New Roman" w:cs="Times New Roman"/>
          <w:sz w:val="21"/>
          <w:szCs w:val="20"/>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70"/>
        <w:gridCol w:w="1720"/>
        <w:gridCol w:w="1719"/>
        <w:gridCol w:w="1719"/>
      </w:tblGrid>
      <w:tr w:rsidR="00EB3B4C" w:rsidRPr="00DA3766" w14:paraId="655888BC" w14:textId="77777777" w:rsidTr="00DA3766">
        <w:trPr>
          <w:trHeight w:val="397"/>
          <w:tblHeader/>
          <w:jc w:val="center"/>
        </w:trPr>
        <w:tc>
          <w:tcPr>
            <w:tcW w:w="1975" w:type="pct"/>
            <w:vAlign w:val="center"/>
          </w:tcPr>
          <w:p w14:paraId="6B2C13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付息债务</w:t>
            </w:r>
          </w:p>
        </w:tc>
        <w:tc>
          <w:tcPr>
            <w:tcW w:w="1008" w:type="pct"/>
            <w:vAlign w:val="center"/>
          </w:tcPr>
          <w:p w14:paraId="1502916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1008" w:type="pct"/>
            <w:vAlign w:val="center"/>
          </w:tcPr>
          <w:p w14:paraId="1E91C6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1008" w:type="pct"/>
            <w:vAlign w:val="center"/>
          </w:tcPr>
          <w:p w14:paraId="597B2C1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91254DC" w14:textId="77777777" w:rsidTr="00DA3766">
        <w:trPr>
          <w:trHeight w:val="397"/>
          <w:jc w:val="center"/>
        </w:trPr>
        <w:tc>
          <w:tcPr>
            <w:tcW w:w="1975" w:type="pct"/>
            <w:vAlign w:val="center"/>
          </w:tcPr>
          <w:p w14:paraId="10828E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短期借款</w:t>
            </w:r>
          </w:p>
        </w:tc>
        <w:tc>
          <w:tcPr>
            <w:tcW w:w="1008" w:type="pct"/>
            <w:vAlign w:val="center"/>
          </w:tcPr>
          <w:p w14:paraId="7BA4AE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77C2F8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623.04</w:t>
            </w:r>
          </w:p>
        </w:tc>
        <w:tc>
          <w:tcPr>
            <w:tcW w:w="1008" w:type="pct"/>
            <w:vAlign w:val="center"/>
          </w:tcPr>
          <w:p w14:paraId="0DB1623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9,623.25</w:t>
            </w:r>
          </w:p>
        </w:tc>
      </w:tr>
      <w:tr w:rsidR="00EB3B4C" w:rsidRPr="00DA3766" w14:paraId="238EF63A" w14:textId="77777777" w:rsidTr="00DA3766">
        <w:trPr>
          <w:trHeight w:val="397"/>
          <w:jc w:val="center"/>
        </w:trPr>
        <w:tc>
          <w:tcPr>
            <w:tcW w:w="1975" w:type="pct"/>
            <w:vAlign w:val="center"/>
          </w:tcPr>
          <w:p w14:paraId="7F4E7D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一年内到期的长期负债</w:t>
            </w:r>
          </w:p>
        </w:tc>
        <w:tc>
          <w:tcPr>
            <w:tcW w:w="1008" w:type="pct"/>
            <w:vAlign w:val="center"/>
          </w:tcPr>
          <w:p w14:paraId="013346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27317E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300.00</w:t>
            </w:r>
          </w:p>
        </w:tc>
        <w:tc>
          <w:tcPr>
            <w:tcW w:w="1008" w:type="pct"/>
            <w:vAlign w:val="center"/>
          </w:tcPr>
          <w:p w14:paraId="30BB7B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13581D58" w14:textId="77777777" w:rsidTr="00DA3766">
        <w:trPr>
          <w:trHeight w:val="397"/>
          <w:jc w:val="center"/>
        </w:trPr>
        <w:tc>
          <w:tcPr>
            <w:tcW w:w="1975" w:type="pct"/>
            <w:vAlign w:val="center"/>
          </w:tcPr>
          <w:p w14:paraId="3E88E2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长期借款</w:t>
            </w:r>
          </w:p>
        </w:tc>
        <w:tc>
          <w:tcPr>
            <w:tcW w:w="1008" w:type="pct"/>
            <w:vAlign w:val="center"/>
          </w:tcPr>
          <w:p w14:paraId="245ABF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48806B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4,200.00</w:t>
            </w:r>
          </w:p>
        </w:tc>
        <w:tc>
          <w:tcPr>
            <w:tcW w:w="1008" w:type="pct"/>
            <w:vAlign w:val="center"/>
          </w:tcPr>
          <w:p w14:paraId="01AE35F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23B96E9C" w14:textId="77777777" w:rsidTr="00DA3766">
        <w:trPr>
          <w:trHeight w:val="397"/>
          <w:jc w:val="center"/>
        </w:trPr>
        <w:tc>
          <w:tcPr>
            <w:tcW w:w="1975" w:type="pct"/>
            <w:vAlign w:val="center"/>
          </w:tcPr>
          <w:p w14:paraId="366A74B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1008" w:type="pct"/>
            <w:vAlign w:val="center"/>
          </w:tcPr>
          <w:p w14:paraId="2D0B6BD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w:t>
            </w:r>
          </w:p>
        </w:tc>
        <w:tc>
          <w:tcPr>
            <w:tcW w:w="1008" w:type="pct"/>
            <w:vAlign w:val="center"/>
          </w:tcPr>
          <w:p w14:paraId="2A35D4A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5,123.04</w:t>
            </w:r>
          </w:p>
        </w:tc>
        <w:tc>
          <w:tcPr>
            <w:tcW w:w="1008" w:type="pct"/>
            <w:vAlign w:val="center"/>
          </w:tcPr>
          <w:p w14:paraId="6E2BDC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9,623.25</w:t>
            </w:r>
          </w:p>
        </w:tc>
      </w:tr>
    </w:tbl>
    <w:p w14:paraId="1BD51889"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注：数据来源自可比企业</w:t>
      </w:r>
      <w:r w:rsidRPr="00DA3766">
        <w:rPr>
          <w:rFonts w:ascii="Times New Roman" w:hAnsi="Times New Roman" w:cs="Times New Roman"/>
          <w:bCs/>
          <w:sz w:val="21"/>
          <w:szCs w:val="22"/>
        </w:rPr>
        <w:t>2025</w:t>
      </w:r>
      <w:r w:rsidRPr="00DA3766">
        <w:rPr>
          <w:rFonts w:ascii="Times New Roman" w:hAnsi="Times New Roman" w:cs="Times New Roman"/>
          <w:bCs/>
          <w:sz w:val="21"/>
          <w:szCs w:val="22"/>
        </w:rPr>
        <w:t>年半年度报告</w:t>
      </w:r>
    </w:p>
    <w:p w14:paraId="591B0CA5"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、少数股东权益价值</w:t>
      </w:r>
    </w:p>
    <w:p w14:paraId="7DC0FDB7" w14:textId="77777777" w:rsidR="00EB3B4C" w:rsidRPr="00DA3766" w:rsidRDefault="00EB3B4C" w:rsidP="00DA3766">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少数股东权益价值按照可比企业公开披露的定期报告中的账面价值确认。</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34"/>
        <w:gridCol w:w="1631"/>
        <w:gridCol w:w="2028"/>
        <w:gridCol w:w="2035"/>
      </w:tblGrid>
      <w:tr w:rsidR="00EB3B4C" w:rsidRPr="00DA3766" w14:paraId="4396B798" w14:textId="77777777" w:rsidTr="00DA3766">
        <w:trPr>
          <w:trHeight w:val="397"/>
          <w:tblHeader/>
          <w:jc w:val="center"/>
        </w:trPr>
        <w:tc>
          <w:tcPr>
            <w:tcW w:w="1662" w:type="pct"/>
            <w:vAlign w:val="center"/>
          </w:tcPr>
          <w:p w14:paraId="6FD2454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公司</w:t>
            </w:r>
          </w:p>
        </w:tc>
        <w:tc>
          <w:tcPr>
            <w:tcW w:w="956" w:type="pct"/>
            <w:vAlign w:val="center"/>
          </w:tcPr>
          <w:p w14:paraId="70B868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1189" w:type="pct"/>
            <w:vAlign w:val="center"/>
          </w:tcPr>
          <w:p w14:paraId="6D9070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1193" w:type="pct"/>
            <w:vAlign w:val="center"/>
          </w:tcPr>
          <w:p w14:paraId="5930E3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74F9D6FE" w14:textId="77777777" w:rsidTr="00DA3766">
        <w:trPr>
          <w:trHeight w:val="397"/>
          <w:jc w:val="center"/>
        </w:trPr>
        <w:tc>
          <w:tcPr>
            <w:tcW w:w="1662" w:type="pct"/>
            <w:vAlign w:val="center"/>
          </w:tcPr>
          <w:p w14:paraId="080E297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少数股东权益价值</w:t>
            </w:r>
          </w:p>
        </w:tc>
        <w:tc>
          <w:tcPr>
            <w:tcW w:w="956" w:type="pct"/>
            <w:vAlign w:val="center"/>
          </w:tcPr>
          <w:p w14:paraId="2259C5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307.61</w:t>
            </w:r>
          </w:p>
        </w:tc>
        <w:tc>
          <w:tcPr>
            <w:tcW w:w="1189" w:type="pct"/>
            <w:vAlign w:val="center"/>
          </w:tcPr>
          <w:p w14:paraId="690CB2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12,779.38</w:t>
            </w:r>
          </w:p>
        </w:tc>
        <w:tc>
          <w:tcPr>
            <w:tcW w:w="1193" w:type="pct"/>
            <w:vAlign w:val="center"/>
          </w:tcPr>
          <w:p w14:paraId="271894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83,976.43</w:t>
            </w:r>
          </w:p>
        </w:tc>
      </w:tr>
    </w:tbl>
    <w:p w14:paraId="2FB9BB25"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注：数据来源自可比企业</w:t>
      </w:r>
      <w:r w:rsidRPr="00DA3766">
        <w:rPr>
          <w:rFonts w:ascii="Times New Roman" w:hAnsi="Times New Roman" w:cs="Times New Roman"/>
          <w:bCs/>
          <w:sz w:val="21"/>
          <w:szCs w:val="22"/>
        </w:rPr>
        <w:t>2025</w:t>
      </w:r>
      <w:r w:rsidRPr="00DA3766">
        <w:rPr>
          <w:rFonts w:ascii="Times New Roman" w:hAnsi="Times New Roman" w:cs="Times New Roman"/>
          <w:bCs/>
          <w:sz w:val="21"/>
          <w:szCs w:val="22"/>
        </w:rPr>
        <w:t>年半年度报告</w:t>
      </w:r>
    </w:p>
    <w:p w14:paraId="034D5170"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、调整前的企业价值</w:t>
      </w:r>
    </w:p>
    <w:p w14:paraId="4839E4B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调整前的企业价值＝调整前的股权价值</w:t>
      </w:r>
      <w:r w:rsidRPr="00DA3766">
        <w:rPr>
          <w:rFonts w:ascii="Times New Roman" w:hAnsi="Times New Roman" w:cs="Times New Roman"/>
        </w:rPr>
        <w:t>×</w:t>
      </w: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－缺乏流动性折扣）＋付息债务价值＋少数股东权益价值</w:t>
      </w:r>
    </w:p>
    <w:p w14:paraId="7009298F"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对于流动性折扣，本次评估以</w:t>
      </w:r>
      <w:r w:rsidRPr="00DA3766">
        <w:rPr>
          <w:rFonts w:ascii="Times New Roman" w:hAnsi="Times New Roman" w:cs="Times New Roman"/>
        </w:rPr>
        <w:t>A</w:t>
      </w:r>
      <w:r w:rsidRPr="00DA3766">
        <w:rPr>
          <w:rFonts w:ascii="Times New Roman" w:hAnsi="Times New Roman" w:cs="Times New Roman"/>
        </w:rPr>
        <w:t>股上市公司首次公开发行股票的发行价格与该股票正式上市后的交易价格之间的差额进行测算。具体测算方式如下：</w:t>
      </w:r>
    </w:p>
    <w:p w14:paraId="2A8C504E"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w:t>
      </w:r>
      <w:r w:rsidRPr="00DA3766">
        <w:rPr>
          <w:rFonts w:ascii="Times New Roman" w:hAnsi="Times New Roman" w:cs="Times New Roman"/>
          <w:szCs w:val="22"/>
        </w:rPr>
        <w:t>根</w:t>
      </w:r>
      <w:r w:rsidRPr="00DA3766">
        <w:rPr>
          <w:rFonts w:ascii="Times New Roman" w:hAnsi="Times New Roman" w:cs="Times New Roman"/>
        </w:rPr>
        <w:t>据可比企业所属行业分类，选取</w:t>
      </w:r>
      <w:r w:rsidRPr="00DA3766">
        <w:rPr>
          <w:rFonts w:ascii="Times New Roman" w:hAnsi="Times New Roman" w:cs="Times New Roman"/>
        </w:rPr>
        <w:t>A</w:t>
      </w:r>
      <w:r w:rsidRPr="00DA3766">
        <w:rPr>
          <w:rFonts w:ascii="Times New Roman" w:hAnsi="Times New Roman" w:cs="Times New Roman"/>
        </w:rPr>
        <w:t>股市场同属上述分类的上市公司；</w:t>
      </w:r>
    </w:p>
    <w:p w14:paraId="63F195D4"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）筛选出距评估基准日（</w:t>
      </w:r>
      <w:r w:rsidRPr="00DA3766">
        <w:rPr>
          <w:rFonts w:ascii="Times New Roman" w:hAnsi="Times New Roman" w:cs="Times New Roman"/>
          <w:szCs w:val="22"/>
        </w:rPr>
        <w:t>2025</w:t>
      </w:r>
      <w:r w:rsidRPr="00DA3766">
        <w:rPr>
          <w:rFonts w:ascii="Times New Roman" w:hAnsi="Times New Roman" w:cs="Times New Roman"/>
          <w:szCs w:val="22"/>
        </w:rPr>
        <w:t>年</w:t>
      </w:r>
      <w:r w:rsidRPr="00DA3766">
        <w:rPr>
          <w:rFonts w:ascii="Times New Roman" w:hAnsi="Times New Roman" w:cs="Times New Roman"/>
          <w:szCs w:val="22"/>
        </w:rPr>
        <w:t>6</w:t>
      </w:r>
      <w:r w:rsidRPr="00DA3766">
        <w:rPr>
          <w:rFonts w:ascii="Times New Roman" w:hAnsi="Times New Roman" w:cs="Times New Roman"/>
          <w:szCs w:val="22"/>
        </w:rPr>
        <w:t>月</w:t>
      </w:r>
      <w:r w:rsidRPr="00DA3766">
        <w:rPr>
          <w:rFonts w:ascii="Times New Roman" w:hAnsi="Times New Roman" w:cs="Times New Roman"/>
          <w:szCs w:val="22"/>
        </w:rPr>
        <w:t>30</w:t>
      </w:r>
      <w:r w:rsidRPr="00DA3766">
        <w:rPr>
          <w:rFonts w:ascii="Times New Roman" w:hAnsi="Times New Roman" w:cs="Times New Roman"/>
          <w:szCs w:val="22"/>
        </w:rPr>
        <w:t>日）上市已满一年的</w:t>
      </w:r>
      <w:r w:rsidRPr="00DA3766">
        <w:rPr>
          <w:rFonts w:ascii="Times New Roman" w:hAnsi="Times New Roman" w:cs="Times New Roman"/>
          <w:szCs w:val="22"/>
        </w:rPr>
        <w:t>A</w:t>
      </w:r>
      <w:r w:rsidRPr="00DA3766">
        <w:rPr>
          <w:rFonts w:ascii="Times New Roman" w:hAnsi="Times New Roman" w:cs="Times New Roman"/>
          <w:szCs w:val="22"/>
        </w:rPr>
        <w:t>股上市公司；</w:t>
      </w:r>
    </w:p>
    <w:p w14:paraId="460DC985" w14:textId="77777777" w:rsidR="00EB3B4C" w:rsidRPr="00DA3766" w:rsidRDefault="00EB3B4C" w:rsidP="00635015">
      <w:pPr>
        <w:pStyle w:val="005"/>
        <w:spacing w:before="120" w:after="120"/>
        <w:ind w:firstLine="480"/>
      </w:pPr>
      <w:r w:rsidRPr="00DA3766">
        <w:t>（</w:t>
      </w:r>
      <w:r w:rsidRPr="00DA3766">
        <w:t>3</w:t>
      </w:r>
      <w:r w:rsidRPr="00DA3766">
        <w:t>）获取并比较筛选出的</w:t>
      </w:r>
      <w:r w:rsidRPr="00DA3766">
        <w:t>A</w:t>
      </w:r>
      <w:r w:rsidRPr="00DA3766">
        <w:t>股上市公司首次公开发行股票的发行价格与其上市后第</w:t>
      </w:r>
      <w:r w:rsidRPr="00DA3766">
        <w:t>90</w:t>
      </w:r>
      <w:r w:rsidRPr="00DA3766">
        <w:t>交易日、</w:t>
      </w:r>
      <w:r w:rsidRPr="00DA3766">
        <w:t>120</w:t>
      </w:r>
      <w:r w:rsidRPr="00DA3766">
        <w:t>日以及</w:t>
      </w:r>
      <w:r w:rsidRPr="00DA3766">
        <w:t>250</w:t>
      </w:r>
      <w:r w:rsidRPr="00DA3766">
        <w:t>日收盘价的差异，计算得到流动性折扣平</w:t>
      </w:r>
      <w:r w:rsidRPr="00DA3766">
        <w:lastRenderedPageBreak/>
        <w:t>均值为</w:t>
      </w:r>
      <w:r w:rsidRPr="00DA3766">
        <w:t>33.51%</w:t>
      </w:r>
      <w:r w:rsidRPr="00DA3766">
        <w:t>。</w:t>
      </w:r>
    </w:p>
    <w:p w14:paraId="19F8D58D"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5</w:t>
      </w:r>
      <w:r w:rsidRPr="00DA3766">
        <w:rPr>
          <w:rFonts w:ascii="Times New Roman" w:hAnsi="Times New Roman" w:cs="Times New Roman"/>
          <w:b/>
          <w:bCs/>
          <w:szCs w:val="28"/>
        </w:rPr>
        <w:t>、溢余资产价值、非经营性资产及负债</w:t>
      </w:r>
    </w:p>
    <w:p w14:paraId="7A253AB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溢余性资产是指与企业经营收益无直接关系的、超过企业经营所需的多余资产，主要包括溢余现金等。由于较难根据可比企业公开披露的定期报告准确获得可比企业是否存在溢余现金及其金额，故本次评估对可比企业及标的公司均未考虑剔除溢余资产。</w:t>
      </w:r>
    </w:p>
    <w:p w14:paraId="014A7D0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非经营性资产、负债是指与企业正常经营收益无直接关系的，包括不产生收益，或是能产生收益但是未纳入本次收益预测范围的资产及相关负债。主要包括参股的其他权益工具投资、其他流动资产、递延所得税资产、递延所得税负债、投资性房地产、应收利息、应付利息、预计负债等。本次评估根据可比企业公开披露的</w:t>
      </w:r>
      <w:r w:rsidRPr="00DA3766">
        <w:rPr>
          <w:rFonts w:ascii="Times New Roman" w:hAnsi="Times New Roman" w:cs="Times New Roman"/>
          <w:szCs w:val="22"/>
        </w:rPr>
        <w:t>2025</w:t>
      </w:r>
      <w:r w:rsidRPr="00DA3766">
        <w:rPr>
          <w:rFonts w:ascii="Times New Roman" w:hAnsi="Times New Roman" w:cs="Times New Roman"/>
          <w:szCs w:val="22"/>
        </w:rPr>
        <w:t>年半年度报告中的财务报告信息，识别出可比企业的非经营性资产及负债，具体情况如下：</w:t>
      </w:r>
    </w:p>
    <w:p w14:paraId="21AB942B"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1</w:t>
      </w:r>
      <w:r w:rsidRPr="00DA3766">
        <w:rPr>
          <w:rFonts w:ascii="Times New Roman" w:hAnsi="Times New Roman" w:cs="Times New Roman"/>
          <w:b/>
          <w:bCs/>
          <w:szCs w:val="22"/>
        </w:rPr>
        <w:t>）映翰通</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1897"/>
        <w:gridCol w:w="3952"/>
        <w:gridCol w:w="1757"/>
      </w:tblGrid>
      <w:tr w:rsidR="00EB3B4C" w:rsidRPr="00DA3766" w14:paraId="3DF5A2EA" w14:textId="77777777" w:rsidTr="00DA3766">
        <w:trPr>
          <w:trHeight w:val="397"/>
          <w:tblHeader/>
          <w:jc w:val="center"/>
        </w:trPr>
        <w:tc>
          <w:tcPr>
            <w:tcW w:w="541" w:type="pct"/>
            <w:vAlign w:val="center"/>
          </w:tcPr>
          <w:p w14:paraId="4E5FFD8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112" w:type="pct"/>
            <w:vAlign w:val="center"/>
          </w:tcPr>
          <w:p w14:paraId="538EFD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316" w:type="pct"/>
            <w:vAlign w:val="center"/>
          </w:tcPr>
          <w:p w14:paraId="2FB12ED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1030" w:type="pct"/>
            <w:vAlign w:val="center"/>
          </w:tcPr>
          <w:p w14:paraId="3B5EC69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0BD08C0C" w14:textId="77777777" w:rsidTr="00DA3766">
        <w:trPr>
          <w:trHeight w:val="397"/>
          <w:jc w:val="center"/>
        </w:trPr>
        <w:tc>
          <w:tcPr>
            <w:tcW w:w="541" w:type="pct"/>
            <w:vMerge w:val="restart"/>
            <w:vAlign w:val="center"/>
          </w:tcPr>
          <w:p w14:paraId="1377C1DA"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112" w:type="pct"/>
            <w:vAlign w:val="center"/>
          </w:tcPr>
          <w:p w14:paraId="74548F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316" w:type="pct"/>
            <w:vAlign w:val="center"/>
          </w:tcPr>
          <w:p w14:paraId="6B18C4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1030" w:type="pct"/>
            <w:vAlign w:val="center"/>
          </w:tcPr>
          <w:p w14:paraId="303C13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3,697.02</w:t>
            </w:r>
          </w:p>
        </w:tc>
      </w:tr>
      <w:tr w:rsidR="00EB3B4C" w:rsidRPr="00DA3766" w14:paraId="5EB05AAD" w14:textId="77777777" w:rsidTr="00DA3766">
        <w:trPr>
          <w:trHeight w:val="397"/>
          <w:jc w:val="center"/>
        </w:trPr>
        <w:tc>
          <w:tcPr>
            <w:tcW w:w="541" w:type="pct"/>
            <w:vMerge/>
            <w:vAlign w:val="center"/>
          </w:tcPr>
          <w:p w14:paraId="5A9963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112" w:type="pct"/>
            <w:vAlign w:val="center"/>
          </w:tcPr>
          <w:p w14:paraId="498745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其他权益工具投资</w:t>
            </w:r>
          </w:p>
        </w:tc>
        <w:tc>
          <w:tcPr>
            <w:tcW w:w="2316" w:type="pct"/>
            <w:vAlign w:val="center"/>
          </w:tcPr>
          <w:p w14:paraId="657C6CD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30" w:type="pct"/>
            <w:vAlign w:val="center"/>
          </w:tcPr>
          <w:p w14:paraId="7168DB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1,084.16</w:t>
            </w:r>
          </w:p>
        </w:tc>
      </w:tr>
      <w:tr w:rsidR="00EB3B4C" w:rsidRPr="00DA3766" w14:paraId="17F3C80F" w14:textId="77777777" w:rsidTr="00DA3766">
        <w:trPr>
          <w:trHeight w:val="397"/>
          <w:jc w:val="center"/>
        </w:trPr>
        <w:tc>
          <w:tcPr>
            <w:tcW w:w="541" w:type="pct"/>
            <w:vMerge/>
            <w:vAlign w:val="center"/>
          </w:tcPr>
          <w:p w14:paraId="2E9387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112" w:type="pct"/>
            <w:vAlign w:val="center"/>
          </w:tcPr>
          <w:p w14:paraId="6CC8AF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316" w:type="pct"/>
            <w:vAlign w:val="center"/>
          </w:tcPr>
          <w:p w14:paraId="6A0AF9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资产减值准备、内部交易未实现利润、可抵扣亏损、股份支付等可抵扣暂时性差异</w:t>
            </w:r>
          </w:p>
        </w:tc>
        <w:tc>
          <w:tcPr>
            <w:tcW w:w="1030" w:type="pct"/>
            <w:vAlign w:val="center"/>
          </w:tcPr>
          <w:p w14:paraId="4206BFA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722.42</w:t>
            </w:r>
          </w:p>
        </w:tc>
      </w:tr>
      <w:tr w:rsidR="00EB3B4C" w:rsidRPr="00DA3766" w14:paraId="3CCDB553" w14:textId="77777777" w:rsidTr="00DA3766">
        <w:trPr>
          <w:trHeight w:val="397"/>
          <w:jc w:val="center"/>
        </w:trPr>
        <w:tc>
          <w:tcPr>
            <w:tcW w:w="541" w:type="pct"/>
            <w:vMerge/>
            <w:vAlign w:val="center"/>
          </w:tcPr>
          <w:p w14:paraId="7E4E9F1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429" w:type="pct"/>
            <w:gridSpan w:val="2"/>
            <w:vAlign w:val="center"/>
          </w:tcPr>
          <w:p w14:paraId="293B408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612753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5,503.60</w:t>
            </w:r>
          </w:p>
        </w:tc>
      </w:tr>
      <w:tr w:rsidR="00EB3B4C" w:rsidRPr="00DA3766" w14:paraId="0A12F077" w14:textId="77777777" w:rsidTr="00DA3766">
        <w:trPr>
          <w:trHeight w:val="397"/>
          <w:jc w:val="center"/>
        </w:trPr>
        <w:tc>
          <w:tcPr>
            <w:tcW w:w="541" w:type="pct"/>
            <w:vMerge w:val="restart"/>
            <w:vAlign w:val="center"/>
          </w:tcPr>
          <w:p w14:paraId="3AB215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112" w:type="pct"/>
            <w:vAlign w:val="center"/>
          </w:tcPr>
          <w:p w14:paraId="5CF4B1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316" w:type="pct"/>
            <w:vAlign w:val="center"/>
          </w:tcPr>
          <w:p w14:paraId="324D70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固定资产加速折旧等应纳税暂时性差异</w:t>
            </w:r>
          </w:p>
        </w:tc>
        <w:tc>
          <w:tcPr>
            <w:tcW w:w="1030" w:type="pct"/>
            <w:vAlign w:val="center"/>
          </w:tcPr>
          <w:p w14:paraId="5FEC5F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59.59</w:t>
            </w:r>
          </w:p>
        </w:tc>
      </w:tr>
      <w:tr w:rsidR="00EB3B4C" w:rsidRPr="00DA3766" w14:paraId="291F759C" w14:textId="77777777" w:rsidTr="00DA3766">
        <w:trPr>
          <w:trHeight w:val="397"/>
          <w:jc w:val="center"/>
        </w:trPr>
        <w:tc>
          <w:tcPr>
            <w:tcW w:w="541" w:type="pct"/>
            <w:vMerge/>
            <w:vAlign w:val="center"/>
          </w:tcPr>
          <w:p w14:paraId="139FC6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429" w:type="pct"/>
            <w:gridSpan w:val="2"/>
            <w:vAlign w:val="center"/>
          </w:tcPr>
          <w:p w14:paraId="739D10F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6BA1615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59.59</w:t>
            </w:r>
          </w:p>
        </w:tc>
      </w:tr>
      <w:tr w:rsidR="00EB3B4C" w:rsidRPr="00DA3766" w14:paraId="61B90968" w14:textId="77777777" w:rsidTr="00DA3766">
        <w:trPr>
          <w:trHeight w:val="397"/>
          <w:jc w:val="center"/>
        </w:trPr>
        <w:tc>
          <w:tcPr>
            <w:tcW w:w="3970" w:type="pct"/>
            <w:gridSpan w:val="3"/>
            <w:vAlign w:val="center"/>
          </w:tcPr>
          <w:p w14:paraId="36EFAE0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1030" w:type="pct"/>
            <w:vAlign w:val="center"/>
          </w:tcPr>
          <w:p w14:paraId="23F3F9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5,444.01</w:t>
            </w:r>
          </w:p>
        </w:tc>
      </w:tr>
    </w:tbl>
    <w:p w14:paraId="12AAD8AA"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2</w:t>
      </w:r>
      <w:r w:rsidRPr="00DA3766">
        <w:rPr>
          <w:rFonts w:ascii="Times New Roman" w:hAnsi="Times New Roman" w:cs="Times New Roman"/>
          <w:b/>
          <w:bCs/>
          <w:szCs w:val="22"/>
        </w:rPr>
        <w:t>）广联达</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2107"/>
        <w:gridCol w:w="4152"/>
        <w:gridCol w:w="1756"/>
      </w:tblGrid>
      <w:tr w:rsidR="00EB3B4C" w:rsidRPr="00DA3766" w14:paraId="2D3FA634" w14:textId="77777777" w:rsidTr="00635015">
        <w:trPr>
          <w:trHeight w:val="397"/>
          <w:tblHeader/>
          <w:jc w:val="center"/>
        </w:trPr>
        <w:tc>
          <w:tcPr>
            <w:tcW w:w="427" w:type="pct"/>
            <w:vAlign w:val="center"/>
          </w:tcPr>
          <w:p w14:paraId="3F46AB3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202" w:type="pct"/>
            <w:vAlign w:val="center"/>
          </w:tcPr>
          <w:p w14:paraId="1523B6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369" w:type="pct"/>
            <w:vAlign w:val="center"/>
          </w:tcPr>
          <w:p w14:paraId="160EAC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1002" w:type="pct"/>
            <w:vAlign w:val="center"/>
          </w:tcPr>
          <w:p w14:paraId="4BF265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0B42F2E6" w14:textId="77777777" w:rsidTr="00635015">
        <w:trPr>
          <w:trHeight w:val="397"/>
          <w:jc w:val="center"/>
        </w:trPr>
        <w:tc>
          <w:tcPr>
            <w:tcW w:w="427" w:type="pct"/>
            <w:vMerge w:val="restart"/>
            <w:vAlign w:val="center"/>
          </w:tcPr>
          <w:p w14:paraId="7DD7E61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202" w:type="pct"/>
            <w:vAlign w:val="center"/>
          </w:tcPr>
          <w:p w14:paraId="5EA1F7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交易性金融资产</w:t>
            </w:r>
          </w:p>
        </w:tc>
        <w:tc>
          <w:tcPr>
            <w:tcW w:w="2369" w:type="pct"/>
            <w:vAlign w:val="center"/>
          </w:tcPr>
          <w:p w14:paraId="069F494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w:t>
            </w:r>
          </w:p>
        </w:tc>
        <w:tc>
          <w:tcPr>
            <w:tcW w:w="1002" w:type="pct"/>
            <w:vAlign w:val="center"/>
          </w:tcPr>
          <w:p w14:paraId="27C9FE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30,000.00</w:t>
            </w:r>
          </w:p>
        </w:tc>
      </w:tr>
      <w:tr w:rsidR="00EB3B4C" w:rsidRPr="00DA3766" w14:paraId="14ED9291" w14:textId="77777777" w:rsidTr="00635015">
        <w:trPr>
          <w:trHeight w:val="397"/>
          <w:jc w:val="center"/>
        </w:trPr>
        <w:tc>
          <w:tcPr>
            <w:tcW w:w="427" w:type="pct"/>
            <w:vMerge/>
            <w:vAlign w:val="center"/>
          </w:tcPr>
          <w:p w14:paraId="226D25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5036A9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369" w:type="pct"/>
            <w:vAlign w:val="center"/>
          </w:tcPr>
          <w:p w14:paraId="5C1BE6A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应收股利</w:t>
            </w:r>
          </w:p>
        </w:tc>
        <w:tc>
          <w:tcPr>
            <w:tcW w:w="1002" w:type="pct"/>
            <w:vAlign w:val="center"/>
          </w:tcPr>
          <w:p w14:paraId="356C40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152.45</w:t>
            </w:r>
          </w:p>
        </w:tc>
      </w:tr>
      <w:tr w:rsidR="00EB3B4C" w:rsidRPr="00DA3766" w14:paraId="54CF13CB" w14:textId="77777777" w:rsidTr="00635015">
        <w:trPr>
          <w:trHeight w:val="397"/>
          <w:jc w:val="center"/>
        </w:trPr>
        <w:tc>
          <w:tcPr>
            <w:tcW w:w="427" w:type="pct"/>
            <w:vMerge/>
            <w:vAlign w:val="center"/>
          </w:tcPr>
          <w:p w14:paraId="791C7E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5525F7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369" w:type="pct"/>
            <w:vAlign w:val="center"/>
          </w:tcPr>
          <w:p w14:paraId="2C8A99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转让股权未收款</w:t>
            </w:r>
          </w:p>
        </w:tc>
        <w:tc>
          <w:tcPr>
            <w:tcW w:w="1002" w:type="pct"/>
            <w:vAlign w:val="center"/>
          </w:tcPr>
          <w:p w14:paraId="5C30BC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52.75</w:t>
            </w:r>
          </w:p>
        </w:tc>
      </w:tr>
      <w:tr w:rsidR="00EB3B4C" w:rsidRPr="00DA3766" w14:paraId="2AB0A6C7" w14:textId="77777777" w:rsidTr="00635015">
        <w:trPr>
          <w:trHeight w:val="397"/>
          <w:jc w:val="center"/>
        </w:trPr>
        <w:tc>
          <w:tcPr>
            <w:tcW w:w="427" w:type="pct"/>
            <w:vMerge/>
            <w:vAlign w:val="center"/>
          </w:tcPr>
          <w:p w14:paraId="273743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0E2300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其他流动资产</w:t>
            </w:r>
          </w:p>
        </w:tc>
        <w:tc>
          <w:tcPr>
            <w:tcW w:w="2369" w:type="pct"/>
            <w:vAlign w:val="center"/>
          </w:tcPr>
          <w:p w14:paraId="6FDF754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理财产品、预缴税金</w:t>
            </w:r>
          </w:p>
        </w:tc>
        <w:tc>
          <w:tcPr>
            <w:tcW w:w="1002" w:type="pct"/>
            <w:vAlign w:val="center"/>
          </w:tcPr>
          <w:p w14:paraId="6AA3D8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7,892.93</w:t>
            </w:r>
          </w:p>
        </w:tc>
      </w:tr>
      <w:tr w:rsidR="00EB3B4C" w:rsidRPr="00DA3766" w14:paraId="58BF09D3" w14:textId="77777777" w:rsidTr="00635015">
        <w:trPr>
          <w:trHeight w:val="397"/>
          <w:jc w:val="center"/>
        </w:trPr>
        <w:tc>
          <w:tcPr>
            <w:tcW w:w="427" w:type="pct"/>
            <w:vMerge/>
            <w:vAlign w:val="center"/>
          </w:tcPr>
          <w:p w14:paraId="55FAFA3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185D9B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发放贷款及垫款</w:t>
            </w:r>
          </w:p>
        </w:tc>
        <w:tc>
          <w:tcPr>
            <w:tcW w:w="2369" w:type="pct"/>
            <w:vAlign w:val="center"/>
          </w:tcPr>
          <w:p w14:paraId="5A32757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发放贷款及垫款</w:t>
            </w:r>
          </w:p>
        </w:tc>
        <w:tc>
          <w:tcPr>
            <w:tcW w:w="1002" w:type="pct"/>
            <w:vAlign w:val="center"/>
          </w:tcPr>
          <w:p w14:paraId="5CD0FE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47,530.93</w:t>
            </w:r>
          </w:p>
        </w:tc>
      </w:tr>
      <w:tr w:rsidR="00EB3B4C" w:rsidRPr="00DA3766" w14:paraId="3D008AC2" w14:textId="77777777" w:rsidTr="00635015">
        <w:trPr>
          <w:trHeight w:val="397"/>
          <w:jc w:val="center"/>
        </w:trPr>
        <w:tc>
          <w:tcPr>
            <w:tcW w:w="427" w:type="pct"/>
            <w:vMerge/>
            <w:vAlign w:val="center"/>
          </w:tcPr>
          <w:p w14:paraId="33E8C16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034FD5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369" w:type="pct"/>
            <w:vAlign w:val="center"/>
          </w:tcPr>
          <w:p w14:paraId="28C6DD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1002" w:type="pct"/>
            <w:vAlign w:val="center"/>
          </w:tcPr>
          <w:p w14:paraId="701DA99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22,887.15</w:t>
            </w:r>
          </w:p>
        </w:tc>
      </w:tr>
      <w:tr w:rsidR="00EB3B4C" w:rsidRPr="00DA3766" w14:paraId="30BBFEE2" w14:textId="77777777" w:rsidTr="00635015">
        <w:trPr>
          <w:trHeight w:val="397"/>
          <w:jc w:val="center"/>
        </w:trPr>
        <w:tc>
          <w:tcPr>
            <w:tcW w:w="427" w:type="pct"/>
            <w:vMerge/>
            <w:vAlign w:val="center"/>
          </w:tcPr>
          <w:p w14:paraId="58D7FA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70A7ADC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其他权益工具投资</w:t>
            </w:r>
          </w:p>
        </w:tc>
        <w:tc>
          <w:tcPr>
            <w:tcW w:w="2369" w:type="pct"/>
            <w:vAlign w:val="center"/>
          </w:tcPr>
          <w:p w14:paraId="6BC1BCC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02" w:type="pct"/>
            <w:vAlign w:val="center"/>
          </w:tcPr>
          <w:p w14:paraId="0273D4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27,244.47</w:t>
            </w:r>
          </w:p>
        </w:tc>
      </w:tr>
      <w:tr w:rsidR="00EB3B4C" w:rsidRPr="00DA3766" w14:paraId="69406BFF" w14:textId="77777777" w:rsidTr="00635015">
        <w:trPr>
          <w:trHeight w:val="397"/>
          <w:jc w:val="center"/>
        </w:trPr>
        <w:tc>
          <w:tcPr>
            <w:tcW w:w="427" w:type="pct"/>
            <w:vMerge/>
            <w:vAlign w:val="center"/>
          </w:tcPr>
          <w:p w14:paraId="372DF0D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787CE5D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其他非流动金融资产</w:t>
            </w:r>
          </w:p>
        </w:tc>
        <w:tc>
          <w:tcPr>
            <w:tcW w:w="2369" w:type="pct"/>
            <w:vAlign w:val="center"/>
          </w:tcPr>
          <w:p w14:paraId="6A8AF1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02" w:type="pct"/>
            <w:vAlign w:val="center"/>
          </w:tcPr>
          <w:p w14:paraId="6F60A2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7,961.61</w:t>
            </w:r>
          </w:p>
        </w:tc>
      </w:tr>
      <w:tr w:rsidR="00EB3B4C" w:rsidRPr="00DA3766" w14:paraId="24B0F83F" w14:textId="77777777" w:rsidTr="00635015">
        <w:trPr>
          <w:trHeight w:val="397"/>
          <w:jc w:val="center"/>
        </w:trPr>
        <w:tc>
          <w:tcPr>
            <w:tcW w:w="427" w:type="pct"/>
            <w:vMerge/>
            <w:vAlign w:val="center"/>
          </w:tcPr>
          <w:p w14:paraId="677BFCA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1A98D6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369" w:type="pct"/>
            <w:vAlign w:val="center"/>
          </w:tcPr>
          <w:p w14:paraId="745F72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资产减值准备、可抵扣亏损、无形资产摊销年限差异、股权激励成本、其他权益工具投资公允价值变动等可抵扣暂时性差异</w:t>
            </w:r>
          </w:p>
        </w:tc>
        <w:tc>
          <w:tcPr>
            <w:tcW w:w="1002" w:type="pct"/>
            <w:vAlign w:val="center"/>
          </w:tcPr>
          <w:p w14:paraId="0CB55CA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10,437.41</w:t>
            </w:r>
          </w:p>
        </w:tc>
      </w:tr>
      <w:tr w:rsidR="00EB3B4C" w:rsidRPr="00DA3766" w14:paraId="5C534C91" w14:textId="77777777" w:rsidTr="00635015">
        <w:trPr>
          <w:trHeight w:val="397"/>
          <w:jc w:val="center"/>
        </w:trPr>
        <w:tc>
          <w:tcPr>
            <w:tcW w:w="427" w:type="pct"/>
            <w:vMerge/>
            <w:vAlign w:val="center"/>
          </w:tcPr>
          <w:p w14:paraId="343040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70" w:type="pct"/>
            <w:gridSpan w:val="2"/>
            <w:vAlign w:val="center"/>
          </w:tcPr>
          <w:p w14:paraId="3A26A6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02" w:type="pct"/>
            <w:vAlign w:val="center"/>
          </w:tcPr>
          <w:p w14:paraId="77C85A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154,159.70</w:t>
            </w:r>
          </w:p>
        </w:tc>
      </w:tr>
      <w:tr w:rsidR="00EB3B4C" w:rsidRPr="00DA3766" w14:paraId="78ACE175" w14:textId="77777777" w:rsidTr="00635015">
        <w:trPr>
          <w:trHeight w:val="397"/>
          <w:jc w:val="center"/>
        </w:trPr>
        <w:tc>
          <w:tcPr>
            <w:tcW w:w="427" w:type="pct"/>
            <w:vMerge w:val="restart"/>
            <w:vAlign w:val="center"/>
          </w:tcPr>
          <w:p w14:paraId="02AD46F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非经营性负债</w:t>
            </w:r>
          </w:p>
        </w:tc>
        <w:tc>
          <w:tcPr>
            <w:tcW w:w="1202" w:type="pct"/>
            <w:vAlign w:val="center"/>
          </w:tcPr>
          <w:p w14:paraId="4C8962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369" w:type="pct"/>
            <w:vAlign w:val="center"/>
          </w:tcPr>
          <w:p w14:paraId="4DA12FB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非同一控制下企业合并评估增值等应纳税暂时性差异</w:t>
            </w:r>
          </w:p>
        </w:tc>
        <w:tc>
          <w:tcPr>
            <w:tcW w:w="1002" w:type="pct"/>
            <w:vAlign w:val="center"/>
          </w:tcPr>
          <w:p w14:paraId="3BB0620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639.56</w:t>
            </w:r>
          </w:p>
        </w:tc>
      </w:tr>
      <w:tr w:rsidR="00EB3B4C" w:rsidRPr="00DA3766" w14:paraId="50EBC35F" w14:textId="77777777" w:rsidTr="00635015">
        <w:trPr>
          <w:trHeight w:val="397"/>
          <w:jc w:val="center"/>
        </w:trPr>
        <w:tc>
          <w:tcPr>
            <w:tcW w:w="427" w:type="pct"/>
            <w:vMerge/>
            <w:vAlign w:val="center"/>
          </w:tcPr>
          <w:p w14:paraId="1B52339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02" w:type="pct"/>
            <w:vAlign w:val="center"/>
          </w:tcPr>
          <w:p w14:paraId="3B9161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递延收益</w:t>
            </w:r>
          </w:p>
        </w:tc>
        <w:tc>
          <w:tcPr>
            <w:tcW w:w="2369" w:type="pct"/>
            <w:vAlign w:val="center"/>
          </w:tcPr>
          <w:p w14:paraId="5361AF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政府补助</w:t>
            </w:r>
          </w:p>
        </w:tc>
        <w:tc>
          <w:tcPr>
            <w:tcW w:w="1002" w:type="pct"/>
            <w:vAlign w:val="center"/>
          </w:tcPr>
          <w:p w14:paraId="658F98F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4,377.87</w:t>
            </w:r>
          </w:p>
        </w:tc>
      </w:tr>
      <w:tr w:rsidR="00EB3B4C" w:rsidRPr="00DA3766" w14:paraId="71C4C51A" w14:textId="77777777" w:rsidTr="00635015">
        <w:trPr>
          <w:trHeight w:val="397"/>
          <w:jc w:val="center"/>
        </w:trPr>
        <w:tc>
          <w:tcPr>
            <w:tcW w:w="427" w:type="pct"/>
            <w:vMerge/>
            <w:vAlign w:val="center"/>
          </w:tcPr>
          <w:p w14:paraId="7FB301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70" w:type="pct"/>
            <w:gridSpan w:val="2"/>
            <w:vAlign w:val="center"/>
          </w:tcPr>
          <w:p w14:paraId="115084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02" w:type="pct"/>
            <w:vAlign w:val="center"/>
          </w:tcPr>
          <w:p w14:paraId="58F609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5,017.43</w:t>
            </w:r>
          </w:p>
        </w:tc>
      </w:tr>
      <w:tr w:rsidR="00EB3B4C" w:rsidRPr="00DA3766" w14:paraId="5CCCDF9B" w14:textId="77777777" w:rsidTr="00635015">
        <w:trPr>
          <w:trHeight w:val="397"/>
          <w:jc w:val="center"/>
        </w:trPr>
        <w:tc>
          <w:tcPr>
            <w:tcW w:w="3998" w:type="pct"/>
            <w:gridSpan w:val="3"/>
            <w:vAlign w:val="center"/>
          </w:tcPr>
          <w:p w14:paraId="24CA70C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1002" w:type="pct"/>
            <w:vAlign w:val="center"/>
          </w:tcPr>
          <w:p w14:paraId="05565A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149,142.27</w:t>
            </w:r>
          </w:p>
        </w:tc>
      </w:tr>
    </w:tbl>
    <w:p w14:paraId="3AAB36EB"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3</w:t>
      </w:r>
      <w:r w:rsidRPr="00DA3766">
        <w:rPr>
          <w:rFonts w:ascii="Times New Roman" w:hAnsi="Times New Roman" w:cs="Times New Roman"/>
          <w:b/>
          <w:bCs/>
          <w:szCs w:val="22"/>
        </w:rPr>
        <w:t>）石基信息</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2106"/>
        <w:gridCol w:w="3957"/>
        <w:gridCol w:w="1692"/>
      </w:tblGrid>
      <w:tr w:rsidR="00EB3B4C" w:rsidRPr="00DA3766" w14:paraId="1DF31B98" w14:textId="77777777" w:rsidTr="00DA3766">
        <w:trPr>
          <w:trHeight w:val="397"/>
          <w:tblHeader/>
          <w:jc w:val="center"/>
        </w:trPr>
        <w:tc>
          <w:tcPr>
            <w:tcW w:w="453" w:type="pct"/>
            <w:vAlign w:val="center"/>
          </w:tcPr>
          <w:p w14:paraId="5566A7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235" w:type="pct"/>
            <w:vAlign w:val="center"/>
          </w:tcPr>
          <w:p w14:paraId="5E3A295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320" w:type="pct"/>
            <w:vAlign w:val="center"/>
          </w:tcPr>
          <w:p w14:paraId="785135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992" w:type="pct"/>
            <w:vAlign w:val="center"/>
          </w:tcPr>
          <w:p w14:paraId="5E77332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71CA88EE" w14:textId="77777777" w:rsidTr="00DA3766">
        <w:trPr>
          <w:trHeight w:val="397"/>
          <w:jc w:val="center"/>
        </w:trPr>
        <w:tc>
          <w:tcPr>
            <w:tcW w:w="453" w:type="pct"/>
            <w:vMerge w:val="restart"/>
            <w:vAlign w:val="center"/>
          </w:tcPr>
          <w:p w14:paraId="12764C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235" w:type="pct"/>
            <w:vAlign w:val="center"/>
          </w:tcPr>
          <w:p w14:paraId="5F5A9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交易性金融资产</w:t>
            </w:r>
          </w:p>
        </w:tc>
        <w:tc>
          <w:tcPr>
            <w:tcW w:w="2320" w:type="pct"/>
            <w:vAlign w:val="center"/>
          </w:tcPr>
          <w:p w14:paraId="328B4D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w:t>
            </w:r>
          </w:p>
        </w:tc>
        <w:tc>
          <w:tcPr>
            <w:tcW w:w="992" w:type="pct"/>
            <w:vAlign w:val="center"/>
          </w:tcPr>
          <w:p w14:paraId="2534B3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1,478.93</w:t>
            </w:r>
          </w:p>
        </w:tc>
      </w:tr>
      <w:tr w:rsidR="00EB3B4C" w:rsidRPr="00DA3766" w14:paraId="6D9361DD" w14:textId="77777777" w:rsidTr="00DA3766">
        <w:trPr>
          <w:trHeight w:val="397"/>
          <w:jc w:val="center"/>
        </w:trPr>
        <w:tc>
          <w:tcPr>
            <w:tcW w:w="453" w:type="pct"/>
            <w:vMerge/>
            <w:vAlign w:val="center"/>
          </w:tcPr>
          <w:p w14:paraId="01F40C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A91201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320" w:type="pct"/>
            <w:vAlign w:val="center"/>
          </w:tcPr>
          <w:p w14:paraId="7C89AB3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股权回购款</w:t>
            </w:r>
          </w:p>
        </w:tc>
        <w:tc>
          <w:tcPr>
            <w:tcW w:w="992" w:type="pct"/>
            <w:vAlign w:val="center"/>
          </w:tcPr>
          <w:p w14:paraId="487939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16,334.51</w:t>
            </w:r>
          </w:p>
        </w:tc>
      </w:tr>
      <w:tr w:rsidR="00EB3B4C" w:rsidRPr="00DA3766" w14:paraId="36E26D1A" w14:textId="77777777" w:rsidTr="00DA3766">
        <w:trPr>
          <w:trHeight w:val="397"/>
          <w:jc w:val="center"/>
        </w:trPr>
        <w:tc>
          <w:tcPr>
            <w:tcW w:w="453" w:type="pct"/>
            <w:vMerge/>
            <w:vAlign w:val="center"/>
          </w:tcPr>
          <w:p w14:paraId="4A1E58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932C18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其他流动资产</w:t>
            </w:r>
          </w:p>
        </w:tc>
        <w:tc>
          <w:tcPr>
            <w:tcW w:w="2320" w:type="pct"/>
            <w:vAlign w:val="center"/>
          </w:tcPr>
          <w:p w14:paraId="7B3775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预缴税金</w:t>
            </w:r>
          </w:p>
        </w:tc>
        <w:tc>
          <w:tcPr>
            <w:tcW w:w="992" w:type="pct"/>
            <w:vAlign w:val="center"/>
          </w:tcPr>
          <w:p w14:paraId="1999A8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1,500.64</w:t>
            </w:r>
          </w:p>
        </w:tc>
      </w:tr>
      <w:tr w:rsidR="00EB3B4C" w:rsidRPr="00DA3766" w14:paraId="01544777" w14:textId="77777777" w:rsidTr="00DA3766">
        <w:trPr>
          <w:trHeight w:val="397"/>
          <w:jc w:val="center"/>
        </w:trPr>
        <w:tc>
          <w:tcPr>
            <w:tcW w:w="453" w:type="pct"/>
            <w:vMerge/>
            <w:vAlign w:val="center"/>
          </w:tcPr>
          <w:p w14:paraId="27804B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FD0B0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320" w:type="pct"/>
            <w:vAlign w:val="center"/>
          </w:tcPr>
          <w:p w14:paraId="041C605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992" w:type="pct"/>
            <w:vAlign w:val="center"/>
          </w:tcPr>
          <w:p w14:paraId="4FA829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9,759.49</w:t>
            </w:r>
          </w:p>
        </w:tc>
      </w:tr>
      <w:tr w:rsidR="00EB3B4C" w:rsidRPr="00DA3766" w14:paraId="013A6F97" w14:textId="77777777" w:rsidTr="00DA3766">
        <w:trPr>
          <w:trHeight w:val="397"/>
          <w:jc w:val="center"/>
        </w:trPr>
        <w:tc>
          <w:tcPr>
            <w:tcW w:w="453" w:type="pct"/>
            <w:vMerge/>
            <w:vAlign w:val="center"/>
          </w:tcPr>
          <w:p w14:paraId="194663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3C6D3C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其他非流动金融资产</w:t>
            </w:r>
          </w:p>
        </w:tc>
        <w:tc>
          <w:tcPr>
            <w:tcW w:w="2320" w:type="pct"/>
            <w:vAlign w:val="center"/>
          </w:tcPr>
          <w:p w14:paraId="45C077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992" w:type="pct"/>
            <w:vAlign w:val="center"/>
          </w:tcPr>
          <w:p w14:paraId="03A58D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121.20</w:t>
            </w:r>
          </w:p>
        </w:tc>
      </w:tr>
      <w:tr w:rsidR="00EB3B4C" w:rsidRPr="00DA3766" w14:paraId="55F272D6" w14:textId="77777777" w:rsidTr="00DA3766">
        <w:trPr>
          <w:trHeight w:val="397"/>
          <w:jc w:val="center"/>
        </w:trPr>
        <w:tc>
          <w:tcPr>
            <w:tcW w:w="453" w:type="pct"/>
            <w:vMerge/>
            <w:vAlign w:val="center"/>
          </w:tcPr>
          <w:p w14:paraId="39D799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F2D31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投资性房地产</w:t>
            </w:r>
          </w:p>
        </w:tc>
        <w:tc>
          <w:tcPr>
            <w:tcW w:w="2320" w:type="pct"/>
            <w:vAlign w:val="center"/>
          </w:tcPr>
          <w:p w14:paraId="23C609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出租自有物业</w:t>
            </w:r>
          </w:p>
        </w:tc>
        <w:tc>
          <w:tcPr>
            <w:tcW w:w="992" w:type="pct"/>
            <w:vAlign w:val="center"/>
          </w:tcPr>
          <w:p w14:paraId="7F575F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2,511.32</w:t>
            </w:r>
          </w:p>
        </w:tc>
      </w:tr>
      <w:tr w:rsidR="00EB3B4C" w:rsidRPr="00DA3766" w14:paraId="560C86EF" w14:textId="77777777" w:rsidTr="00DA3766">
        <w:trPr>
          <w:trHeight w:val="397"/>
          <w:jc w:val="center"/>
        </w:trPr>
        <w:tc>
          <w:tcPr>
            <w:tcW w:w="453" w:type="pct"/>
            <w:vMerge/>
            <w:vAlign w:val="center"/>
          </w:tcPr>
          <w:p w14:paraId="512C65E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2F4EAA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320" w:type="pct"/>
            <w:vAlign w:val="center"/>
          </w:tcPr>
          <w:p w14:paraId="77F3EC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资产减值准备、内部交易未实现利润、可抵扣亏损、预提费用、无形资产摊销差异、股份支付等可抵扣暂时性差异</w:t>
            </w:r>
          </w:p>
        </w:tc>
        <w:tc>
          <w:tcPr>
            <w:tcW w:w="992" w:type="pct"/>
            <w:vAlign w:val="center"/>
          </w:tcPr>
          <w:p w14:paraId="63B29B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13,627.92</w:t>
            </w:r>
          </w:p>
        </w:tc>
      </w:tr>
      <w:tr w:rsidR="00EB3B4C" w:rsidRPr="00DA3766" w14:paraId="47B43BE2" w14:textId="77777777" w:rsidTr="00DA3766">
        <w:trPr>
          <w:trHeight w:val="397"/>
          <w:jc w:val="center"/>
        </w:trPr>
        <w:tc>
          <w:tcPr>
            <w:tcW w:w="453" w:type="pct"/>
            <w:vMerge/>
            <w:vAlign w:val="center"/>
          </w:tcPr>
          <w:p w14:paraId="39A155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D51E9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其他非流动资产</w:t>
            </w:r>
          </w:p>
        </w:tc>
        <w:tc>
          <w:tcPr>
            <w:tcW w:w="2320" w:type="pct"/>
            <w:vAlign w:val="center"/>
          </w:tcPr>
          <w:p w14:paraId="4A6E0F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拟处置股权、抵账房产、长期存款</w:t>
            </w:r>
          </w:p>
        </w:tc>
        <w:tc>
          <w:tcPr>
            <w:tcW w:w="992" w:type="pct"/>
            <w:vAlign w:val="center"/>
          </w:tcPr>
          <w:p w14:paraId="7B4CAD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3,643.36</w:t>
            </w:r>
          </w:p>
        </w:tc>
      </w:tr>
      <w:tr w:rsidR="00EB3B4C" w:rsidRPr="00DA3766" w14:paraId="76B132D7" w14:textId="77777777" w:rsidTr="00DA3766">
        <w:trPr>
          <w:trHeight w:val="397"/>
          <w:jc w:val="center"/>
        </w:trPr>
        <w:tc>
          <w:tcPr>
            <w:tcW w:w="453" w:type="pct"/>
            <w:vMerge/>
            <w:vAlign w:val="center"/>
          </w:tcPr>
          <w:p w14:paraId="686A1F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55" w:type="pct"/>
            <w:gridSpan w:val="2"/>
            <w:vAlign w:val="center"/>
          </w:tcPr>
          <w:p w14:paraId="4A50C9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992" w:type="pct"/>
            <w:vAlign w:val="center"/>
          </w:tcPr>
          <w:p w14:paraId="185457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48,977.37</w:t>
            </w:r>
          </w:p>
        </w:tc>
      </w:tr>
      <w:tr w:rsidR="00EB3B4C" w:rsidRPr="00DA3766" w14:paraId="42ED7D58" w14:textId="77777777" w:rsidTr="00DA3766">
        <w:trPr>
          <w:trHeight w:val="397"/>
          <w:jc w:val="center"/>
        </w:trPr>
        <w:tc>
          <w:tcPr>
            <w:tcW w:w="453" w:type="pct"/>
            <w:vMerge w:val="restart"/>
            <w:vAlign w:val="center"/>
          </w:tcPr>
          <w:p w14:paraId="06F84D0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非经营性负债</w:t>
            </w:r>
          </w:p>
        </w:tc>
        <w:tc>
          <w:tcPr>
            <w:tcW w:w="1235" w:type="pct"/>
            <w:vAlign w:val="center"/>
          </w:tcPr>
          <w:p w14:paraId="7EAFE7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其他应付款</w:t>
            </w:r>
          </w:p>
        </w:tc>
        <w:tc>
          <w:tcPr>
            <w:tcW w:w="2320" w:type="pct"/>
            <w:vAlign w:val="center"/>
          </w:tcPr>
          <w:p w14:paraId="3D4476D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股权处置意向金、限制性股票回购义务、工程款、业绩补偿款</w:t>
            </w:r>
          </w:p>
        </w:tc>
        <w:tc>
          <w:tcPr>
            <w:tcW w:w="992" w:type="pct"/>
            <w:vAlign w:val="center"/>
          </w:tcPr>
          <w:p w14:paraId="068F4F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16,612.37</w:t>
            </w:r>
          </w:p>
        </w:tc>
      </w:tr>
      <w:tr w:rsidR="00EB3B4C" w:rsidRPr="00DA3766" w14:paraId="621CAC36" w14:textId="77777777" w:rsidTr="00DA3766">
        <w:trPr>
          <w:trHeight w:val="397"/>
          <w:jc w:val="center"/>
        </w:trPr>
        <w:tc>
          <w:tcPr>
            <w:tcW w:w="453" w:type="pct"/>
            <w:vMerge/>
            <w:vAlign w:val="center"/>
          </w:tcPr>
          <w:p w14:paraId="2BEE6D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4F989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长期应付款</w:t>
            </w:r>
          </w:p>
        </w:tc>
        <w:tc>
          <w:tcPr>
            <w:tcW w:w="2320" w:type="pct"/>
            <w:vAlign w:val="center"/>
          </w:tcPr>
          <w:p w14:paraId="241937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人才发展基金</w:t>
            </w:r>
          </w:p>
        </w:tc>
        <w:tc>
          <w:tcPr>
            <w:tcW w:w="992" w:type="pct"/>
            <w:vAlign w:val="center"/>
          </w:tcPr>
          <w:p w14:paraId="767784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8.33</w:t>
            </w:r>
          </w:p>
        </w:tc>
      </w:tr>
      <w:tr w:rsidR="00EB3B4C" w:rsidRPr="00DA3766" w14:paraId="22413F6A" w14:textId="77777777" w:rsidTr="00DA3766">
        <w:trPr>
          <w:trHeight w:val="397"/>
          <w:jc w:val="center"/>
        </w:trPr>
        <w:tc>
          <w:tcPr>
            <w:tcW w:w="453" w:type="pct"/>
            <w:vMerge/>
            <w:vAlign w:val="center"/>
          </w:tcPr>
          <w:p w14:paraId="01076CD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4E7F4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320" w:type="pct"/>
            <w:vAlign w:val="center"/>
          </w:tcPr>
          <w:p w14:paraId="21908F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非同一控制下企业合并评估增值、交易性金融资产公允价值变动等应纳税暂时性差异</w:t>
            </w:r>
          </w:p>
        </w:tc>
        <w:tc>
          <w:tcPr>
            <w:tcW w:w="992" w:type="pct"/>
            <w:vAlign w:val="center"/>
          </w:tcPr>
          <w:p w14:paraId="41E250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750.95</w:t>
            </w:r>
          </w:p>
        </w:tc>
      </w:tr>
      <w:tr w:rsidR="00EB3B4C" w:rsidRPr="00DA3766" w14:paraId="78CE6ADC" w14:textId="77777777" w:rsidTr="00DA3766">
        <w:trPr>
          <w:trHeight w:val="397"/>
          <w:jc w:val="center"/>
        </w:trPr>
        <w:tc>
          <w:tcPr>
            <w:tcW w:w="453" w:type="pct"/>
            <w:vMerge/>
            <w:vAlign w:val="center"/>
          </w:tcPr>
          <w:p w14:paraId="3C2A9D5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55" w:type="pct"/>
            <w:gridSpan w:val="2"/>
            <w:vAlign w:val="center"/>
          </w:tcPr>
          <w:p w14:paraId="49E24E7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992" w:type="pct"/>
            <w:vAlign w:val="center"/>
          </w:tcPr>
          <w:p w14:paraId="09EA33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17,371.65</w:t>
            </w:r>
          </w:p>
        </w:tc>
      </w:tr>
      <w:tr w:rsidR="00EB3B4C" w:rsidRPr="00DA3766" w14:paraId="6781A3C4" w14:textId="77777777" w:rsidTr="00DA3766">
        <w:trPr>
          <w:trHeight w:val="397"/>
          <w:jc w:val="center"/>
        </w:trPr>
        <w:tc>
          <w:tcPr>
            <w:tcW w:w="4008" w:type="pct"/>
            <w:gridSpan w:val="3"/>
            <w:vAlign w:val="center"/>
          </w:tcPr>
          <w:p w14:paraId="21E67E6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992" w:type="pct"/>
            <w:vAlign w:val="center"/>
          </w:tcPr>
          <w:p w14:paraId="228BC7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31,605.72</w:t>
            </w:r>
          </w:p>
        </w:tc>
      </w:tr>
    </w:tbl>
    <w:p w14:paraId="737479C8"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6</w:t>
      </w:r>
      <w:r w:rsidRPr="00DA3766">
        <w:rPr>
          <w:rFonts w:ascii="Times New Roman" w:hAnsi="Times New Roman" w:cs="Times New Roman"/>
          <w:b/>
          <w:bCs/>
          <w:szCs w:val="28"/>
        </w:rPr>
        <w:t>、调整后企业价值（</w:t>
      </w:r>
      <w:r w:rsidRPr="00DA3766">
        <w:rPr>
          <w:rFonts w:ascii="Times New Roman" w:hAnsi="Times New Roman" w:cs="Times New Roman"/>
          <w:b/>
          <w:bCs/>
          <w:szCs w:val="28"/>
        </w:rPr>
        <w:t>EV</w:t>
      </w:r>
      <w:r w:rsidRPr="00DA3766">
        <w:rPr>
          <w:rFonts w:ascii="Times New Roman" w:hAnsi="Times New Roman" w:cs="Times New Roman"/>
          <w:b/>
          <w:bCs/>
          <w:szCs w:val="28"/>
        </w:rPr>
        <w:t>）、货币资金、调整后企业价值（</w:t>
      </w:r>
      <w:r w:rsidRPr="00DA3766">
        <w:rPr>
          <w:rFonts w:ascii="Times New Roman" w:hAnsi="Times New Roman" w:cs="Times New Roman"/>
          <w:b/>
          <w:bCs/>
          <w:szCs w:val="28"/>
        </w:rPr>
        <w:t>EV</w:t>
      </w:r>
      <w:r w:rsidRPr="00DA3766">
        <w:rPr>
          <w:rFonts w:ascii="Times New Roman" w:hAnsi="Times New Roman" w:cs="Times New Roman"/>
          <w:b/>
          <w:bCs/>
          <w:szCs w:val="28"/>
        </w:rPr>
        <w:t>）（不含货币资金）</w:t>
      </w:r>
    </w:p>
    <w:p w14:paraId="5670D6DB" w14:textId="77777777" w:rsidR="00EB3B4C" w:rsidRPr="00DA3766" w:rsidRDefault="00EB3B4C" w:rsidP="00635015">
      <w:pPr>
        <w:pStyle w:val="005"/>
        <w:spacing w:before="120" w:after="120"/>
        <w:ind w:firstLine="480"/>
      </w:pPr>
      <w:r w:rsidRPr="00DA3766">
        <w:t>调整后的企业价值（</w:t>
      </w:r>
      <w:r w:rsidRPr="00DA3766">
        <w:t>EV</w:t>
      </w:r>
      <w:r w:rsidRPr="00DA3766">
        <w:t>）＝调整前的企业价值－非经营性资产、负债及溢余资产价值</w:t>
      </w:r>
    </w:p>
    <w:p w14:paraId="41EF6A4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调整后的企业价值（</w:t>
      </w:r>
      <w:r w:rsidRPr="00DA3766">
        <w:rPr>
          <w:rFonts w:ascii="Times New Roman" w:hAnsi="Times New Roman" w:cs="Times New Roman"/>
          <w:szCs w:val="22"/>
        </w:rPr>
        <w:t>EV</w:t>
      </w:r>
      <w:r w:rsidRPr="00DA3766">
        <w:rPr>
          <w:rFonts w:ascii="Times New Roman" w:hAnsi="Times New Roman" w:cs="Times New Roman"/>
          <w:szCs w:val="22"/>
        </w:rPr>
        <w:t>）（不含货币资金）＝调整后的企业价值（</w:t>
      </w:r>
      <w:r w:rsidRPr="00DA3766">
        <w:rPr>
          <w:rFonts w:ascii="Times New Roman" w:hAnsi="Times New Roman" w:cs="Times New Roman"/>
          <w:szCs w:val="22"/>
        </w:rPr>
        <w:t>EV</w:t>
      </w:r>
      <w:r w:rsidRPr="00DA3766">
        <w:rPr>
          <w:rFonts w:ascii="Times New Roman" w:hAnsi="Times New Roman" w:cs="Times New Roman"/>
          <w:szCs w:val="22"/>
        </w:rPr>
        <w:t>）－基准日货币资金</w:t>
      </w:r>
    </w:p>
    <w:p w14:paraId="18CDBE2D"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货币资金数据来自可比企业</w:t>
      </w:r>
      <w:r w:rsidRPr="00DA3766">
        <w:rPr>
          <w:rFonts w:ascii="Times New Roman" w:hAnsi="Times New Roman" w:cs="Times New Roman"/>
          <w:szCs w:val="22"/>
        </w:rPr>
        <w:t>2025</w:t>
      </w:r>
      <w:r w:rsidRPr="00DA3766">
        <w:rPr>
          <w:rFonts w:ascii="Times New Roman" w:hAnsi="Times New Roman" w:cs="Times New Roman"/>
          <w:szCs w:val="22"/>
        </w:rPr>
        <w:t>年半年度报告中披露的账面金额。</w:t>
      </w:r>
    </w:p>
    <w:p w14:paraId="280592A6"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7</w:t>
      </w:r>
      <w:r w:rsidRPr="00DA3766">
        <w:rPr>
          <w:rFonts w:ascii="Times New Roman" w:hAnsi="Times New Roman" w:cs="Times New Roman"/>
          <w:b/>
          <w:bCs/>
          <w:szCs w:val="28"/>
        </w:rPr>
        <w:t>、营业收入</w:t>
      </w:r>
    </w:p>
    <w:p w14:paraId="78D7BD0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本次评估采用静态价值比率，故可比企业营业收入均采用</w:t>
      </w:r>
      <w:r w:rsidRPr="00DA3766">
        <w:rPr>
          <w:rFonts w:ascii="Times New Roman" w:hAnsi="Times New Roman" w:cs="Times New Roman"/>
          <w:szCs w:val="22"/>
        </w:rPr>
        <w:t>2024</w:t>
      </w:r>
      <w:r w:rsidRPr="00DA3766">
        <w:rPr>
          <w:rFonts w:ascii="Times New Roman" w:hAnsi="Times New Roman" w:cs="Times New Roman"/>
          <w:szCs w:val="22"/>
        </w:rPr>
        <w:t>年年度报告披露的营业收入金额。</w:t>
      </w:r>
    </w:p>
    <w:p w14:paraId="077B7D6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可比企业广联达营业收入中含有部分金融类业务收入（利息收入</w:t>
      </w:r>
      <w:r w:rsidRPr="00DA3766">
        <w:rPr>
          <w:rFonts w:ascii="Times New Roman" w:hAnsi="Times New Roman" w:cs="Times New Roman"/>
          <w:szCs w:val="22"/>
        </w:rPr>
        <w:t>+</w:t>
      </w:r>
      <w:r w:rsidRPr="00DA3766">
        <w:rPr>
          <w:rFonts w:ascii="Times New Roman" w:hAnsi="Times New Roman" w:cs="Times New Roman"/>
          <w:szCs w:val="22"/>
        </w:rPr>
        <w:t>手续费及佣金收入），该部分收入源于其开展的资金借贷活动，不属于软件与技术服务主业，且计算其企业价值时已将金融业务相关资产（如发放贷款及垫款）作为非经营性资产予以剔除，为确保价值比率的可比性与合理性，在计算其</w:t>
      </w:r>
      <w:r w:rsidRPr="00DA3766">
        <w:rPr>
          <w:rFonts w:ascii="Times New Roman" w:hAnsi="Times New Roman" w:cs="Times New Roman"/>
          <w:szCs w:val="22"/>
        </w:rPr>
        <w:t>EV/S</w:t>
      </w:r>
      <w:r w:rsidRPr="00DA3766">
        <w:rPr>
          <w:rFonts w:ascii="Times New Roman" w:hAnsi="Times New Roman" w:cs="Times New Roman"/>
          <w:szCs w:val="22"/>
        </w:rPr>
        <w:t>时同步将该等金融类业务收入予以剔除。</w:t>
      </w:r>
    </w:p>
    <w:p w14:paraId="27869363" w14:textId="6D1A9D44"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可比企业石基信息持有投资性房地产，其营业收入中亦包括出租房屋产生的租赁收入，鉴于该部分收入源于自有物业出租，属于资产持有型收益，与标的公司</w:t>
      </w:r>
      <w:r w:rsidR="001A58DA" w:rsidRPr="00DA3766">
        <w:rPr>
          <w:rFonts w:cs="Times New Roman"/>
          <w:szCs w:val="22"/>
        </w:rPr>
        <w:t>“</w:t>
      </w:r>
      <w:r w:rsidRPr="00DA3766">
        <w:rPr>
          <w:rFonts w:ascii="Times New Roman" w:hAnsi="Times New Roman" w:cs="Times New Roman"/>
          <w:szCs w:val="22"/>
        </w:rPr>
        <w:t>IoT</w:t>
      </w:r>
      <w:r w:rsidRPr="00DA3766">
        <w:rPr>
          <w:rFonts w:ascii="Times New Roman" w:hAnsi="Times New Roman" w:cs="Times New Roman"/>
          <w:szCs w:val="22"/>
        </w:rPr>
        <w:t>智能硬件</w:t>
      </w:r>
      <w:r w:rsidRPr="00DA3766">
        <w:rPr>
          <w:rFonts w:ascii="Times New Roman" w:hAnsi="Times New Roman" w:cs="Times New Roman"/>
          <w:szCs w:val="22"/>
        </w:rPr>
        <w:t>+SaaS</w:t>
      </w:r>
      <w:r w:rsidRPr="00DA3766">
        <w:rPr>
          <w:rFonts w:ascii="Times New Roman" w:hAnsi="Times New Roman" w:cs="Times New Roman"/>
          <w:szCs w:val="22"/>
        </w:rPr>
        <w:t>云平台</w:t>
      </w:r>
      <w:r w:rsidR="001A58DA" w:rsidRPr="00DA3766">
        <w:rPr>
          <w:rFonts w:cs="Times New Roman"/>
          <w:szCs w:val="22"/>
        </w:rPr>
        <w:t>”</w:t>
      </w:r>
      <w:r w:rsidRPr="00DA3766">
        <w:rPr>
          <w:rFonts w:ascii="Times New Roman" w:hAnsi="Times New Roman" w:cs="Times New Roman"/>
          <w:szCs w:val="22"/>
        </w:rPr>
        <w:t>的轻资产、运营驱动型业务模式无实质关联，且计算其企业价值时已将投资性房地产作为非经营性资产予以剔除，为确保价值比率的可比性与合理性，在计算其</w:t>
      </w:r>
      <w:r w:rsidRPr="00DA3766">
        <w:rPr>
          <w:rFonts w:ascii="Times New Roman" w:hAnsi="Times New Roman" w:cs="Times New Roman"/>
          <w:szCs w:val="22"/>
        </w:rPr>
        <w:t>EV/S</w:t>
      </w:r>
      <w:r w:rsidRPr="00DA3766">
        <w:rPr>
          <w:rFonts w:ascii="Times New Roman" w:hAnsi="Times New Roman" w:cs="Times New Roman"/>
          <w:szCs w:val="22"/>
        </w:rPr>
        <w:t>时同步将该等租赁收入予以剔除。</w:t>
      </w:r>
    </w:p>
    <w:p w14:paraId="70D114EE"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可比公司调整后的</w:t>
      </w:r>
      <w:r w:rsidRPr="00DA3766">
        <w:rPr>
          <w:rFonts w:ascii="Times New Roman" w:hAnsi="Times New Roman" w:cs="Times New Roman"/>
          <w:szCs w:val="22"/>
        </w:rPr>
        <w:t>2024</w:t>
      </w:r>
      <w:r w:rsidRPr="00DA3766">
        <w:rPr>
          <w:rFonts w:ascii="Times New Roman" w:hAnsi="Times New Roman" w:cs="Times New Roman"/>
          <w:szCs w:val="22"/>
        </w:rPr>
        <w:t>年度营业收入如下表所示：</w:t>
      </w:r>
    </w:p>
    <w:p w14:paraId="201CD1BE" w14:textId="77777777" w:rsidR="00EB3B4C" w:rsidRPr="00DA3766" w:rsidRDefault="00EB3B4C" w:rsidP="00EB3B4C">
      <w:pPr>
        <w:spacing w:beforeLines="0" w:before="0" w:afterLines="0" w:after="0" w:line="240" w:lineRule="auto"/>
        <w:ind w:firstLineChars="0" w:firstLine="0"/>
        <w:jc w:val="right"/>
        <w:rPr>
          <w:rFonts w:ascii="Times New Roman" w:hAnsi="Times New Roman" w:cs="Times New Roman"/>
          <w:sz w:val="21"/>
          <w:szCs w:val="20"/>
        </w:rPr>
      </w:pPr>
      <w:r w:rsidRPr="00DA3766">
        <w:rPr>
          <w:rFonts w:ascii="Times New Roman" w:hAnsi="Times New Roman" w:cs="Times New Roman"/>
          <w:sz w:val="21"/>
          <w:szCs w:val="20"/>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751"/>
        <w:gridCol w:w="1494"/>
        <w:gridCol w:w="1642"/>
        <w:gridCol w:w="1641"/>
      </w:tblGrid>
      <w:tr w:rsidR="00EB3B4C" w:rsidRPr="00DA3766" w14:paraId="1565B5E0" w14:textId="77777777" w:rsidTr="00EB72A0">
        <w:trPr>
          <w:trHeight w:val="397"/>
          <w:tblHeader/>
          <w:jc w:val="center"/>
        </w:trPr>
        <w:tc>
          <w:tcPr>
            <w:tcW w:w="2199" w:type="pct"/>
            <w:vAlign w:val="center"/>
          </w:tcPr>
          <w:p w14:paraId="0CA733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付息债务</w:t>
            </w:r>
          </w:p>
        </w:tc>
        <w:tc>
          <w:tcPr>
            <w:tcW w:w="876" w:type="pct"/>
            <w:vAlign w:val="center"/>
          </w:tcPr>
          <w:p w14:paraId="056CA8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63" w:type="pct"/>
            <w:vAlign w:val="center"/>
          </w:tcPr>
          <w:p w14:paraId="3486308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63" w:type="pct"/>
            <w:vAlign w:val="center"/>
          </w:tcPr>
          <w:p w14:paraId="1B0121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30B28E8F" w14:textId="77777777" w:rsidTr="00EB72A0">
        <w:trPr>
          <w:trHeight w:val="397"/>
          <w:jc w:val="center"/>
        </w:trPr>
        <w:tc>
          <w:tcPr>
            <w:tcW w:w="2199" w:type="pct"/>
            <w:vAlign w:val="center"/>
          </w:tcPr>
          <w:p w14:paraId="79FEFE2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营业收入</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年度</w:t>
            </w:r>
          </w:p>
        </w:tc>
        <w:tc>
          <w:tcPr>
            <w:tcW w:w="876" w:type="pct"/>
            <w:vAlign w:val="center"/>
          </w:tcPr>
          <w:p w14:paraId="46683B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61,173.62</w:t>
            </w:r>
          </w:p>
        </w:tc>
        <w:tc>
          <w:tcPr>
            <w:tcW w:w="963" w:type="pct"/>
            <w:vAlign w:val="center"/>
          </w:tcPr>
          <w:p w14:paraId="27B37C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623,962.35</w:t>
            </w:r>
          </w:p>
        </w:tc>
        <w:tc>
          <w:tcPr>
            <w:tcW w:w="963" w:type="pct"/>
            <w:vAlign w:val="center"/>
          </w:tcPr>
          <w:p w14:paraId="2BB743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294,731.99</w:t>
            </w:r>
          </w:p>
        </w:tc>
      </w:tr>
      <w:tr w:rsidR="00EB3B4C" w:rsidRPr="00DA3766" w14:paraId="369C0827" w14:textId="77777777" w:rsidTr="00EB72A0">
        <w:trPr>
          <w:trHeight w:val="397"/>
          <w:jc w:val="center"/>
        </w:trPr>
        <w:tc>
          <w:tcPr>
            <w:tcW w:w="2199" w:type="pct"/>
            <w:vAlign w:val="center"/>
          </w:tcPr>
          <w:p w14:paraId="4D13DCA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剔除：非经营性收入</w:t>
            </w:r>
          </w:p>
        </w:tc>
        <w:tc>
          <w:tcPr>
            <w:tcW w:w="876" w:type="pct"/>
            <w:vAlign w:val="center"/>
          </w:tcPr>
          <w:p w14:paraId="0E0541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963" w:type="pct"/>
            <w:vAlign w:val="center"/>
          </w:tcPr>
          <w:p w14:paraId="7AC19E1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3,674.95</w:t>
            </w:r>
          </w:p>
        </w:tc>
        <w:tc>
          <w:tcPr>
            <w:tcW w:w="963" w:type="pct"/>
            <w:vAlign w:val="center"/>
          </w:tcPr>
          <w:p w14:paraId="70DBAD8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1,345.83</w:t>
            </w:r>
          </w:p>
        </w:tc>
      </w:tr>
      <w:tr w:rsidR="00EB3B4C" w:rsidRPr="00DA3766" w14:paraId="2AD5AF74" w14:textId="77777777" w:rsidTr="00EB72A0">
        <w:trPr>
          <w:trHeight w:val="397"/>
          <w:jc w:val="center"/>
        </w:trPr>
        <w:tc>
          <w:tcPr>
            <w:tcW w:w="2199" w:type="pct"/>
            <w:vAlign w:val="center"/>
          </w:tcPr>
          <w:p w14:paraId="1AF1955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经营性营业收入</w:t>
            </w:r>
            <w:r w:rsidRPr="00DA3766">
              <w:rPr>
                <w:rFonts w:ascii="Times New Roman" w:hAnsi="Times New Roman" w:cs="Times New Roman"/>
                <w:b/>
                <w:bCs/>
                <w:color w:val="000000"/>
                <w:sz w:val="21"/>
              </w:rPr>
              <w:t>-2024</w:t>
            </w:r>
            <w:r w:rsidRPr="00DA3766">
              <w:rPr>
                <w:rFonts w:ascii="Times New Roman" w:hAnsi="Times New Roman" w:cs="Times New Roman"/>
                <w:b/>
                <w:bCs/>
                <w:color w:val="000000"/>
                <w:sz w:val="21"/>
              </w:rPr>
              <w:t>年度</w:t>
            </w:r>
          </w:p>
        </w:tc>
        <w:tc>
          <w:tcPr>
            <w:tcW w:w="876" w:type="pct"/>
            <w:vAlign w:val="center"/>
          </w:tcPr>
          <w:p w14:paraId="40FBD86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61,173.62</w:t>
            </w:r>
          </w:p>
        </w:tc>
        <w:tc>
          <w:tcPr>
            <w:tcW w:w="963" w:type="pct"/>
            <w:vAlign w:val="center"/>
          </w:tcPr>
          <w:p w14:paraId="18AA4D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620,287.40</w:t>
            </w:r>
          </w:p>
        </w:tc>
        <w:tc>
          <w:tcPr>
            <w:tcW w:w="963" w:type="pct"/>
            <w:vAlign w:val="center"/>
          </w:tcPr>
          <w:p w14:paraId="586161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293,386.16</w:t>
            </w:r>
          </w:p>
        </w:tc>
      </w:tr>
    </w:tbl>
    <w:p w14:paraId="770697C4" w14:textId="7C40D691" w:rsidR="00EB72A0" w:rsidRPr="00EB72A0" w:rsidRDefault="00EB72A0" w:rsidP="00EB72A0">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（四）市场法的评估情况及分析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Pr>
          <w:rFonts w:ascii="Times New Roman" w:hAnsi="Times New Roman" w:cs="Times New Roman" w:hint="eastAsia"/>
          <w:kern w:val="2"/>
          <w:szCs w:val="22"/>
        </w:rPr>
        <w:t>3</w:t>
      </w:r>
      <w:r w:rsidRPr="00DA3766">
        <w:rPr>
          <w:rFonts w:ascii="Times New Roman" w:hAnsi="Times New Roman" w:cs="Times New Roman"/>
          <w:kern w:val="2"/>
          <w:szCs w:val="22"/>
        </w:rPr>
        <w:t>、价值比率的</w:t>
      </w:r>
      <w:r w:rsidRPr="00DA3766">
        <w:rPr>
          <w:rFonts w:ascii="Times New Roman" w:hAnsi="Times New Roman" w:cs="Times New Roman"/>
          <w:kern w:val="2"/>
          <w:szCs w:val="22"/>
        </w:rPr>
        <w:lastRenderedPageBreak/>
        <w:t>筛选</w:t>
      </w:r>
      <w:r w:rsidRPr="00DA3766">
        <w:rPr>
          <w:rFonts w:cs="Times New Roman"/>
          <w:kern w:val="2"/>
          <w:szCs w:val="22"/>
        </w:rPr>
        <w:t>”</w:t>
      </w:r>
      <w:r w:rsidRPr="00DA3766">
        <w:rPr>
          <w:rFonts w:ascii="Times New Roman" w:hAnsi="Times New Roman" w:cs="Times New Roman"/>
          <w:kern w:val="2"/>
          <w:szCs w:val="22"/>
        </w:rPr>
        <w:t>补充披露。</w:t>
      </w:r>
    </w:p>
    <w:p w14:paraId="62B8CCA8" w14:textId="5783D170"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四、价值比率修正过程中各维度及对应财务指标选取原因、选取依据及合理性，是否能充分体现不同公司的企业价值之间的核心差异，各可比公司调整后</w:t>
      </w:r>
      <w:r w:rsidRPr="00DA3766">
        <w:rPr>
          <w:rFonts w:ascii="Times New Roman" w:hAnsi="Times New Roman" w:cs="Times New Roman"/>
          <w:b/>
          <w:bCs/>
          <w:szCs w:val="28"/>
        </w:rPr>
        <w:t>EV/S</w:t>
      </w:r>
      <w:r w:rsidRPr="00DA3766">
        <w:rPr>
          <w:rFonts w:ascii="Times New Roman" w:hAnsi="Times New Roman" w:cs="Times New Roman"/>
          <w:b/>
          <w:bCs/>
          <w:szCs w:val="28"/>
        </w:rPr>
        <w:t>指标存在差异的原因及合理性等。</w:t>
      </w:r>
    </w:p>
    <w:p w14:paraId="669028DD"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（一）价值比率修正维度及对应财务指标选取原因、选取依据及和合理性，能够充分体现不同公司的企业价值之间的核心差异</w:t>
      </w:r>
    </w:p>
    <w:p w14:paraId="437C8C56"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、修正体系及对应财务指标的选取依据</w:t>
      </w:r>
    </w:p>
    <w:p w14:paraId="1C20A83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根据《资产评估执业准则</w:t>
      </w:r>
      <w:r w:rsidRPr="00DA3766">
        <w:rPr>
          <w:rFonts w:ascii="Times New Roman" w:hAnsi="Times New Roman" w:cs="Times New Roman"/>
          <w:szCs w:val="22"/>
        </w:rPr>
        <w:t>——</w:t>
      </w:r>
      <w:r w:rsidRPr="00DA3766">
        <w:rPr>
          <w:rFonts w:ascii="Times New Roman" w:hAnsi="Times New Roman" w:cs="Times New Roman"/>
          <w:szCs w:val="22"/>
        </w:rPr>
        <w:t>企业价值》中第三十四条，价值比率通常包括盈利比率、资产比率、收入比率和其他特定比率。在选择、计算、应用价值比率时，应当考虑：（一）选择的价值比率有利于合理确定评估对象的价值；（二）计算价值比率的数据口径及计算方式一致；（三）对可比公司和标的公司间的差异进行合理调整。本次市场法评估按照准则要求，依据标的公司及可比公司所属细分行业的特点，主要从企业规模、成长能力、盈利能力、运营能力、偿债能力、研发能力六个方面对可比企业与标的公司比较，并对价值比率进行修正。选取的修正维度及对应财务指标，选取原因及合理性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5180"/>
      </w:tblGrid>
      <w:tr w:rsidR="00EB3B4C" w:rsidRPr="00DA3766" w14:paraId="1CEEE9F9" w14:textId="77777777" w:rsidTr="00DA3766">
        <w:trPr>
          <w:trHeight w:val="397"/>
          <w:tblHeader/>
          <w:jc w:val="center"/>
        </w:trPr>
        <w:tc>
          <w:tcPr>
            <w:tcW w:w="1963" w:type="pct"/>
            <w:shd w:val="clear" w:color="000000" w:fill="FFFFFF"/>
            <w:tcMar>
              <w:top w:w="0" w:type="dxa"/>
              <w:left w:w="108" w:type="dxa"/>
              <w:bottom w:w="0" w:type="dxa"/>
              <w:right w:w="108" w:type="dxa"/>
            </w:tcMar>
            <w:vAlign w:val="center"/>
          </w:tcPr>
          <w:p w14:paraId="2BE232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修正维度</w:t>
            </w:r>
          </w:p>
        </w:tc>
        <w:tc>
          <w:tcPr>
            <w:tcW w:w="3037" w:type="pct"/>
            <w:shd w:val="clear" w:color="000000" w:fill="FFFFFF"/>
            <w:tcMar>
              <w:top w:w="0" w:type="dxa"/>
              <w:left w:w="108" w:type="dxa"/>
              <w:bottom w:w="0" w:type="dxa"/>
              <w:right w:w="108" w:type="dxa"/>
            </w:tcMar>
            <w:vAlign w:val="center"/>
          </w:tcPr>
          <w:p w14:paraId="1FABCD4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修正指标</w:t>
            </w:r>
          </w:p>
        </w:tc>
      </w:tr>
      <w:tr w:rsidR="00EB3B4C" w:rsidRPr="00DA3766" w14:paraId="49ABAA7F"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1492AC6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企业规模</w:t>
            </w:r>
          </w:p>
        </w:tc>
        <w:tc>
          <w:tcPr>
            <w:tcW w:w="3037" w:type="pct"/>
            <w:shd w:val="clear" w:color="000000" w:fill="FFFFFF"/>
            <w:tcMar>
              <w:top w:w="0" w:type="dxa"/>
              <w:left w:w="108" w:type="dxa"/>
              <w:bottom w:w="0" w:type="dxa"/>
              <w:right w:w="108" w:type="dxa"/>
            </w:tcMar>
            <w:vAlign w:val="center"/>
          </w:tcPr>
          <w:p w14:paraId="59EBE48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资产总额（亿元）</w:t>
            </w:r>
          </w:p>
        </w:tc>
      </w:tr>
      <w:tr w:rsidR="00EB3B4C" w:rsidRPr="00DA3766" w14:paraId="2103E3F7"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59B8A9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成长能力</w:t>
            </w:r>
          </w:p>
        </w:tc>
        <w:tc>
          <w:tcPr>
            <w:tcW w:w="3037" w:type="pct"/>
            <w:shd w:val="clear" w:color="000000" w:fill="FFFFFF"/>
            <w:tcMar>
              <w:top w:w="0" w:type="dxa"/>
              <w:left w:w="108" w:type="dxa"/>
              <w:bottom w:w="0" w:type="dxa"/>
              <w:right w:w="108" w:type="dxa"/>
            </w:tcMar>
            <w:vAlign w:val="center"/>
          </w:tcPr>
          <w:p w14:paraId="1C4F15C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收入复合增长率（</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2998F56F"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2D4D3EB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盈利能力</w:t>
            </w:r>
          </w:p>
        </w:tc>
        <w:tc>
          <w:tcPr>
            <w:tcW w:w="3037" w:type="pct"/>
            <w:shd w:val="clear" w:color="000000" w:fill="FFFFFF"/>
            <w:tcMar>
              <w:top w:w="0" w:type="dxa"/>
              <w:left w:w="108" w:type="dxa"/>
              <w:bottom w:w="0" w:type="dxa"/>
              <w:right w:w="108" w:type="dxa"/>
            </w:tcMar>
            <w:vAlign w:val="center"/>
          </w:tcPr>
          <w:p w14:paraId="076ADC7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EBITDA/Sales</w:t>
            </w:r>
            <w:r w:rsidRPr="00DA3766">
              <w:rPr>
                <w:rFonts w:ascii="Times New Roman" w:hAnsi="Times New Roman" w:cs="Times New Roman"/>
                <w:sz w:val="21"/>
                <w:szCs w:val="21"/>
              </w:rPr>
              <w:t>（</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10A62791"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6C0C773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运营能力</w:t>
            </w:r>
          </w:p>
        </w:tc>
        <w:tc>
          <w:tcPr>
            <w:tcW w:w="3037" w:type="pct"/>
            <w:shd w:val="clear" w:color="000000" w:fill="FFFFFF"/>
            <w:tcMar>
              <w:top w:w="0" w:type="dxa"/>
              <w:left w:w="108" w:type="dxa"/>
              <w:bottom w:w="0" w:type="dxa"/>
              <w:right w:w="108" w:type="dxa"/>
            </w:tcMar>
            <w:vAlign w:val="center"/>
          </w:tcPr>
          <w:p w14:paraId="354770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总资产周转率（次）</w:t>
            </w:r>
          </w:p>
        </w:tc>
      </w:tr>
      <w:tr w:rsidR="00EB3B4C" w:rsidRPr="00DA3766" w14:paraId="7920577A"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51489D4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偿债能力</w:t>
            </w:r>
          </w:p>
        </w:tc>
        <w:tc>
          <w:tcPr>
            <w:tcW w:w="3037" w:type="pct"/>
            <w:shd w:val="clear" w:color="000000" w:fill="FFFFFF"/>
            <w:tcMar>
              <w:top w:w="0" w:type="dxa"/>
              <w:left w:w="108" w:type="dxa"/>
              <w:bottom w:w="0" w:type="dxa"/>
              <w:right w:w="108" w:type="dxa"/>
            </w:tcMar>
            <w:vAlign w:val="center"/>
          </w:tcPr>
          <w:p w14:paraId="69C657B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资产负债率（</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7B87A1D5"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68C8EC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研发能力</w:t>
            </w:r>
          </w:p>
        </w:tc>
        <w:tc>
          <w:tcPr>
            <w:tcW w:w="3037" w:type="pct"/>
            <w:shd w:val="clear" w:color="000000" w:fill="FFFFFF"/>
            <w:tcMar>
              <w:top w:w="0" w:type="dxa"/>
              <w:left w:w="108" w:type="dxa"/>
              <w:bottom w:w="0" w:type="dxa"/>
              <w:right w:w="108" w:type="dxa"/>
            </w:tcMar>
            <w:vAlign w:val="center"/>
          </w:tcPr>
          <w:p w14:paraId="7F264DE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研发投入占比（</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bl>
    <w:p w14:paraId="1D585F9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）企业规模修正</w:t>
      </w:r>
    </w:p>
    <w:p w14:paraId="6257FD6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企业规模是企业资产体量的大小，一般来说体量越大，整体市值越高。故本次按照总资产规模进行修正。总资产规模的修正是正向的，即总资产规模越大，则向上修正；反之则向下修正。</w:t>
      </w:r>
    </w:p>
    <w:p w14:paraId="64A0E7D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）成长能力修正</w:t>
      </w:r>
    </w:p>
    <w:p w14:paraId="0BEB8013" w14:textId="77777777" w:rsidR="00EB3B4C" w:rsidRPr="00DA3766" w:rsidRDefault="00EB3B4C" w:rsidP="001076ED">
      <w:pPr>
        <w:pStyle w:val="005"/>
        <w:spacing w:before="120" w:after="120"/>
        <w:ind w:firstLine="480"/>
      </w:pPr>
      <w:r w:rsidRPr="00DA3766">
        <w:t>成长能力是衡量企业未来发展的能力，一般来说成长速度越快，整体市值越</w:t>
      </w:r>
      <w:r w:rsidRPr="00DA3766">
        <w:lastRenderedPageBreak/>
        <w:t>高。成长能力指标包括营业收入增长率，净利润增长率等。收入复合增长率的修正是正向的，即收入复合增长率越高，则向上修正；反之则向下修正。</w:t>
      </w:r>
    </w:p>
    <w:p w14:paraId="649CFF44"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3</w:t>
      </w:r>
      <w:r w:rsidRPr="00DA3766">
        <w:rPr>
          <w:rFonts w:ascii="Times New Roman" w:hAnsi="Times New Roman" w:cs="Times New Roman"/>
          <w:szCs w:val="22"/>
        </w:rPr>
        <w:t>）盈利能力修正</w:t>
      </w:r>
    </w:p>
    <w:p w14:paraId="75F9AD8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盈利能力是指企业获取利润的能力，也称为企业的资金或资本增值能力，通常表现为一定时期内企业收益数额的多少及其水平的高低。本次评估选用剔除折旧摊销的息税前利润占收入比率指标进行修正。该指标的修正是正向的，即剔除折旧摊销的息税前利润占收入比率越大，则向上修正，反之则向下修正。</w:t>
      </w:r>
    </w:p>
    <w:p w14:paraId="06837F2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4</w:t>
      </w:r>
      <w:r w:rsidRPr="00DA3766">
        <w:rPr>
          <w:rFonts w:ascii="Times New Roman" w:hAnsi="Times New Roman" w:cs="Times New Roman"/>
          <w:szCs w:val="22"/>
        </w:rPr>
        <w:t>）运营能力修正</w:t>
      </w:r>
    </w:p>
    <w:p w14:paraId="7DB26E2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运营能力是指企业基于外部市场环境的约束，通过内部人力资源和生产资料的配置组合而对财务目标实现所产生作用的大小。本次评估选取总资产周转率作为可比指标进行修正。企业资产周转越快，流动性越高，资产获取利润的速度就越快。</w:t>
      </w:r>
    </w:p>
    <w:p w14:paraId="4138F70E"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5</w:t>
      </w:r>
      <w:r w:rsidRPr="00DA3766">
        <w:rPr>
          <w:rFonts w:ascii="Times New Roman" w:hAnsi="Times New Roman" w:cs="Times New Roman"/>
          <w:szCs w:val="22"/>
        </w:rPr>
        <w:t>）偿债能力修正</w:t>
      </w:r>
    </w:p>
    <w:p w14:paraId="416ABE1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企业的偿债能力是指企业用其资产偿还长期债务与短期债务的能力，是企业能否健康生存和发展的关键，反映企业财务状况和经营风险的重要标志。本次评估选取资产负债率进行修正。资产负债率修正的方向是反向的，即资产负债率越低，代表企业经营风险越小，则向上修正；反之则向下修正。</w:t>
      </w:r>
    </w:p>
    <w:p w14:paraId="370C12D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6</w:t>
      </w:r>
      <w:r w:rsidRPr="00DA3766">
        <w:rPr>
          <w:rFonts w:ascii="Times New Roman" w:hAnsi="Times New Roman" w:cs="Times New Roman"/>
          <w:szCs w:val="22"/>
        </w:rPr>
        <w:t>）研发能力修正</w:t>
      </w:r>
    </w:p>
    <w:p w14:paraId="653B6D5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企业的研发能力是衡量企业在对于其产品或者服务的研发中，投入费用的规模水平的指标，采用研发费用占收入比率进行衡量。研发费用率的修正是正向的，即研发费用率高，则向上修正；反之则向下修正。</w:t>
      </w:r>
    </w:p>
    <w:p w14:paraId="33DE7507"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、修正体系及其修正指标的选取符合行业惯例</w:t>
      </w:r>
    </w:p>
    <w:p w14:paraId="783C5FE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经公开检索，本次评估参考了</w:t>
      </w:r>
      <w:r w:rsidRPr="00DA3766">
        <w:rPr>
          <w:rFonts w:ascii="Times New Roman" w:hAnsi="Times New Roman" w:cs="Times New Roman"/>
          <w:szCs w:val="22"/>
        </w:rPr>
        <w:t>2020</w:t>
      </w:r>
      <w:r w:rsidRPr="00DA3766">
        <w:rPr>
          <w:rFonts w:ascii="Times New Roman" w:hAnsi="Times New Roman" w:cs="Times New Roman"/>
          <w:szCs w:val="22"/>
        </w:rPr>
        <w:t>年以来已过会或正处于审核阶段、采用市场法进行评估的交易案例所选用的修正维度，具体情况如下：</w:t>
      </w:r>
    </w:p>
    <w:tbl>
      <w:tblPr>
        <w:tblW w:w="65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
        <w:gridCol w:w="1844"/>
        <w:gridCol w:w="1846"/>
        <w:gridCol w:w="1176"/>
        <w:gridCol w:w="1275"/>
        <w:gridCol w:w="1169"/>
        <w:gridCol w:w="2066"/>
        <w:gridCol w:w="906"/>
      </w:tblGrid>
      <w:tr w:rsidR="00EB3B4C" w:rsidRPr="00DA3766" w14:paraId="103EE3E0" w14:textId="77777777" w:rsidTr="001076ED">
        <w:trPr>
          <w:trHeight w:val="397"/>
          <w:tblHeader/>
          <w:jc w:val="center"/>
        </w:trPr>
        <w:tc>
          <w:tcPr>
            <w:tcW w:w="427" w:type="pct"/>
            <w:vAlign w:val="center"/>
          </w:tcPr>
          <w:p w14:paraId="48F7DF5A" w14:textId="77777777" w:rsidR="001076ED"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股票</w:t>
            </w:r>
          </w:p>
          <w:p w14:paraId="3F377935" w14:textId="68405DA7" w:rsidR="00EB3B4C" w:rsidRPr="00DA3766"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代码</w:t>
            </w:r>
          </w:p>
        </w:tc>
        <w:tc>
          <w:tcPr>
            <w:tcW w:w="820" w:type="pct"/>
            <w:vAlign w:val="center"/>
          </w:tcPr>
          <w:p w14:paraId="4E31B5E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上市公司</w:t>
            </w:r>
          </w:p>
        </w:tc>
        <w:tc>
          <w:tcPr>
            <w:tcW w:w="821" w:type="pct"/>
            <w:vAlign w:val="center"/>
          </w:tcPr>
          <w:p w14:paraId="641C3B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评估标的</w:t>
            </w:r>
          </w:p>
        </w:tc>
        <w:tc>
          <w:tcPr>
            <w:tcW w:w="523" w:type="pct"/>
            <w:vAlign w:val="center"/>
          </w:tcPr>
          <w:p w14:paraId="2A35D6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评估标的所处行业</w:t>
            </w:r>
          </w:p>
        </w:tc>
        <w:tc>
          <w:tcPr>
            <w:tcW w:w="567" w:type="pct"/>
            <w:vAlign w:val="center"/>
          </w:tcPr>
          <w:p w14:paraId="6E7620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评估基准日</w:t>
            </w:r>
          </w:p>
        </w:tc>
        <w:tc>
          <w:tcPr>
            <w:tcW w:w="520" w:type="pct"/>
            <w:vAlign w:val="center"/>
          </w:tcPr>
          <w:p w14:paraId="44C960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修正维度</w:t>
            </w:r>
          </w:p>
        </w:tc>
        <w:tc>
          <w:tcPr>
            <w:tcW w:w="919" w:type="pct"/>
            <w:vAlign w:val="center"/>
          </w:tcPr>
          <w:p w14:paraId="7C78E0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修正指标</w:t>
            </w:r>
          </w:p>
        </w:tc>
        <w:tc>
          <w:tcPr>
            <w:tcW w:w="403" w:type="pct"/>
            <w:vAlign w:val="center"/>
          </w:tcPr>
          <w:p w14:paraId="4437157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交易案例进度</w:t>
            </w:r>
          </w:p>
        </w:tc>
      </w:tr>
      <w:tr w:rsidR="00EB3B4C" w:rsidRPr="00DA3766" w14:paraId="710BBEF8" w14:textId="77777777" w:rsidTr="001076ED">
        <w:trPr>
          <w:trHeight w:val="397"/>
          <w:jc w:val="center"/>
        </w:trPr>
        <w:tc>
          <w:tcPr>
            <w:tcW w:w="427" w:type="pct"/>
            <w:vAlign w:val="center"/>
          </w:tcPr>
          <w:p w14:paraId="57B8CEF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300701</w:t>
            </w:r>
          </w:p>
        </w:tc>
        <w:tc>
          <w:tcPr>
            <w:tcW w:w="820" w:type="pct"/>
            <w:vAlign w:val="center"/>
          </w:tcPr>
          <w:p w14:paraId="67E86AE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森霸传感科技股份有限公司</w:t>
            </w:r>
          </w:p>
        </w:tc>
        <w:tc>
          <w:tcPr>
            <w:tcW w:w="821" w:type="pct"/>
            <w:vAlign w:val="center"/>
          </w:tcPr>
          <w:p w14:paraId="5A597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无锡格林通安全装备有限公司</w:t>
            </w:r>
          </w:p>
        </w:tc>
        <w:tc>
          <w:tcPr>
            <w:tcW w:w="523" w:type="pct"/>
            <w:vAlign w:val="center"/>
          </w:tcPr>
          <w:p w14:paraId="353D1A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安全监测产品提供</w:t>
            </w:r>
            <w:r w:rsidRPr="00DA3766">
              <w:rPr>
                <w:rFonts w:ascii="Times New Roman" w:hAnsi="Times New Roman" w:cs="Times New Roman"/>
                <w:color w:val="000000"/>
                <w:sz w:val="21"/>
                <w:szCs w:val="18"/>
              </w:rPr>
              <w:lastRenderedPageBreak/>
              <w:t>商</w:t>
            </w:r>
          </w:p>
        </w:tc>
        <w:tc>
          <w:tcPr>
            <w:tcW w:w="567" w:type="pct"/>
            <w:vAlign w:val="center"/>
          </w:tcPr>
          <w:p w14:paraId="0430E8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2023/2/28</w:t>
            </w:r>
          </w:p>
        </w:tc>
        <w:tc>
          <w:tcPr>
            <w:tcW w:w="520" w:type="pct"/>
            <w:vAlign w:val="center"/>
          </w:tcPr>
          <w:p w14:paraId="635E9A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营业规模、盈利能力、</w:t>
            </w:r>
            <w:r w:rsidRPr="00DA3766">
              <w:rPr>
                <w:rFonts w:ascii="Times New Roman" w:hAnsi="Times New Roman" w:cs="Times New Roman"/>
                <w:color w:val="000000"/>
                <w:sz w:val="21"/>
                <w:szCs w:val="18"/>
              </w:rPr>
              <w:lastRenderedPageBreak/>
              <w:t>发展能力、其他因素</w:t>
            </w:r>
          </w:p>
        </w:tc>
        <w:tc>
          <w:tcPr>
            <w:tcW w:w="919" w:type="pct"/>
            <w:vAlign w:val="center"/>
          </w:tcPr>
          <w:p w14:paraId="3F6BE7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总资产、资产负债率、营业收入、最近</w:t>
            </w:r>
            <w:r w:rsidRPr="00DA3766">
              <w:rPr>
                <w:rFonts w:ascii="Times New Roman" w:hAnsi="Times New Roman" w:cs="Times New Roman"/>
                <w:color w:val="000000"/>
                <w:sz w:val="21"/>
                <w:szCs w:val="18"/>
              </w:rPr>
              <w:lastRenderedPageBreak/>
              <w:t>一年销售净利率、最近一年销售毛利率、调整后净资产收益率、账面营业收入两年几何平均增长率、账面净资产两年平均增长率、业务范围、品牌知名度、业务种类</w:t>
            </w:r>
          </w:p>
        </w:tc>
        <w:tc>
          <w:tcPr>
            <w:tcW w:w="403" w:type="pct"/>
            <w:vAlign w:val="center"/>
          </w:tcPr>
          <w:p w14:paraId="29AD1B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已过会</w:t>
            </w:r>
          </w:p>
        </w:tc>
      </w:tr>
      <w:tr w:rsidR="00EB3B4C" w:rsidRPr="00DA3766" w14:paraId="1D5BB27D" w14:textId="77777777" w:rsidTr="001076ED">
        <w:trPr>
          <w:trHeight w:val="397"/>
          <w:jc w:val="center"/>
        </w:trPr>
        <w:tc>
          <w:tcPr>
            <w:tcW w:w="427" w:type="pct"/>
            <w:vAlign w:val="center"/>
          </w:tcPr>
          <w:p w14:paraId="6AAA2B59"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300757</w:t>
            </w:r>
          </w:p>
        </w:tc>
        <w:tc>
          <w:tcPr>
            <w:tcW w:w="820" w:type="pct"/>
            <w:vAlign w:val="center"/>
          </w:tcPr>
          <w:p w14:paraId="1D4DEDE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罗博特科智能科技股份有限公司</w:t>
            </w:r>
          </w:p>
        </w:tc>
        <w:tc>
          <w:tcPr>
            <w:tcW w:w="821" w:type="pct"/>
            <w:vAlign w:val="center"/>
          </w:tcPr>
          <w:p w14:paraId="51AC27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ficonTECServiceGmbH</w:t>
            </w:r>
            <w:r w:rsidRPr="00DA3766">
              <w:rPr>
                <w:rFonts w:ascii="Times New Roman" w:hAnsi="Times New Roman" w:cs="Times New Roman"/>
                <w:color w:val="000000"/>
                <w:sz w:val="21"/>
                <w:szCs w:val="18"/>
              </w:rPr>
              <w:t>及</w:t>
            </w:r>
            <w:r w:rsidRPr="00DA3766">
              <w:rPr>
                <w:rFonts w:ascii="Times New Roman" w:hAnsi="Times New Roman" w:cs="Times New Roman"/>
                <w:color w:val="000000"/>
                <w:sz w:val="21"/>
                <w:szCs w:val="18"/>
              </w:rPr>
              <w:t>ficonTECAutomationGmbH</w:t>
            </w:r>
          </w:p>
        </w:tc>
        <w:tc>
          <w:tcPr>
            <w:tcW w:w="523" w:type="pct"/>
            <w:vAlign w:val="center"/>
          </w:tcPr>
          <w:p w14:paraId="547949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半导体自动化微组装及精密测试设备</w:t>
            </w:r>
          </w:p>
        </w:tc>
        <w:tc>
          <w:tcPr>
            <w:tcW w:w="567" w:type="pct"/>
            <w:vAlign w:val="center"/>
          </w:tcPr>
          <w:p w14:paraId="4C091A9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2023/4/30</w:t>
            </w:r>
          </w:p>
        </w:tc>
        <w:tc>
          <w:tcPr>
            <w:tcW w:w="520" w:type="pct"/>
            <w:vAlign w:val="center"/>
          </w:tcPr>
          <w:p w14:paraId="144E12E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营业规模、盈利能力、发展能力、其他因素</w:t>
            </w:r>
          </w:p>
        </w:tc>
        <w:tc>
          <w:tcPr>
            <w:tcW w:w="919" w:type="pct"/>
            <w:vAlign w:val="center"/>
          </w:tcPr>
          <w:p w14:paraId="123838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最近一年营业收入、最近一年净资产、最近一年总资产、最近一年调整后税前利润、最近一年销售毛利率、调整后净资产收益率、账面营业收入近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年增长率、调整后净利润近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年增长率、账面净资产近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年增长率、业务类型、市场潜力、其他</w:t>
            </w:r>
          </w:p>
        </w:tc>
        <w:tc>
          <w:tcPr>
            <w:tcW w:w="403" w:type="pct"/>
            <w:vAlign w:val="center"/>
          </w:tcPr>
          <w:p w14:paraId="11D7C2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51FD299E" w14:textId="77777777" w:rsidTr="001076ED">
        <w:trPr>
          <w:trHeight w:val="397"/>
          <w:jc w:val="center"/>
        </w:trPr>
        <w:tc>
          <w:tcPr>
            <w:tcW w:w="427" w:type="pct"/>
            <w:vAlign w:val="center"/>
          </w:tcPr>
          <w:p w14:paraId="61DB383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688536</w:t>
            </w:r>
          </w:p>
        </w:tc>
        <w:tc>
          <w:tcPr>
            <w:tcW w:w="820" w:type="pct"/>
            <w:vAlign w:val="center"/>
          </w:tcPr>
          <w:p w14:paraId="320818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思瑞浦微电子科技（苏州）股份有限公司</w:t>
            </w:r>
          </w:p>
        </w:tc>
        <w:tc>
          <w:tcPr>
            <w:tcW w:w="821" w:type="pct"/>
            <w:vAlign w:val="center"/>
          </w:tcPr>
          <w:p w14:paraId="7B90946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深圳市创芯微微电子有限公司</w:t>
            </w:r>
          </w:p>
        </w:tc>
        <w:tc>
          <w:tcPr>
            <w:tcW w:w="523" w:type="pct"/>
            <w:vAlign w:val="center"/>
          </w:tcPr>
          <w:p w14:paraId="749A04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芯片研发及销售</w:t>
            </w:r>
          </w:p>
        </w:tc>
        <w:tc>
          <w:tcPr>
            <w:tcW w:w="567" w:type="pct"/>
            <w:vAlign w:val="center"/>
          </w:tcPr>
          <w:p w14:paraId="53B69D6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2023/9/30</w:t>
            </w:r>
          </w:p>
        </w:tc>
        <w:tc>
          <w:tcPr>
            <w:tcW w:w="520" w:type="pct"/>
            <w:vAlign w:val="center"/>
          </w:tcPr>
          <w:p w14:paraId="1FC1B1D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64D15AA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4E8EA9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6BA4EB8B" w14:textId="77777777" w:rsidTr="001076ED">
        <w:trPr>
          <w:trHeight w:val="397"/>
          <w:jc w:val="center"/>
        </w:trPr>
        <w:tc>
          <w:tcPr>
            <w:tcW w:w="427" w:type="pct"/>
            <w:vAlign w:val="center"/>
          </w:tcPr>
          <w:p w14:paraId="78327F6A"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603358</w:t>
            </w:r>
          </w:p>
        </w:tc>
        <w:tc>
          <w:tcPr>
            <w:tcW w:w="820" w:type="pct"/>
            <w:vAlign w:val="center"/>
          </w:tcPr>
          <w:p w14:paraId="444F10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华达汽车科技股份有限公司</w:t>
            </w:r>
          </w:p>
        </w:tc>
        <w:tc>
          <w:tcPr>
            <w:tcW w:w="821" w:type="pct"/>
            <w:vAlign w:val="center"/>
          </w:tcPr>
          <w:p w14:paraId="284175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江苏恒义工业技术有限公司</w:t>
            </w:r>
          </w:p>
        </w:tc>
        <w:tc>
          <w:tcPr>
            <w:tcW w:w="523" w:type="pct"/>
            <w:vAlign w:val="center"/>
          </w:tcPr>
          <w:p w14:paraId="7255F47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新能源汽车电池系统零部件</w:t>
            </w:r>
          </w:p>
        </w:tc>
        <w:tc>
          <w:tcPr>
            <w:tcW w:w="567" w:type="pct"/>
            <w:vAlign w:val="center"/>
          </w:tcPr>
          <w:p w14:paraId="668F69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2023/10/31</w:t>
            </w:r>
          </w:p>
        </w:tc>
        <w:tc>
          <w:tcPr>
            <w:tcW w:w="520" w:type="pct"/>
            <w:vAlign w:val="center"/>
          </w:tcPr>
          <w:p w14:paraId="26D87E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盈利能力、成长能力、营运能力、偿债能力、研发投入能力</w:t>
            </w:r>
          </w:p>
        </w:tc>
        <w:tc>
          <w:tcPr>
            <w:tcW w:w="919" w:type="pct"/>
            <w:vAlign w:val="center"/>
          </w:tcPr>
          <w:p w14:paraId="5A66E0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净资产收益率、成本费用利润率、净利润预期增长率、营运资本周转次数、流动比率、资产负债率、研发费用占营业收入的比率</w:t>
            </w:r>
          </w:p>
        </w:tc>
        <w:tc>
          <w:tcPr>
            <w:tcW w:w="403" w:type="pct"/>
            <w:vAlign w:val="center"/>
          </w:tcPr>
          <w:p w14:paraId="37B9BD6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31EEDD84" w14:textId="77777777" w:rsidTr="001076ED">
        <w:trPr>
          <w:trHeight w:val="397"/>
          <w:jc w:val="center"/>
        </w:trPr>
        <w:tc>
          <w:tcPr>
            <w:tcW w:w="427" w:type="pct"/>
            <w:vAlign w:val="center"/>
          </w:tcPr>
          <w:p w14:paraId="30ED1162"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603031</w:t>
            </w:r>
          </w:p>
        </w:tc>
        <w:tc>
          <w:tcPr>
            <w:tcW w:w="820" w:type="pct"/>
            <w:vAlign w:val="center"/>
          </w:tcPr>
          <w:p w14:paraId="11C0A7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安徽安孚电池科技股份有限公司</w:t>
            </w:r>
          </w:p>
        </w:tc>
        <w:tc>
          <w:tcPr>
            <w:tcW w:w="821" w:type="pct"/>
            <w:vAlign w:val="center"/>
          </w:tcPr>
          <w:p w14:paraId="26D3B95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安徽安孚能源科技有限公司下属公司宁波亚锦电子科技股份有限公司</w:t>
            </w:r>
          </w:p>
        </w:tc>
        <w:tc>
          <w:tcPr>
            <w:tcW w:w="523" w:type="pct"/>
            <w:vAlign w:val="center"/>
          </w:tcPr>
          <w:p w14:paraId="237B03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电池（消费品制造业）</w:t>
            </w:r>
          </w:p>
        </w:tc>
        <w:tc>
          <w:tcPr>
            <w:tcW w:w="567" w:type="pct"/>
            <w:vAlign w:val="center"/>
          </w:tcPr>
          <w:p w14:paraId="41338A0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2023/12/31</w:t>
            </w:r>
          </w:p>
        </w:tc>
        <w:tc>
          <w:tcPr>
            <w:tcW w:w="520" w:type="pct"/>
            <w:vAlign w:val="center"/>
          </w:tcPr>
          <w:p w14:paraId="714369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规模、盈利能力、偿付能力、营运能力、发展能力</w:t>
            </w:r>
          </w:p>
        </w:tc>
        <w:tc>
          <w:tcPr>
            <w:tcW w:w="919" w:type="pct"/>
            <w:vAlign w:val="center"/>
          </w:tcPr>
          <w:p w14:paraId="424400E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资产总额、营业总收入、净资产收益率、总资产报酬率、资产负债率、总资产周转率、存货周转率、营业收入增长率、总资产增长率</w:t>
            </w:r>
          </w:p>
        </w:tc>
        <w:tc>
          <w:tcPr>
            <w:tcW w:w="403" w:type="pct"/>
            <w:vAlign w:val="center"/>
          </w:tcPr>
          <w:p w14:paraId="45E309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56D91691" w14:textId="77777777" w:rsidTr="001076ED">
        <w:trPr>
          <w:trHeight w:val="397"/>
          <w:jc w:val="center"/>
        </w:trPr>
        <w:tc>
          <w:tcPr>
            <w:tcW w:w="427" w:type="pct"/>
            <w:vAlign w:val="center"/>
          </w:tcPr>
          <w:p w14:paraId="33B4EF2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000599</w:t>
            </w:r>
          </w:p>
        </w:tc>
        <w:tc>
          <w:tcPr>
            <w:tcW w:w="820" w:type="pct"/>
            <w:vAlign w:val="center"/>
          </w:tcPr>
          <w:p w14:paraId="3F46F7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青岛双星股份有限公司</w:t>
            </w:r>
          </w:p>
        </w:tc>
        <w:tc>
          <w:tcPr>
            <w:tcW w:w="821" w:type="pct"/>
            <w:vAlign w:val="center"/>
          </w:tcPr>
          <w:p w14:paraId="20A1C2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青岛星微国际投资有限公司下属企业持有的锦湖轮胎株式会社</w:t>
            </w:r>
          </w:p>
        </w:tc>
        <w:tc>
          <w:tcPr>
            <w:tcW w:w="523" w:type="pct"/>
            <w:vAlign w:val="center"/>
          </w:tcPr>
          <w:p w14:paraId="78BF955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轮胎产品</w:t>
            </w:r>
          </w:p>
        </w:tc>
        <w:tc>
          <w:tcPr>
            <w:tcW w:w="567" w:type="pct"/>
            <w:vAlign w:val="center"/>
          </w:tcPr>
          <w:p w14:paraId="68D076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2023/12/31</w:t>
            </w:r>
          </w:p>
        </w:tc>
        <w:tc>
          <w:tcPr>
            <w:tcW w:w="520" w:type="pct"/>
            <w:vAlign w:val="center"/>
          </w:tcPr>
          <w:p w14:paraId="206B8F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盈利能力、债务风险、营运能力、企业规模、其他因素</w:t>
            </w:r>
          </w:p>
        </w:tc>
        <w:tc>
          <w:tcPr>
            <w:tcW w:w="919" w:type="pct"/>
            <w:vAlign w:val="center"/>
          </w:tcPr>
          <w:p w14:paraId="59704E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净资产收益率</w:t>
            </w:r>
            <w:r w:rsidRPr="00DA3766">
              <w:rPr>
                <w:rFonts w:ascii="Times New Roman" w:hAnsi="Times New Roman" w:cs="Times New Roman"/>
                <w:color w:val="000000"/>
                <w:sz w:val="21"/>
                <w:szCs w:val="18"/>
              </w:rPr>
              <w:t>ROE</w:t>
            </w:r>
            <w:r w:rsidRPr="00DA3766">
              <w:rPr>
                <w:rFonts w:ascii="Times New Roman" w:hAnsi="Times New Roman" w:cs="Times New Roman"/>
                <w:color w:val="000000"/>
                <w:sz w:val="21"/>
                <w:szCs w:val="18"/>
              </w:rPr>
              <w:t>、销售毛利率、销售净利润、资产负债率、流动比率、速动比率、存货周转率、应收账款周转率、营业周期、总资产、归属于母公司所有者权益、营业总收入、归属于母公司股东的</w:t>
            </w:r>
            <w:r w:rsidRPr="00DA3766">
              <w:rPr>
                <w:rFonts w:ascii="Times New Roman" w:hAnsi="Times New Roman" w:cs="Times New Roman"/>
                <w:color w:val="000000"/>
                <w:sz w:val="21"/>
                <w:szCs w:val="18"/>
              </w:rPr>
              <w:lastRenderedPageBreak/>
              <w:t>近利润、行业排名、出口市场占比、国家主权信用评级）</w:t>
            </w:r>
          </w:p>
        </w:tc>
        <w:tc>
          <w:tcPr>
            <w:tcW w:w="403" w:type="pct"/>
            <w:vAlign w:val="center"/>
          </w:tcPr>
          <w:p w14:paraId="448FAC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审核中</w:t>
            </w:r>
          </w:p>
        </w:tc>
      </w:tr>
      <w:tr w:rsidR="00EB3B4C" w:rsidRPr="00DA3766" w14:paraId="270E59FE" w14:textId="77777777" w:rsidTr="001076ED">
        <w:trPr>
          <w:trHeight w:val="397"/>
          <w:jc w:val="center"/>
        </w:trPr>
        <w:tc>
          <w:tcPr>
            <w:tcW w:w="427" w:type="pct"/>
            <w:vAlign w:val="center"/>
          </w:tcPr>
          <w:p w14:paraId="6143ACBD"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688085</w:t>
            </w:r>
          </w:p>
        </w:tc>
        <w:tc>
          <w:tcPr>
            <w:tcW w:w="820" w:type="pct"/>
            <w:vAlign w:val="center"/>
          </w:tcPr>
          <w:p w14:paraId="7C46B6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上海三友医疗器械股份有限公司</w:t>
            </w:r>
          </w:p>
        </w:tc>
        <w:tc>
          <w:tcPr>
            <w:tcW w:w="821" w:type="pct"/>
            <w:vAlign w:val="center"/>
          </w:tcPr>
          <w:p w14:paraId="3FCED0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北京水木天蓬医疗技术有限公司</w:t>
            </w:r>
          </w:p>
        </w:tc>
        <w:tc>
          <w:tcPr>
            <w:tcW w:w="523" w:type="pct"/>
            <w:vAlign w:val="center"/>
          </w:tcPr>
          <w:p w14:paraId="7C17DF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超声外科手术设备及耗材</w:t>
            </w:r>
          </w:p>
        </w:tc>
        <w:tc>
          <w:tcPr>
            <w:tcW w:w="567" w:type="pct"/>
            <w:vAlign w:val="center"/>
          </w:tcPr>
          <w:p w14:paraId="3ADB5B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2024/4/30</w:t>
            </w:r>
          </w:p>
        </w:tc>
        <w:tc>
          <w:tcPr>
            <w:tcW w:w="520" w:type="pct"/>
            <w:vAlign w:val="center"/>
          </w:tcPr>
          <w:p w14:paraId="0C516C8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交易时间因素、市场因素、营业规模、盈利能力、发展能力、其他因素</w:t>
            </w:r>
          </w:p>
        </w:tc>
        <w:tc>
          <w:tcPr>
            <w:tcW w:w="919" w:type="pct"/>
            <w:vAlign w:val="center"/>
          </w:tcPr>
          <w:p w14:paraId="2ABC5D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差异、市场差异、总资产、资产负债率、营业收入、最近一年调整后的销售净利率、最近一年销售毛利率、调整后的净资产收益率、账面营业收入两年几何平均增长率、调整后净利润两年几何平均增长率、调整后净资产两年几何平均增长率、业务范围、品牌知名度、业务种类、其他</w:t>
            </w:r>
          </w:p>
        </w:tc>
        <w:tc>
          <w:tcPr>
            <w:tcW w:w="403" w:type="pct"/>
            <w:vAlign w:val="center"/>
          </w:tcPr>
          <w:p w14:paraId="174E047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18A2FD20" w14:textId="77777777" w:rsidTr="001076ED">
        <w:trPr>
          <w:trHeight w:val="397"/>
          <w:jc w:val="center"/>
        </w:trPr>
        <w:tc>
          <w:tcPr>
            <w:tcW w:w="427" w:type="pct"/>
            <w:vAlign w:val="center"/>
          </w:tcPr>
          <w:p w14:paraId="6C9F3C6A"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603991</w:t>
            </w:r>
          </w:p>
        </w:tc>
        <w:tc>
          <w:tcPr>
            <w:tcW w:w="820" w:type="pct"/>
            <w:vAlign w:val="center"/>
          </w:tcPr>
          <w:p w14:paraId="33DD91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深圳至正高分子材料股份有限公司</w:t>
            </w:r>
          </w:p>
        </w:tc>
        <w:tc>
          <w:tcPr>
            <w:tcW w:w="821" w:type="pct"/>
            <w:vAlign w:val="center"/>
          </w:tcPr>
          <w:p w14:paraId="56319F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先进封装材料国际有限公司</w:t>
            </w:r>
          </w:p>
        </w:tc>
        <w:tc>
          <w:tcPr>
            <w:tcW w:w="523" w:type="pct"/>
            <w:vAlign w:val="center"/>
          </w:tcPr>
          <w:p w14:paraId="48C997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引线框架产品</w:t>
            </w:r>
          </w:p>
        </w:tc>
        <w:tc>
          <w:tcPr>
            <w:tcW w:w="567" w:type="pct"/>
            <w:vAlign w:val="center"/>
          </w:tcPr>
          <w:p w14:paraId="78CA0AD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2024/9/30</w:t>
            </w:r>
          </w:p>
        </w:tc>
        <w:tc>
          <w:tcPr>
            <w:tcW w:w="520" w:type="pct"/>
            <w:vAlign w:val="center"/>
          </w:tcPr>
          <w:p w14:paraId="7A0FE6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4F0F6B4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1D9282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BCA4A31" w14:textId="77777777" w:rsidTr="001076ED">
        <w:trPr>
          <w:trHeight w:val="397"/>
          <w:jc w:val="center"/>
        </w:trPr>
        <w:tc>
          <w:tcPr>
            <w:tcW w:w="427" w:type="pct"/>
            <w:vAlign w:val="center"/>
          </w:tcPr>
          <w:p w14:paraId="3FD5607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301297</w:t>
            </w:r>
          </w:p>
        </w:tc>
        <w:tc>
          <w:tcPr>
            <w:tcW w:w="820" w:type="pct"/>
            <w:vAlign w:val="center"/>
          </w:tcPr>
          <w:p w14:paraId="77E24C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安徽富乐德科技发展股份有限公司</w:t>
            </w:r>
          </w:p>
        </w:tc>
        <w:tc>
          <w:tcPr>
            <w:tcW w:w="821" w:type="pct"/>
            <w:vAlign w:val="center"/>
          </w:tcPr>
          <w:p w14:paraId="3F964A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江苏富乐华半导体科技股份有限公司</w:t>
            </w:r>
          </w:p>
        </w:tc>
        <w:tc>
          <w:tcPr>
            <w:tcW w:w="523" w:type="pct"/>
            <w:vAlign w:val="center"/>
          </w:tcPr>
          <w:p w14:paraId="03B29F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功率半导体覆铜陶瓷载板</w:t>
            </w:r>
          </w:p>
        </w:tc>
        <w:tc>
          <w:tcPr>
            <w:tcW w:w="567" w:type="pct"/>
            <w:vAlign w:val="center"/>
          </w:tcPr>
          <w:p w14:paraId="769DD2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2024/9/30</w:t>
            </w:r>
          </w:p>
        </w:tc>
        <w:tc>
          <w:tcPr>
            <w:tcW w:w="520" w:type="pct"/>
            <w:vAlign w:val="center"/>
          </w:tcPr>
          <w:p w14:paraId="1F942E8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交易日期、交易情况、发展阶段、经营规模、偿债能力、营运能力、盈利能力、研发投入</w:t>
            </w:r>
          </w:p>
        </w:tc>
        <w:tc>
          <w:tcPr>
            <w:tcW w:w="919" w:type="pct"/>
            <w:vAlign w:val="center"/>
          </w:tcPr>
          <w:p w14:paraId="12C913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收入增长率、收入规模、流动比率、资产负债率、总资产周转率、应收周转率、销售毛利率、总资产报酬率、研发费用率</w:t>
            </w:r>
          </w:p>
        </w:tc>
        <w:tc>
          <w:tcPr>
            <w:tcW w:w="403" w:type="pct"/>
            <w:vAlign w:val="center"/>
          </w:tcPr>
          <w:p w14:paraId="46F68E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516D471" w14:textId="77777777" w:rsidTr="001076ED">
        <w:trPr>
          <w:trHeight w:val="397"/>
          <w:jc w:val="center"/>
        </w:trPr>
        <w:tc>
          <w:tcPr>
            <w:tcW w:w="427" w:type="pct"/>
            <w:vAlign w:val="center"/>
          </w:tcPr>
          <w:p w14:paraId="1A8D313D"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002600</w:t>
            </w:r>
          </w:p>
        </w:tc>
        <w:tc>
          <w:tcPr>
            <w:tcW w:w="820" w:type="pct"/>
            <w:vAlign w:val="center"/>
          </w:tcPr>
          <w:p w14:paraId="35A6B9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广东领益智造股份有限公司</w:t>
            </w:r>
          </w:p>
        </w:tc>
        <w:tc>
          <w:tcPr>
            <w:tcW w:w="821" w:type="pct"/>
            <w:vAlign w:val="center"/>
          </w:tcPr>
          <w:p w14:paraId="58202F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江苏科达斯特恩汽车科技股份有限公司</w:t>
            </w:r>
          </w:p>
        </w:tc>
        <w:tc>
          <w:tcPr>
            <w:tcW w:w="523" w:type="pct"/>
            <w:vAlign w:val="center"/>
          </w:tcPr>
          <w:p w14:paraId="65BF51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汽车饰件总成产品</w:t>
            </w:r>
          </w:p>
        </w:tc>
        <w:tc>
          <w:tcPr>
            <w:tcW w:w="567" w:type="pct"/>
            <w:vAlign w:val="center"/>
          </w:tcPr>
          <w:p w14:paraId="77AD42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4CE67E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交易情况、经营规模、成长能力、偿债能力、营运能力、盈利能力、研发能力、其他</w:t>
            </w:r>
          </w:p>
        </w:tc>
        <w:tc>
          <w:tcPr>
            <w:tcW w:w="919" w:type="pct"/>
            <w:vAlign w:val="center"/>
          </w:tcPr>
          <w:p w14:paraId="419436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总资产、营业收入、营业收入增长率、资产负债率、速动比率、应收账款周转率、存货周转率、净资产收益率、销售毛利率、研发费用率、客户开发程度、行业影响力</w:t>
            </w:r>
          </w:p>
        </w:tc>
        <w:tc>
          <w:tcPr>
            <w:tcW w:w="403" w:type="pct"/>
            <w:vAlign w:val="center"/>
          </w:tcPr>
          <w:p w14:paraId="6DEE96A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6215712B" w14:textId="77777777" w:rsidTr="001076ED">
        <w:trPr>
          <w:trHeight w:val="397"/>
          <w:jc w:val="center"/>
        </w:trPr>
        <w:tc>
          <w:tcPr>
            <w:tcW w:w="427" w:type="pct"/>
            <w:vAlign w:val="center"/>
          </w:tcPr>
          <w:p w14:paraId="07E0E76B"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600863</w:t>
            </w:r>
          </w:p>
        </w:tc>
        <w:tc>
          <w:tcPr>
            <w:tcW w:w="820" w:type="pct"/>
            <w:vAlign w:val="center"/>
          </w:tcPr>
          <w:p w14:paraId="5A1AAAC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内蒙古蒙电华能热电股份有限公司</w:t>
            </w:r>
          </w:p>
        </w:tc>
        <w:tc>
          <w:tcPr>
            <w:tcW w:w="821" w:type="pct"/>
            <w:vAlign w:val="center"/>
          </w:tcPr>
          <w:p w14:paraId="4C170D0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北方上都正蓝旗新能源有限责任公司、北方多伦新能源有限责任公司</w:t>
            </w:r>
          </w:p>
        </w:tc>
        <w:tc>
          <w:tcPr>
            <w:tcW w:w="523" w:type="pct"/>
            <w:vAlign w:val="center"/>
          </w:tcPr>
          <w:p w14:paraId="2B5CAD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风力发电</w:t>
            </w:r>
          </w:p>
        </w:tc>
        <w:tc>
          <w:tcPr>
            <w:tcW w:w="567" w:type="pct"/>
            <w:vAlign w:val="center"/>
          </w:tcPr>
          <w:p w14:paraId="1D8171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09F270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交易情况、装机规模、市场环境、自然条件、项目状态、发电小时数、电价、剩余寿命、交易比例</w:t>
            </w:r>
          </w:p>
        </w:tc>
        <w:tc>
          <w:tcPr>
            <w:tcW w:w="919" w:type="pct"/>
            <w:vAlign w:val="center"/>
          </w:tcPr>
          <w:p w14:paraId="34CC44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装机容量、新能源指数、预测期其他收益</w:t>
            </w:r>
            <w:r w:rsidRPr="00DA3766">
              <w:rPr>
                <w:rFonts w:ascii="Times New Roman" w:hAnsi="Times New Roman" w:cs="Times New Roman"/>
                <w:color w:val="000000"/>
                <w:sz w:val="21"/>
                <w:szCs w:val="18"/>
              </w:rPr>
              <w:t>/</w:t>
            </w:r>
            <w:r w:rsidRPr="00DA3766">
              <w:rPr>
                <w:rFonts w:ascii="Times New Roman" w:hAnsi="Times New Roman" w:cs="Times New Roman"/>
                <w:color w:val="000000"/>
                <w:sz w:val="21"/>
                <w:szCs w:val="18"/>
              </w:rPr>
              <w:t>预测期净利润、资源区、投运</w:t>
            </w:r>
            <w:r w:rsidRPr="00DA3766">
              <w:rPr>
                <w:rFonts w:ascii="Times New Roman" w:hAnsi="Times New Roman" w:cs="Times New Roman"/>
                <w:color w:val="000000"/>
                <w:sz w:val="21"/>
                <w:szCs w:val="18"/>
              </w:rPr>
              <w:t>/</w:t>
            </w:r>
            <w:r w:rsidRPr="00DA3766">
              <w:rPr>
                <w:rFonts w:ascii="Times New Roman" w:hAnsi="Times New Roman" w:cs="Times New Roman"/>
                <w:color w:val="000000"/>
                <w:sz w:val="21"/>
                <w:szCs w:val="18"/>
              </w:rPr>
              <w:t>在建、年均发电小时数、批复电价、剩余寿命、交易比例</w:t>
            </w:r>
          </w:p>
        </w:tc>
        <w:tc>
          <w:tcPr>
            <w:tcW w:w="403" w:type="pct"/>
            <w:vAlign w:val="center"/>
          </w:tcPr>
          <w:p w14:paraId="1B5D37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17E098C0" w14:textId="77777777" w:rsidTr="001076ED">
        <w:trPr>
          <w:trHeight w:val="397"/>
          <w:jc w:val="center"/>
        </w:trPr>
        <w:tc>
          <w:tcPr>
            <w:tcW w:w="427" w:type="pct"/>
            <w:vAlign w:val="center"/>
          </w:tcPr>
          <w:p w14:paraId="6BA3661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301335</w:t>
            </w:r>
          </w:p>
        </w:tc>
        <w:tc>
          <w:tcPr>
            <w:tcW w:w="820" w:type="pct"/>
            <w:vAlign w:val="center"/>
          </w:tcPr>
          <w:p w14:paraId="7690A1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杭州天元宠物用品股份有限公司</w:t>
            </w:r>
          </w:p>
        </w:tc>
        <w:tc>
          <w:tcPr>
            <w:tcW w:w="821" w:type="pct"/>
            <w:vAlign w:val="center"/>
          </w:tcPr>
          <w:p w14:paraId="257D67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广州淘通科技股份有限公司</w:t>
            </w:r>
          </w:p>
        </w:tc>
        <w:tc>
          <w:tcPr>
            <w:tcW w:w="523" w:type="pct"/>
            <w:vAlign w:val="center"/>
          </w:tcPr>
          <w:p w14:paraId="56FD2AE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电商销售服务和全域数字营销（消费贸易业）</w:t>
            </w:r>
          </w:p>
        </w:tc>
        <w:tc>
          <w:tcPr>
            <w:tcW w:w="567" w:type="pct"/>
            <w:vAlign w:val="center"/>
          </w:tcPr>
          <w:p w14:paraId="4962FE1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75B97D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交易时间、可比交易案例的盈利回报指标、资产运营指标、风险防控指标、发展能力指标</w:t>
            </w:r>
          </w:p>
        </w:tc>
        <w:tc>
          <w:tcPr>
            <w:tcW w:w="919" w:type="pct"/>
            <w:vAlign w:val="center"/>
          </w:tcPr>
          <w:p w14:paraId="6801781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沪深</w:t>
            </w:r>
            <w:r w:rsidRPr="00DA3766">
              <w:rPr>
                <w:rFonts w:ascii="Times New Roman" w:hAnsi="Times New Roman" w:cs="Times New Roman"/>
                <w:color w:val="000000"/>
                <w:sz w:val="21"/>
                <w:szCs w:val="18"/>
              </w:rPr>
              <w:t>300</w:t>
            </w:r>
            <w:r w:rsidRPr="00DA3766">
              <w:rPr>
                <w:rFonts w:ascii="Times New Roman" w:hAnsi="Times New Roman" w:cs="Times New Roman"/>
                <w:color w:val="000000"/>
                <w:sz w:val="21"/>
                <w:szCs w:val="18"/>
              </w:rPr>
              <w:t>指数、净资产收益率、收入净利润率、总资产周转率、风险防控指标资产负债率、营业收入增长率</w:t>
            </w:r>
          </w:p>
        </w:tc>
        <w:tc>
          <w:tcPr>
            <w:tcW w:w="403" w:type="pct"/>
            <w:vAlign w:val="center"/>
          </w:tcPr>
          <w:p w14:paraId="1B68A0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79A20BCA" w14:textId="77777777" w:rsidTr="001076ED">
        <w:trPr>
          <w:trHeight w:val="397"/>
          <w:jc w:val="center"/>
        </w:trPr>
        <w:tc>
          <w:tcPr>
            <w:tcW w:w="427" w:type="pct"/>
            <w:vAlign w:val="center"/>
          </w:tcPr>
          <w:p w14:paraId="1E50B4F9"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688368</w:t>
            </w:r>
          </w:p>
        </w:tc>
        <w:tc>
          <w:tcPr>
            <w:tcW w:w="820" w:type="pct"/>
            <w:vAlign w:val="center"/>
          </w:tcPr>
          <w:p w14:paraId="193B894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上海晶丰明源半导体股份有限公司</w:t>
            </w:r>
          </w:p>
        </w:tc>
        <w:tc>
          <w:tcPr>
            <w:tcW w:w="821" w:type="pct"/>
            <w:vAlign w:val="center"/>
          </w:tcPr>
          <w:p w14:paraId="1C0E33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四川易冲科技有限公司</w:t>
            </w:r>
          </w:p>
        </w:tc>
        <w:tc>
          <w:tcPr>
            <w:tcW w:w="523" w:type="pct"/>
            <w:vAlign w:val="center"/>
          </w:tcPr>
          <w:p w14:paraId="67EBAB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集成电路设计</w:t>
            </w:r>
          </w:p>
        </w:tc>
        <w:tc>
          <w:tcPr>
            <w:tcW w:w="567" w:type="pct"/>
            <w:vAlign w:val="center"/>
          </w:tcPr>
          <w:p w14:paraId="572D658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039BB10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交易情况、经营规模、成长能力、偿债能力、运营能力、盈利能力、研发投入、其他因素</w:t>
            </w:r>
          </w:p>
        </w:tc>
        <w:tc>
          <w:tcPr>
            <w:tcW w:w="919" w:type="pct"/>
            <w:vAlign w:val="center"/>
          </w:tcPr>
          <w:p w14:paraId="06E2FEA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总资产规模、营业收入、流动比率、速动比率、营运资金周转率、存货周转率、净资产收益率、销售毛利率、研发人员数量、当期研发费用、发展阶段</w:t>
            </w:r>
          </w:p>
        </w:tc>
        <w:tc>
          <w:tcPr>
            <w:tcW w:w="403" w:type="pct"/>
            <w:vAlign w:val="center"/>
          </w:tcPr>
          <w:p w14:paraId="4D4F63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bookmarkStart w:id="108" w:name="OLE_LINK40"/>
            <w:r w:rsidRPr="00DA3766">
              <w:rPr>
                <w:rFonts w:ascii="Times New Roman" w:hAnsi="Times New Roman" w:cs="Times New Roman"/>
                <w:color w:val="000000"/>
                <w:sz w:val="21"/>
                <w:szCs w:val="18"/>
              </w:rPr>
              <w:t>已过会</w:t>
            </w:r>
            <w:bookmarkEnd w:id="108"/>
          </w:p>
        </w:tc>
      </w:tr>
      <w:tr w:rsidR="00EB3B4C" w:rsidRPr="00DA3766" w14:paraId="7B06310C" w14:textId="77777777" w:rsidTr="001076ED">
        <w:trPr>
          <w:trHeight w:val="397"/>
          <w:jc w:val="center"/>
        </w:trPr>
        <w:tc>
          <w:tcPr>
            <w:tcW w:w="427" w:type="pct"/>
            <w:vAlign w:val="center"/>
          </w:tcPr>
          <w:p w14:paraId="58AB3DC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688293</w:t>
            </w:r>
          </w:p>
        </w:tc>
        <w:tc>
          <w:tcPr>
            <w:tcW w:w="820" w:type="pct"/>
            <w:vAlign w:val="center"/>
          </w:tcPr>
          <w:p w14:paraId="3C6D6B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上海奥浦迈生物科技股份有限公司</w:t>
            </w:r>
          </w:p>
        </w:tc>
        <w:tc>
          <w:tcPr>
            <w:tcW w:w="821" w:type="pct"/>
            <w:vAlign w:val="center"/>
          </w:tcPr>
          <w:p w14:paraId="4CD2809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澎立生物医药技术（上海）股份有限公司</w:t>
            </w:r>
          </w:p>
        </w:tc>
        <w:tc>
          <w:tcPr>
            <w:tcW w:w="523" w:type="pct"/>
            <w:vAlign w:val="center"/>
          </w:tcPr>
          <w:p w14:paraId="429C40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生物医药相关服务</w:t>
            </w:r>
          </w:p>
        </w:tc>
        <w:tc>
          <w:tcPr>
            <w:tcW w:w="567" w:type="pct"/>
            <w:vAlign w:val="center"/>
          </w:tcPr>
          <w:p w14:paraId="7F5318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31E2D36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交易日期、交易情况、发展阶段、偿债能力、运营能力、盈利能力、研发投入</w:t>
            </w:r>
          </w:p>
        </w:tc>
        <w:tc>
          <w:tcPr>
            <w:tcW w:w="919" w:type="pct"/>
            <w:vAlign w:val="center"/>
          </w:tcPr>
          <w:p w14:paraId="65D44CE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资产负债率、总资产周转率、销售利润率、研发费用率</w:t>
            </w:r>
          </w:p>
        </w:tc>
        <w:tc>
          <w:tcPr>
            <w:tcW w:w="403" w:type="pct"/>
            <w:vAlign w:val="center"/>
          </w:tcPr>
          <w:p w14:paraId="1C977F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2F734523" w14:textId="77777777" w:rsidTr="001076ED">
        <w:trPr>
          <w:trHeight w:val="397"/>
          <w:jc w:val="center"/>
        </w:trPr>
        <w:tc>
          <w:tcPr>
            <w:tcW w:w="427" w:type="pct"/>
            <w:vAlign w:val="center"/>
          </w:tcPr>
          <w:p w14:paraId="379482DC"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688126</w:t>
            </w:r>
          </w:p>
        </w:tc>
        <w:tc>
          <w:tcPr>
            <w:tcW w:w="820" w:type="pct"/>
            <w:vAlign w:val="center"/>
          </w:tcPr>
          <w:p w14:paraId="576D022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上海硅产业集团股份有限公司</w:t>
            </w:r>
          </w:p>
        </w:tc>
        <w:tc>
          <w:tcPr>
            <w:tcW w:w="821" w:type="pct"/>
            <w:vAlign w:val="center"/>
          </w:tcPr>
          <w:p w14:paraId="0BF91A1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上海新昇晶投半导体科技有限公司、上海新昇晶科半导体科技有限公司、上海新昇晶睿半导体科技有限公司</w:t>
            </w:r>
          </w:p>
        </w:tc>
        <w:tc>
          <w:tcPr>
            <w:tcW w:w="523" w:type="pct"/>
            <w:vAlign w:val="center"/>
          </w:tcPr>
          <w:p w14:paraId="6E69CDF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电子元件及电子专用材料制造</w:t>
            </w:r>
          </w:p>
        </w:tc>
        <w:tc>
          <w:tcPr>
            <w:tcW w:w="567" w:type="pct"/>
            <w:vAlign w:val="center"/>
          </w:tcPr>
          <w:p w14:paraId="6C0FB4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318AAE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规模、成长性、产品、经营模式</w:t>
            </w:r>
          </w:p>
        </w:tc>
        <w:tc>
          <w:tcPr>
            <w:tcW w:w="919" w:type="pct"/>
            <w:vAlign w:val="center"/>
          </w:tcPr>
          <w:p w14:paraId="305B98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规模（大、中、小型）、企业生命周期、产品生命周期、产品结构、附加值、组织架构与供应链、财务指标（不做修正）</w:t>
            </w:r>
          </w:p>
        </w:tc>
        <w:tc>
          <w:tcPr>
            <w:tcW w:w="403" w:type="pct"/>
            <w:vAlign w:val="center"/>
          </w:tcPr>
          <w:p w14:paraId="44F96A6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09255BD" w14:textId="77777777" w:rsidTr="001076ED">
        <w:trPr>
          <w:trHeight w:val="397"/>
          <w:jc w:val="center"/>
        </w:trPr>
        <w:tc>
          <w:tcPr>
            <w:tcW w:w="427" w:type="pct"/>
            <w:vAlign w:val="center"/>
          </w:tcPr>
          <w:p w14:paraId="74301C2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688622</w:t>
            </w:r>
          </w:p>
        </w:tc>
        <w:tc>
          <w:tcPr>
            <w:tcW w:w="820" w:type="pct"/>
            <w:vAlign w:val="center"/>
          </w:tcPr>
          <w:p w14:paraId="74B475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广州禾信仪器股份有限公司</w:t>
            </w:r>
          </w:p>
        </w:tc>
        <w:tc>
          <w:tcPr>
            <w:tcW w:w="821" w:type="pct"/>
            <w:vAlign w:val="center"/>
          </w:tcPr>
          <w:p w14:paraId="4A08F9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上海量羲技术有限公司</w:t>
            </w:r>
          </w:p>
        </w:tc>
        <w:tc>
          <w:tcPr>
            <w:tcW w:w="523" w:type="pct"/>
            <w:vAlign w:val="center"/>
          </w:tcPr>
          <w:p w14:paraId="5545C7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仪器仪表制造</w:t>
            </w:r>
          </w:p>
        </w:tc>
        <w:tc>
          <w:tcPr>
            <w:tcW w:w="567" w:type="pct"/>
            <w:vAlign w:val="center"/>
          </w:tcPr>
          <w:p w14:paraId="70F1105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2025/6/30</w:t>
            </w:r>
          </w:p>
        </w:tc>
        <w:tc>
          <w:tcPr>
            <w:tcW w:w="520" w:type="pct"/>
            <w:vAlign w:val="center"/>
          </w:tcPr>
          <w:p w14:paraId="6B0CA7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5F7B431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16CA79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27DF01FB" w14:textId="77777777" w:rsidTr="001076ED">
        <w:trPr>
          <w:trHeight w:val="397"/>
          <w:jc w:val="center"/>
        </w:trPr>
        <w:tc>
          <w:tcPr>
            <w:tcW w:w="427" w:type="pct"/>
            <w:vAlign w:val="center"/>
          </w:tcPr>
          <w:p w14:paraId="38F01D16"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300473</w:t>
            </w:r>
          </w:p>
        </w:tc>
        <w:tc>
          <w:tcPr>
            <w:tcW w:w="820" w:type="pct"/>
            <w:vAlign w:val="center"/>
          </w:tcPr>
          <w:p w14:paraId="6E989E5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阜新德尔汽车部件股份有限公司</w:t>
            </w:r>
          </w:p>
        </w:tc>
        <w:tc>
          <w:tcPr>
            <w:tcW w:w="821" w:type="pct"/>
            <w:vAlign w:val="center"/>
          </w:tcPr>
          <w:p w14:paraId="6FFF8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爱卓智能科技（上海）有限公司</w:t>
            </w:r>
          </w:p>
        </w:tc>
        <w:tc>
          <w:tcPr>
            <w:tcW w:w="523" w:type="pct"/>
            <w:vAlign w:val="center"/>
          </w:tcPr>
          <w:p w14:paraId="3A3113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汽车覆膜饰件、汽车包覆饰件</w:t>
            </w:r>
          </w:p>
        </w:tc>
        <w:tc>
          <w:tcPr>
            <w:tcW w:w="567" w:type="pct"/>
            <w:vAlign w:val="center"/>
          </w:tcPr>
          <w:p w14:paraId="07BEE0F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2025/6/30</w:t>
            </w:r>
          </w:p>
        </w:tc>
        <w:tc>
          <w:tcPr>
            <w:tcW w:w="520" w:type="pct"/>
            <w:vAlign w:val="center"/>
          </w:tcPr>
          <w:p w14:paraId="40C95C1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营运能力、偿债能力、盈利能力、发展能力、规模状况</w:t>
            </w:r>
          </w:p>
        </w:tc>
        <w:tc>
          <w:tcPr>
            <w:tcW w:w="919" w:type="pct"/>
            <w:vAlign w:val="center"/>
          </w:tcPr>
          <w:p w14:paraId="07DDC7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总资产周转率、净资产周转率、速动比率、资产负债率、销售毛利率、净资产收益率、营业收入增长率、扣非归母净利润增长率、销售收入、资产规模</w:t>
            </w:r>
          </w:p>
        </w:tc>
        <w:tc>
          <w:tcPr>
            <w:tcW w:w="403" w:type="pct"/>
            <w:vAlign w:val="center"/>
          </w:tcPr>
          <w:p w14:paraId="622B080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bl>
    <w:p w14:paraId="315BB81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由上表可知，本次评估选取的修正维度及财务指标与市场案例整体类似，不存在重大差异。</w:t>
      </w:r>
    </w:p>
    <w:p w14:paraId="26B18C18" w14:textId="77777777" w:rsidR="00EB3B4C" w:rsidRPr="00DA3766" w:rsidRDefault="00EB3B4C" w:rsidP="00635015">
      <w:pPr>
        <w:pStyle w:val="005"/>
        <w:spacing w:before="120" w:after="120"/>
        <w:ind w:firstLine="480"/>
      </w:pPr>
      <w:r w:rsidRPr="00DA3766">
        <w:t>综上，本次评估根据准则要求，充分考虑标的公司及可比公司所属细分行业特点并结合市场案例对修正维度及财务指标进行选取，修正维度及财务指标能较</w:t>
      </w:r>
      <w:r w:rsidRPr="00DA3766">
        <w:lastRenderedPageBreak/>
        <w:t>好地反映不同公司的企业价值之间的核心差异，具备合理性。</w:t>
      </w:r>
    </w:p>
    <w:p w14:paraId="04582A5F"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（二）各可比公司调整后</w:t>
      </w:r>
      <w:r w:rsidRPr="00DA3766">
        <w:rPr>
          <w:rFonts w:ascii="Times New Roman" w:hAnsi="Times New Roman" w:cs="Times New Roman"/>
          <w:b/>
          <w:bCs/>
          <w:szCs w:val="28"/>
        </w:rPr>
        <w:t>EV/S</w:t>
      </w:r>
      <w:r w:rsidRPr="00DA3766">
        <w:rPr>
          <w:rFonts w:ascii="Times New Roman" w:hAnsi="Times New Roman" w:cs="Times New Roman"/>
          <w:b/>
          <w:bCs/>
          <w:szCs w:val="28"/>
        </w:rPr>
        <w:t>指标存在差异的原因及合理性</w:t>
      </w:r>
    </w:p>
    <w:p w14:paraId="455E3416" w14:textId="30EC18FD" w:rsidR="00EB3B4C" w:rsidRPr="00DA3766" w:rsidRDefault="00F73023" w:rsidP="00EB3B4C">
      <w:pPr>
        <w:spacing w:before="120" w:after="120"/>
        <w:ind w:firstLine="480"/>
        <w:jc w:val="both"/>
        <w:rPr>
          <w:rFonts w:ascii="Times New Roman" w:hAnsi="Times New Roman" w:cs="Times New Roman"/>
          <w:szCs w:val="22"/>
        </w:rPr>
      </w:pPr>
      <w:r w:rsidRPr="001D2630">
        <w:rPr>
          <w:rFonts w:ascii="Times New Roman" w:hAnsi="Times New Roman" w:cs="Times New Roman"/>
          <w:szCs w:val="22"/>
        </w:rPr>
        <w:t>各可比公司调整后</w:t>
      </w:r>
      <w:r w:rsidRPr="001D2630">
        <w:rPr>
          <w:rFonts w:ascii="Times New Roman" w:hAnsi="Times New Roman" w:cs="Times New Roman"/>
          <w:szCs w:val="22"/>
        </w:rPr>
        <w:t xml:space="preserve">EV/S </w:t>
      </w:r>
      <w:r w:rsidRPr="001D2630">
        <w:rPr>
          <w:rFonts w:ascii="Times New Roman" w:hAnsi="Times New Roman" w:cs="Times New Roman"/>
          <w:szCs w:val="22"/>
        </w:rPr>
        <w:t>价值比率存在差异在市场法评估中较为常见，市场股价行情的波动亦会导致差异的变化</w:t>
      </w:r>
      <w:r>
        <w:rPr>
          <w:rFonts w:ascii="Times New Roman" w:hAnsi="Times New Roman" w:cs="Times New Roman" w:hint="eastAsia"/>
          <w:szCs w:val="22"/>
        </w:rPr>
        <w:t>。</w:t>
      </w:r>
      <w:r w:rsidR="00EB3B4C" w:rsidRPr="00DA3766">
        <w:rPr>
          <w:rFonts w:ascii="Times New Roman" w:hAnsi="Times New Roman" w:cs="Times New Roman"/>
          <w:szCs w:val="22"/>
        </w:rPr>
        <w:t>经查询，近年来</w:t>
      </w:r>
      <w:r w:rsidR="00EB3B4C" w:rsidRPr="00DA3766">
        <w:rPr>
          <w:rFonts w:ascii="Times New Roman" w:hAnsi="Times New Roman" w:cs="Times New Roman"/>
          <w:szCs w:val="22"/>
        </w:rPr>
        <w:t>A</w:t>
      </w:r>
      <w:r w:rsidR="00EB3B4C" w:rsidRPr="00DA3766">
        <w:rPr>
          <w:rFonts w:ascii="Times New Roman" w:hAnsi="Times New Roman" w:cs="Times New Roman"/>
          <w:szCs w:val="22"/>
        </w:rPr>
        <w:t>股市场公开披露的重组交易案例，存在修正后价值比率差异率与本次评估情况接近的情况，具体交易案例如下：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1116"/>
        <w:gridCol w:w="1346"/>
        <w:gridCol w:w="1441"/>
        <w:gridCol w:w="1353"/>
        <w:gridCol w:w="1385"/>
        <w:gridCol w:w="917"/>
      </w:tblGrid>
      <w:tr w:rsidR="00EB3B4C" w:rsidRPr="00DA3766" w14:paraId="3693CEE1" w14:textId="77777777" w:rsidTr="00635015">
        <w:trPr>
          <w:trHeight w:val="397"/>
          <w:tblHeader/>
          <w:jc w:val="center"/>
        </w:trPr>
        <w:tc>
          <w:tcPr>
            <w:tcW w:w="688" w:type="pct"/>
            <w:vAlign w:val="center"/>
          </w:tcPr>
          <w:p w14:paraId="4A0104F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637" w:type="pct"/>
            <w:vAlign w:val="center"/>
          </w:tcPr>
          <w:p w14:paraId="24282A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上市公司</w:t>
            </w:r>
          </w:p>
        </w:tc>
        <w:tc>
          <w:tcPr>
            <w:tcW w:w="768" w:type="pct"/>
            <w:vAlign w:val="center"/>
          </w:tcPr>
          <w:p w14:paraId="33F1A33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评估标的</w:t>
            </w:r>
          </w:p>
        </w:tc>
        <w:tc>
          <w:tcPr>
            <w:tcW w:w="822" w:type="pct"/>
            <w:vAlign w:val="center"/>
          </w:tcPr>
          <w:p w14:paraId="580F779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评估基准日</w:t>
            </w:r>
          </w:p>
        </w:tc>
        <w:tc>
          <w:tcPr>
            <w:tcW w:w="772" w:type="pct"/>
            <w:vAlign w:val="center"/>
          </w:tcPr>
          <w:p w14:paraId="646B599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价值比率</w:t>
            </w:r>
          </w:p>
        </w:tc>
        <w:tc>
          <w:tcPr>
            <w:tcW w:w="790" w:type="pct"/>
            <w:vAlign w:val="center"/>
          </w:tcPr>
          <w:p w14:paraId="05597E4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修正后的价值比率</w:t>
            </w:r>
          </w:p>
        </w:tc>
        <w:tc>
          <w:tcPr>
            <w:tcW w:w="523" w:type="pct"/>
            <w:vAlign w:val="center"/>
          </w:tcPr>
          <w:p w14:paraId="554E44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修正后离散度</w:t>
            </w:r>
          </w:p>
        </w:tc>
      </w:tr>
      <w:tr w:rsidR="00EB3B4C" w:rsidRPr="00DA3766" w14:paraId="343E8928" w14:textId="77777777" w:rsidTr="00635015">
        <w:trPr>
          <w:trHeight w:val="397"/>
          <w:jc w:val="center"/>
        </w:trPr>
        <w:tc>
          <w:tcPr>
            <w:tcW w:w="688" w:type="pct"/>
            <w:vMerge w:val="restart"/>
            <w:vAlign w:val="center"/>
          </w:tcPr>
          <w:p w14:paraId="5F74528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000599.SZ</w:t>
            </w:r>
          </w:p>
        </w:tc>
        <w:tc>
          <w:tcPr>
            <w:tcW w:w="637" w:type="pct"/>
            <w:vMerge w:val="restart"/>
            <w:vAlign w:val="center"/>
          </w:tcPr>
          <w:p w14:paraId="0C8EAEC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青岛双星</w:t>
            </w:r>
          </w:p>
        </w:tc>
        <w:tc>
          <w:tcPr>
            <w:tcW w:w="768" w:type="pct"/>
            <w:vMerge w:val="restart"/>
            <w:vAlign w:val="center"/>
          </w:tcPr>
          <w:p w14:paraId="58D3E8C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青岛星微国际投资有限公司下属企业持有的锦湖轮胎株式会社</w:t>
            </w:r>
          </w:p>
        </w:tc>
        <w:tc>
          <w:tcPr>
            <w:tcW w:w="822" w:type="pct"/>
            <w:vMerge w:val="restart"/>
            <w:vAlign w:val="center"/>
          </w:tcPr>
          <w:p w14:paraId="5496D88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2023/12/31</w:t>
            </w:r>
          </w:p>
        </w:tc>
        <w:tc>
          <w:tcPr>
            <w:tcW w:w="772" w:type="pct"/>
            <w:vAlign w:val="center"/>
          </w:tcPr>
          <w:p w14:paraId="39FD03D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P/E</w:t>
            </w:r>
          </w:p>
        </w:tc>
        <w:tc>
          <w:tcPr>
            <w:tcW w:w="790" w:type="pct"/>
            <w:vAlign w:val="center"/>
          </w:tcPr>
          <w:p w14:paraId="3A8918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11.73</w:t>
            </w:r>
            <w:r w:rsidRPr="00DA3766">
              <w:rPr>
                <w:rFonts w:ascii="Times New Roman" w:hAnsi="Times New Roman" w:cs="Times New Roman"/>
                <w:color w:val="000000"/>
                <w:sz w:val="21"/>
              </w:rPr>
              <w:t>、</w:t>
            </w:r>
            <w:r w:rsidRPr="00DA3766">
              <w:rPr>
                <w:rFonts w:ascii="Times New Roman" w:hAnsi="Times New Roman" w:cs="Times New Roman"/>
                <w:color w:val="000000"/>
                <w:sz w:val="21"/>
              </w:rPr>
              <w:t>20.53</w:t>
            </w:r>
            <w:r w:rsidRPr="00DA3766">
              <w:rPr>
                <w:rFonts w:ascii="Times New Roman" w:hAnsi="Times New Roman" w:cs="Times New Roman"/>
                <w:color w:val="000000"/>
                <w:sz w:val="21"/>
              </w:rPr>
              <w:t>、</w:t>
            </w:r>
            <w:r w:rsidRPr="00DA3766">
              <w:rPr>
                <w:rFonts w:ascii="Times New Roman" w:hAnsi="Times New Roman" w:cs="Times New Roman"/>
                <w:color w:val="000000"/>
                <w:sz w:val="21"/>
              </w:rPr>
              <w:t>13.97</w:t>
            </w:r>
            <w:r w:rsidRPr="00DA3766">
              <w:rPr>
                <w:rFonts w:ascii="Times New Roman" w:hAnsi="Times New Roman" w:cs="Times New Roman"/>
                <w:color w:val="000000"/>
                <w:sz w:val="21"/>
              </w:rPr>
              <w:t>、</w:t>
            </w:r>
            <w:r w:rsidRPr="00DA3766">
              <w:rPr>
                <w:rFonts w:ascii="Times New Roman" w:hAnsi="Times New Roman" w:cs="Times New Roman"/>
                <w:color w:val="000000"/>
                <w:sz w:val="21"/>
              </w:rPr>
              <w:t>7.54</w:t>
            </w:r>
          </w:p>
        </w:tc>
        <w:tc>
          <w:tcPr>
            <w:tcW w:w="523" w:type="pct"/>
            <w:vAlign w:val="center"/>
          </w:tcPr>
          <w:p w14:paraId="38767A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0.40</w:t>
            </w:r>
          </w:p>
        </w:tc>
      </w:tr>
      <w:tr w:rsidR="00EB3B4C" w:rsidRPr="00DA3766" w14:paraId="5FEB9CBB" w14:textId="77777777" w:rsidTr="00635015">
        <w:trPr>
          <w:trHeight w:val="397"/>
          <w:jc w:val="center"/>
        </w:trPr>
        <w:tc>
          <w:tcPr>
            <w:tcW w:w="688" w:type="pct"/>
            <w:vMerge/>
            <w:vAlign w:val="center"/>
          </w:tcPr>
          <w:p w14:paraId="5E208B5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37" w:type="pct"/>
            <w:vMerge/>
            <w:vAlign w:val="center"/>
          </w:tcPr>
          <w:p w14:paraId="218D565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768" w:type="pct"/>
            <w:vMerge/>
            <w:vAlign w:val="center"/>
          </w:tcPr>
          <w:p w14:paraId="46368FD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22" w:type="pct"/>
            <w:vMerge/>
            <w:vAlign w:val="center"/>
          </w:tcPr>
          <w:p w14:paraId="363805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72" w:type="pct"/>
            <w:vAlign w:val="center"/>
          </w:tcPr>
          <w:p w14:paraId="1E3B42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790" w:type="pct"/>
            <w:vAlign w:val="center"/>
          </w:tcPr>
          <w:p w14:paraId="626C6D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2.44</w:t>
            </w:r>
            <w:r w:rsidRPr="00DA3766">
              <w:rPr>
                <w:rFonts w:ascii="Times New Roman" w:hAnsi="Times New Roman" w:cs="Times New Roman"/>
                <w:color w:val="000000"/>
                <w:sz w:val="21"/>
              </w:rPr>
              <w:t>、</w:t>
            </w:r>
            <w:r w:rsidRPr="00DA3766">
              <w:rPr>
                <w:rFonts w:ascii="Times New Roman" w:hAnsi="Times New Roman" w:cs="Times New Roman"/>
                <w:color w:val="000000"/>
                <w:sz w:val="21"/>
              </w:rPr>
              <w:t>1.37</w:t>
            </w:r>
            <w:r w:rsidRPr="00DA3766">
              <w:rPr>
                <w:rFonts w:ascii="Times New Roman" w:hAnsi="Times New Roman" w:cs="Times New Roman"/>
                <w:color w:val="000000"/>
                <w:sz w:val="21"/>
              </w:rPr>
              <w:t>、</w:t>
            </w:r>
            <w:r w:rsidRPr="00DA3766">
              <w:rPr>
                <w:rFonts w:ascii="Times New Roman" w:hAnsi="Times New Roman" w:cs="Times New Roman"/>
                <w:color w:val="000000"/>
                <w:sz w:val="21"/>
              </w:rPr>
              <w:t>2.10</w:t>
            </w:r>
            <w:r w:rsidRPr="00DA3766">
              <w:rPr>
                <w:rFonts w:ascii="Times New Roman" w:hAnsi="Times New Roman" w:cs="Times New Roman"/>
                <w:color w:val="000000"/>
                <w:sz w:val="21"/>
              </w:rPr>
              <w:t>、</w:t>
            </w:r>
            <w:r w:rsidRPr="00DA3766">
              <w:rPr>
                <w:rFonts w:ascii="Times New Roman" w:hAnsi="Times New Roman" w:cs="Times New Roman"/>
                <w:color w:val="000000"/>
                <w:sz w:val="21"/>
              </w:rPr>
              <w:t>0.57</w:t>
            </w:r>
          </w:p>
        </w:tc>
        <w:tc>
          <w:tcPr>
            <w:tcW w:w="523" w:type="pct"/>
            <w:vAlign w:val="center"/>
          </w:tcPr>
          <w:p w14:paraId="74B1B1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0.72</w:t>
            </w:r>
          </w:p>
        </w:tc>
      </w:tr>
      <w:tr w:rsidR="00EB3B4C" w:rsidRPr="00DA3766" w14:paraId="21601828" w14:textId="77777777" w:rsidTr="00635015">
        <w:trPr>
          <w:trHeight w:val="397"/>
          <w:jc w:val="center"/>
        </w:trPr>
        <w:tc>
          <w:tcPr>
            <w:tcW w:w="688" w:type="pct"/>
            <w:vMerge w:val="restart"/>
            <w:vAlign w:val="center"/>
          </w:tcPr>
          <w:p w14:paraId="6CE88F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603358.SH</w:t>
            </w:r>
          </w:p>
        </w:tc>
        <w:tc>
          <w:tcPr>
            <w:tcW w:w="637" w:type="pct"/>
            <w:vMerge w:val="restart"/>
            <w:vAlign w:val="center"/>
          </w:tcPr>
          <w:p w14:paraId="30E7F55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华达科技</w:t>
            </w:r>
          </w:p>
        </w:tc>
        <w:tc>
          <w:tcPr>
            <w:tcW w:w="768" w:type="pct"/>
            <w:vMerge w:val="restart"/>
            <w:vAlign w:val="center"/>
          </w:tcPr>
          <w:p w14:paraId="4DBCA3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江苏恒义工业技术有限公司</w:t>
            </w:r>
          </w:p>
        </w:tc>
        <w:tc>
          <w:tcPr>
            <w:tcW w:w="822" w:type="pct"/>
            <w:vMerge w:val="restart"/>
            <w:vAlign w:val="center"/>
          </w:tcPr>
          <w:p w14:paraId="58D3F1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2024/06/30</w:t>
            </w:r>
          </w:p>
        </w:tc>
        <w:tc>
          <w:tcPr>
            <w:tcW w:w="772" w:type="pct"/>
            <w:vAlign w:val="center"/>
          </w:tcPr>
          <w:p w14:paraId="55E705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790" w:type="pct"/>
            <w:vAlign w:val="center"/>
          </w:tcPr>
          <w:p w14:paraId="1AD6067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2.78</w:t>
            </w:r>
            <w:r w:rsidRPr="00DA3766">
              <w:rPr>
                <w:rFonts w:ascii="Times New Roman" w:hAnsi="Times New Roman" w:cs="Times New Roman"/>
                <w:color w:val="000000"/>
                <w:sz w:val="21"/>
              </w:rPr>
              <w:t>、</w:t>
            </w:r>
            <w:r w:rsidRPr="00DA3766">
              <w:rPr>
                <w:rFonts w:ascii="Times New Roman" w:hAnsi="Times New Roman" w:cs="Times New Roman"/>
                <w:color w:val="000000"/>
                <w:sz w:val="21"/>
              </w:rPr>
              <w:t>3.65</w:t>
            </w:r>
            <w:r w:rsidRPr="00DA3766">
              <w:rPr>
                <w:rFonts w:ascii="Times New Roman" w:hAnsi="Times New Roman" w:cs="Times New Roman"/>
                <w:color w:val="000000"/>
                <w:sz w:val="21"/>
              </w:rPr>
              <w:t>、</w:t>
            </w:r>
            <w:r w:rsidRPr="00DA3766">
              <w:rPr>
                <w:rFonts w:ascii="Times New Roman" w:hAnsi="Times New Roman" w:cs="Times New Roman"/>
                <w:color w:val="000000"/>
                <w:sz w:val="21"/>
              </w:rPr>
              <w:t>3.55</w:t>
            </w:r>
          </w:p>
        </w:tc>
        <w:tc>
          <w:tcPr>
            <w:tcW w:w="523" w:type="pct"/>
            <w:vAlign w:val="center"/>
          </w:tcPr>
          <w:p w14:paraId="1FC345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0.14</w:t>
            </w:r>
          </w:p>
        </w:tc>
      </w:tr>
      <w:tr w:rsidR="00EB3B4C" w:rsidRPr="00DA3766" w14:paraId="4CD3301D" w14:textId="77777777" w:rsidTr="00635015">
        <w:trPr>
          <w:trHeight w:val="397"/>
          <w:jc w:val="center"/>
        </w:trPr>
        <w:tc>
          <w:tcPr>
            <w:tcW w:w="688" w:type="pct"/>
            <w:vMerge/>
            <w:vAlign w:val="center"/>
          </w:tcPr>
          <w:p w14:paraId="7E8B80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37" w:type="pct"/>
            <w:vMerge/>
            <w:vAlign w:val="center"/>
          </w:tcPr>
          <w:p w14:paraId="48DE3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768" w:type="pct"/>
            <w:vMerge/>
            <w:vAlign w:val="center"/>
          </w:tcPr>
          <w:p w14:paraId="1036D4F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22" w:type="pct"/>
            <w:vMerge/>
            <w:vAlign w:val="center"/>
          </w:tcPr>
          <w:p w14:paraId="2295BBB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72" w:type="pct"/>
            <w:vAlign w:val="center"/>
          </w:tcPr>
          <w:p w14:paraId="654E17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EV/EBITDA</w:t>
            </w:r>
          </w:p>
        </w:tc>
        <w:tc>
          <w:tcPr>
            <w:tcW w:w="790" w:type="pct"/>
            <w:vAlign w:val="center"/>
          </w:tcPr>
          <w:p w14:paraId="7FDE8A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10.52</w:t>
            </w:r>
            <w:r w:rsidRPr="00DA3766">
              <w:rPr>
                <w:rFonts w:ascii="Times New Roman" w:hAnsi="Times New Roman" w:cs="Times New Roman"/>
                <w:color w:val="000000"/>
                <w:sz w:val="21"/>
              </w:rPr>
              <w:t>、</w:t>
            </w:r>
            <w:r w:rsidRPr="00DA3766">
              <w:rPr>
                <w:rFonts w:ascii="Times New Roman" w:hAnsi="Times New Roman" w:cs="Times New Roman"/>
                <w:color w:val="000000"/>
                <w:sz w:val="21"/>
              </w:rPr>
              <w:t>12.14</w:t>
            </w:r>
            <w:r w:rsidRPr="00DA3766">
              <w:rPr>
                <w:rFonts w:ascii="Times New Roman" w:hAnsi="Times New Roman" w:cs="Times New Roman"/>
                <w:color w:val="000000"/>
                <w:sz w:val="21"/>
              </w:rPr>
              <w:t>、</w:t>
            </w:r>
            <w:r w:rsidRPr="00DA3766">
              <w:rPr>
                <w:rFonts w:ascii="Times New Roman" w:hAnsi="Times New Roman" w:cs="Times New Roman"/>
                <w:color w:val="000000"/>
                <w:sz w:val="21"/>
              </w:rPr>
              <w:t>14.37</w:t>
            </w:r>
          </w:p>
        </w:tc>
        <w:tc>
          <w:tcPr>
            <w:tcW w:w="523" w:type="pct"/>
            <w:vAlign w:val="center"/>
          </w:tcPr>
          <w:p w14:paraId="1769B1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1.58</w:t>
            </w:r>
          </w:p>
        </w:tc>
      </w:tr>
      <w:tr w:rsidR="00EB3B4C" w:rsidRPr="00DA3766" w14:paraId="4501F273" w14:textId="77777777" w:rsidTr="00635015">
        <w:trPr>
          <w:trHeight w:val="397"/>
          <w:jc w:val="center"/>
        </w:trPr>
        <w:tc>
          <w:tcPr>
            <w:tcW w:w="688" w:type="pct"/>
            <w:vAlign w:val="center"/>
          </w:tcPr>
          <w:p w14:paraId="5CE9ADB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688368.SH</w:t>
            </w:r>
          </w:p>
        </w:tc>
        <w:tc>
          <w:tcPr>
            <w:tcW w:w="637" w:type="pct"/>
            <w:vAlign w:val="center"/>
          </w:tcPr>
          <w:p w14:paraId="0BB91B0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晶丰明源</w:t>
            </w:r>
          </w:p>
        </w:tc>
        <w:tc>
          <w:tcPr>
            <w:tcW w:w="768" w:type="pct"/>
            <w:vAlign w:val="center"/>
          </w:tcPr>
          <w:p w14:paraId="574E5FB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四川易冲科技有限公司</w:t>
            </w:r>
          </w:p>
        </w:tc>
        <w:tc>
          <w:tcPr>
            <w:tcW w:w="822" w:type="pct"/>
            <w:vAlign w:val="center"/>
          </w:tcPr>
          <w:p w14:paraId="74BBB6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72" w:type="pct"/>
            <w:vAlign w:val="center"/>
          </w:tcPr>
          <w:p w14:paraId="604587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790" w:type="pct"/>
            <w:vAlign w:val="center"/>
          </w:tcPr>
          <w:p w14:paraId="66773E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4.00</w:t>
            </w:r>
            <w:r w:rsidRPr="00DA3766">
              <w:rPr>
                <w:rFonts w:ascii="Times New Roman" w:hAnsi="Times New Roman" w:cs="Times New Roman"/>
                <w:color w:val="000000"/>
                <w:sz w:val="21"/>
              </w:rPr>
              <w:t>、</w:t>
            </w:r>
            <w:r w:rsidRPr="00DA3766">
              <w:rPr>
                <w:rFonts w:ascii="Times New Roman" w:hAnsi="Times New Roman" w:cs="Times New Roman"/>
                <w:color w:val="000000"/>
                <w:sz w:val="21"/>
              </w:rPr>
              <w:t>4.14</w:t>
            </w:r>
            <w:r w:rsidRPr="00DA3766">
              <w:rPr>
                <w:rFonts w:ascii="Times New Roman" w:hAnsi="Times New Roman" w:cs="Times New Roman"/>
                <w:color w:val="000000"/>
                <w:sz w:val="21"/>
              </w:rPr>
              <w:t>、</w:t>
            </w:r>
            <w:r w:rsidRPr="00DA3766">
              <w:rPr>
                <w:rFonts w:ascii="Times New Roman" w:hAnsi="Times New Roman" w:cs="Times New Roman"/>
                <w:color w:val="000000"/>
                <w:sz w:val="21"/>
              </w:rPr>
              <w:t>6.17</w:t>
            </w:r>
            <w:r w:rsidRPr="00DA3766">
              <w:rPr>
                <w:rFonts w:ascii="Times New Roman" w:hAnsi="Times New Roman" w:cs="Times New Roman"/>
                <w:color w:val="000000"/>
                <w:sz w:val="21"/>
              </w:rPr>
              <w:t>、</w:t>
            </w:r>
            <w:r w:rsidRPr="00DA3766">
              <w:rPr>
                <w:rFonts w:ascii="Times New Roman" w:hAnsi="Times New Roman" w:cs="Times New Roman"/>
                <w:color w:val="000000"/>
                <w:sz w:val="21"/>
              </w:rPr>
              <w:t>4.14</w:t>
            </w:r>
            <w:r w:rsidRPr="00DA3766">
              <w:rPr>
                <w:rFonts w:ascii="Times New Roman" w:hAnsi="Times New Roman" w:cs="Times New Roman"/>
                <w:color w:val="000000"/>
                <w:sz w:val="21"/>
              </w:rPr>
              <w:t>、</w:t>
            </w:r>
            <w:r w:rsidRPr="00DA3766">
              <w:rPr>
                <w:rFonts w:ascii="Times New Roman" w:hAnsi="Times New Roman" w:cs="Times New Roman"/>
                <w:color w:val="000000"/>
                <w:sz w:val="21"/>
              </w:rPr>
              <w:t>5.18</w:t>
            </w:r>
          </w:p>
        </w:tc>
        <w:tc>
          <w:tcPr>
            <w:tcW w:w="523" w:type="pct"/>
            <w:vAlign w:val="center"/>
          </w:tcPr>
          <w:p w14:paraId="07B4FA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0.84</w:t>
            </w:r>
          </w:p>
        </w:tc>
      </w:tr>
      <w:tr w:rsidR="00EB3B4C" w:rsidRPr="00DA3766" w14:paraId="63CA9038" w14:textId="77777777" w:rsidTr="00635015">
        <w:trPr>
          <w:trHeight w:val="397"/>
          <w:jc w:val="center"/>
        </w:trPr>
        <w:tc>
          <w:tcPr>
            <w:tcW w:w="688" w:type="pct"/>
            <w:vAlign w:val="center"/>
          </w:tcPr>
          <w:p w14:paraId="76BF0EA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688293.SH</w:t>
            </w:r>
          </w:p>
        </w:tc>
        <w:tc>
          <w:tcPr>
            <w:tcW w:w="637" w:type="pct"/>
            <w:vAlign w:val="center"/>
          </w:tcPr>
          <w:p w14:paraId="1AA2E81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奥浦迈</w:t>
            </w:r>
          </w:p>
        </w:tc>
        <w:tc>
          <w:tcPr>
            <w:tcW w:w="768" w:type="pct"/>
            <w:vAlign w:val="center"/>
          </w:tcPr>
          <w:p w14:paraId="76AE0A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澎立生物医药技术（上海）股份有限公司</w:t>
            </w:r>
          </w:p>
        </w:tc>
        <w:tc>
          <w:tcPr>
            <w:tcW w:w="822" w:type="pct"/>
            <w:vAlign w:val="center"/>
          </w:tcPr>
          <w:p w14:paraId="0DC382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72" w:type="pct"/>
            <w:vAlign w:val="center"/>
          </w:tcPr>
          <w:p w14:paraId="206B13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790" w:type="pct"/>
            <w:vAlign w:val="center"/>
          </w:tcPr>
          <w:p w14:paraId="46E73A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3.97</w:t>
            </w:r>
            <w:r w:rsidRPr="00DA3766">
              <w:rPr>
                <w:rFonts w:ascii="Times New Roman" w:hAnsi="Times New Roman" w:cs="Times New Roman"/>
                <w:color w:val="000000"/>
                <w:sz w:val="21"/>
              </w:rPr>
              <w:t>、</w:t>
            </w:r>
            <w:r w:rsidRPr="00DA3766">
              <w:rPr>
                <w:rFonts w:ascii="Times New Roman" w:hAnsi="Times New Roman" w:cs="Times New Roman"/>
                <w:color w:val="000000"/>
                <w:sz w:val="21"/>
              </w:rPr>
              <w:t>5.36</w:t>
            </w:r>
            <w:r w:rsidRPr="00DA3766">
              <w:rPr>
                <w:rFonts w:ascii="Times New Roman" w:hAnsi="Times New Roman" w:cs="Times New Roman"/>
                <w:color w:val="000000"/>
                <w:sz w:val="21"/>
              </w:rPr>
              <w:t>、</w:t>
            </w:r>
            <w:r w:rsidRPr="00DA3766">
              <w:rPr>
                <w:rFonts w:ascii="Times New Roman" w:hAnsi="Times New Roman" w:cs="Times New Roman"/>
                <w:color w:val="000000"/>
                <w:sz w:val="21"/>
              </w:rPr>
              <w:t>4.38</w:t>
            </w:r>
            <w:r w:rsidRPr="00DA3766">
              <w:rPr>
                <w:rFonts w:ascii="Times New Roman" w:hAnsi="Times New Roman" w:cs="Times New Roman"/>
                <w:color w:val="000000"/>
                <w:sz w:val="21"/>
              </w:rPr>
              <w:t>、</w:t>
            </w:r>
            <w:r w:rsidRPr="00DA3766">
              <w:rPr>
                <w:rFonts w:ascii="Times New Roman" w:hAnsi="Times New Roman" w:cs="Times New Roman"/>
                <w:color w:val="000000"/>
                <w:sz w:val="21"/>
              </w:rPr>
              <w:t>3.94</w:t>
            </w:r>
          </w:p>
        </w:tc>
        <w:tc>
          <w:tcPr>
            <w:tcW w:w="523" w:type="pct"/>
            <w:vAlign w:val="center"/>
          </w:tcPr>
          <w:p w14:paraId="2FB8E8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0.57</w:t>
            </w:r>
          </w:p>
        </w:tc>
      </w:tr>
      <w:tr w:rsidR="00EB3B4C" w:rsidRPr="00DA3766" w14:paraId="581D5BE3" w14:textId="77777777" w:rsidTr="00635015">
        <w:trPr>
          <w:trHeight w:val="397"/>
          <w:jc w:val="center"/>
        </w:trPr>
        <w:tc>
          <w:tcPr>
            <w:tcW w:w="688" w:type="pct"/>
            <w:vMerge w:val="restart"/>
            <w:vAlign w:val="center"/>
          </w:tcPr>
          <w:p w14:paraId="6D0BB30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688126.SH</w:t>
            </w:r>
          </w:p>
        </w:tc>
        <w:tc>
          <w:tcPr>
            <w:tcW w:w="637" w:type="pct"/>
            <w:vMerge w:val="restart"/>
            <w:vAlign w:val="center"/>
          </w:tcPr>
          <w:p w14:paraId="74E0B31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沪硅产业</w:t>
            </w:r>
          </w:p>
        </w:tc>
        <w:tc>
          <w:tcPr>
            <w:tcW w:w="768" w:type="pct"/>
            <w:vMerge w:val="restart"/>
            <w:vAlign w:val="center"/>
          </w:tcPr>
          <w:p w14:paraId="6B44652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上海新昇晶科半导体科技有限公司</w:t>
            </w:r>
          </w:p>
        </w:tc>
        <w:tc>
          <w:tcPr>
            <w:tcW w:w="822" w:type="pct"/>
            <w:vMerge w:val="restart"/>
            <w:vAlign w:val="center"/>
          </w:tcPr>
          <w:p w14:paraId="39E89E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72" w:type="pct"/>
            <w:vAlign w:val="center"/>
          </w:tcPr>
          <w:p w14:paraId="2C05E95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790" w:type="pct"/>
            <w:vAlign w:val="center"/>
          </w:tcPr>
          <w:p w14:paraId="79D59A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1.72</w:t>
            </w:r>
            <w:r w:rsidRPr="00DA3766">
              <w:rPr>
                <w:rFonts w:ascii="Times New Roman" w:hAnsi="Times New Roman" w:cs="Times New Roman"/>
                <w:color w:val="000000"/>
                <w:sz w:val="21"/>
              </w:rPr>
              <w:t>、</w:t>
            </w:r>
            <w:r w:rsidRPr="00DA3766">
              <w:rPr>
                <w:rFonts w:ascii="Times New Roman" w:hAnsi="Times New Roman" w:cs="Times New Roman"/>
                <w:color w:val="000000"/>
                <w:sz w:val="21"/>
              </w:rPr>
              <w:t>1.19</w:t>
            </w:r>
            <w:r w:rsidRPr="00DA3766">
              <w:rPr>
                <w:rFonts w:ascii="Times New Roman" w:hAnsi="Times New Roman" w:cs="Times New Roman"/>
                <w:color w:val="000000"/>
                <w:sz w:val="21"/>
              </w:rPr>
              <w:t>、</w:t>
            </w:r>
            <w:r w:rsidRPr="00DA3766">
              <w:rPr>
                <w:rFonts w:ascii="Times New Roman" w:hAnsi="Times New Roman" w:cs="Times New Roman"/>
                <w:color w:val="000000"/>
                <w:sz w:val="21"/>
              </w:rPr>
              <w:t>1.28</w:t>
            </w:r>
          </w:p>
        </w:tc>
        <w:tc>
          <w:tcPr>
            <w:tcW w:w="523" w:type="pct"/>
            <w:vAlign w:val="center"/>
          </w:tcPr>
          <w:p w14:paraId="129ACF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1DED1CCB" w14:textId="77777777" w:rsidTr="00635015">
        <w:trPr>
          <w:trHeight w:val="397"/>
          <w:jc w:val="center"/>
        </w:trPr>
        <w:tc>
          <w:tcPr>
            <w:tcW w:w="688" w:type="pct"/>
            <w:vMerge/>
            <w:vAlign w:val="center"/>
          </w:tcPr>
          <w:p w14:paraId="795AF6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37" w:type="pct"/>
            <w:vMerge/>
            <w:vAlign w:val="center"/>
          </w:tcPr>
          <w:p w14:paraId="31C16A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768" w:type="pct"/>
            <w:vMerge/>
            <w:vAlign w:val="center"/>
          </w:tcPr>
          <w:p w14:paraId="6418D1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22" w:type="pct"/>
            <w:vMerge/>
            <w:vAlign w:val="center"/>
          </w:tcPr>
          <w:p w14:paraId="271A182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72" w:type="pct"/>
            <w:vAlign w:val="center"/>
          </w:tcPr>
          <w:p w14:paraId="2F1D5D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w:t>
            </w:r>
            <w:r w:rsidRPr="00DA3766">
              <w:rPr>
                <w:rFonts w:ascii="Times New Roman" w:hAnsi="Times New Roman" w:cs="Times New Roman"/>
                <w:color w:val="000000"/>
                <w:sz w:val="21"/>
              </w:rPr>
              <w:t>总资产</w:t>
            </w:r>
          </w:p>
        </w:tc>
        <w:tc>
          <w:tcPr>
            <w:tcW w:w="790" w:type="pct"/>
            <w:vAlign w:val="center"/>
          </w:tcPr>
          <w:p w14:paraId="14A6F5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1.46</w:t>
            </w:r>
            <w:r w:rsidRPr="00DA3766">
              <w:rPr>
                <w:rFonts w:ascii="Times New Roman" w:hAnsi="Times New Roman" w:cs="Times New Roman"/>
                <w:color w:val="000000"/>
                <w:sz w:val="21"/>
              </w:rPr>
              <w:t>、</w:t>
            </w:r>
            <w:r w:rsidRPr="00DA3766">
              <w:rPr>
                <w:rFonts w:ascii="Times New Roman" w:hAnsi="Times New Roman" w:cs="Times New Roman"/>
                <w:color w:val="000000"/>
                <w:sz w:val="21"/>
              </w:rPr>
              <w:t>0.90</w:t>
            </w:r>
            <w:r w:rsidRPr="00DA3766">
              <w:rPr>
                <w:rFonts w:ascii="Times New Roman" w:hAnsi="Times New Roman" w:cs="Times New Roman"/>
                <w:color w:val="000000"/>
                <w:sz w:val="21"/>
              </w:rPr>
              <w:t>、</w:t>
            </w:r>
            <w:r w:rsidRPr="00DA3766">
              <w:rPr>
                <w:rFonts w:ascii="Times New Roman" w:hAnsi="Times New Roman" w:cs="Times New Roman"/>
                <w:color w:val="000000"/>
                <w:sz w:val="21"/>
              </w:rPr>
              <w:t>1.17</w:t>
            </w:r>
          </w:p>
        </w:tc>
        <w:tc>
          <w:tcPr>
            <w:tcW w:w="523" w:type="pct"/>
            <w:vAlign w:val="center"/>
          </w:tcPr>
          <w:p w14:paraId="641F402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6ABFD6B8" w14:textId="77777777" w:rsidTr="00635015">
        <w:trPr>
          <w:trHeight w:val="397"/>
          <w:jc w:val="center"/>
        </w:trPr>
        <w:tc>
          <w:tcPr>
            <w:tcW w:w="688" w:type="pct"/>
            <w:vMerge/>
            <w:vAlign w:val="center"/>
          </w:tcPr>
          <w:p w14:paraId="2C765E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37" w:type="pct"/>
            <w:vMerge/>
            <w:vAlign w:val="center"/>
          </w:tcPr>
          <w:p w14:paraId="54163A0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768" w:type="pct"/>
            <w:vMerge w:val="restart"/>
            <w:vAlign w:val="center"/>
          </w:tcPr>
          <w:p w14:paraId="73BC69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上海新昇晶睿半导体科技有限公司</w:t>
            </w:r>
          </w:p>
        </w:tc>
        <w:tc>
          <w:tcPr>
            <w:tcW w:w="822" w:type="pct"/>
            <w:vMerge/>
            <w:vAlign w:val="center"/>
          </w:tcPr>
          <w:p w14:paraId="1E25100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72" w:type="pct"/>
            <w:vAlign w:val="center"/>
          </w:tcPr>
          <w:p w14:paraId="0EE4B4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790" w:type="pct"/>
            <w:vAlign w:val="center"/>
          </w:tcPr>
          <w:p w14:paraId="76F0A26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1.72</w:t>
            </w:r>
            <w:r w:rsidRPr="00DA3766">
              <w:rPr>
                <w:rFonts w:ascii="Times New Roman" w:hAnsi="Times New Roman" w:cs="Times New Roman"/>
                <w:color w:val="000000"/>
                <w:sz w:val="21"/>
              </w:rPr>
              <w:t>、</w:t>
            </w:r>
            <w:r w:rsidRPr="00DA3766">
              <w:rPr>
                <w:rFonts w:ascii="Times New Roman" w:hAnsi="Times New Roman" w:cs="Times New Roman"/>
                <w:color w:val="000000"/>
                <w:sz w:val="21"/>
              </w:rPr>
              <w:t>1.19</w:t>
            </w:r>
            <w:r w:rsidRPr="00DA3766">
              <w:rPr>
                <w:rFonts w:ascii="Times New Roman" w:hAnsi="Times New Roman" w:cs="Times New Roman"/>
                <w:color w:val="000000"/>
                <w:sz w:val="21"/>
              </w:rPr>
              <w:t>、</w:t>
            </w:r>
            <w:r w:rsidRPr="00DA3766">
              <w:rPr>
                <w:rFonts w:ascii="Times New Roman" w:hAnsi="Times New Roman" w:cs="Times New Roman"/>
                <w:color w:val="000000"/>
                <w:sz w:val="21"/>
              </w:rPr>
              <w:t>1.27</w:t>
            </w:r>
          </w:p>
        </w:tc>
        <w:tc>
          <w:tcPr>
            <w:tcW w:w="523" w:type="pct"/>
            <w:vAlign w:val="center"/>
          </w:tcPr>
          <w:p w14:paraId="08922C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14679BB3" w14:textId="77777777" w:rsidTr="00635015">
        <w:trPr>
          <w:trHeight w:val="397"/>
          <w:jc w:val="center"/>
        </w:trPr>
        <w:tc>
          <w:tcPr>
            <w:tcW w:w="688" w:type="pct"/>
            <w:vMerge/>
            <w:vAlign w:val="center"/>
          </w:tcPr>
          <w:p w14:paraId="5C9D51B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37" w:type="pct"/>
            <w:vMerge/>
            <w:vAlign w:val="center"/>
          </w:tcPr>
          <w:p w14:paraId="1A54E9D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768" w:type="pct"/>
            <w:vMerge/>
            <w:vAlign w:val="center"/>
          </w:tcPr>
          <w:p w14:paraId="469CC4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22" w:type="pct"/>
            <w:vMerge/>
            <w:vAlign w:val="center"/>
          </w:tcPr>
          <w:p w14:paraId="072402A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72" w:type="pct"/>
            <w:vAlign w:val="center"/>
          </w:tcPr>
          <w:p w14:paraId="0B86DF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w:t>
            </w:r>
            <w:r w:rsidRPr="00DA3766">
              <w:rPr>
                <w:rFonts w:ascii="Times New Roman" w:hAnsi="Times New Roman" w:cs="Times New Roman"/>
                <w:color w:val="000000"/>
                <w:sz w:val="21"/>
              </w:rPr>
              <w:t>总资产</w:t>
            </w:r>
          </w:p>
        </w:tc>
        <w:tc>
          <w:tcPr>
            <w:tcW w:w="790" w:type="pct"/>
            <w:vAlign w:val="center"/>
          </w:tcPr>
          <w:p w14:paraId="504527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1.46</w:t>
            </w:r>
            <w:r w:rsidRPr="00DA3766">
              <w:rPr>
                <w:rFonts w:ascii="Times New Roman" w:hAnsi="Times New Roman" w:cs="Times New Roman"/>
                <w:color w:val="000000"/>
                <w:sz w:val="21"/>
              </w:rPr>
              <w:t>、</w:t>
            </w:r>
            <w:r w:rsidRPr="00DA3766">
              <w:rPr>
                <w:rFonts w:ascii="Times New Roman" w:hAnsi="Times New Roman" w:cs="Times New Roman"/>
                <w:color w:val="000000"/>
                <w:sz w:val="21"/>
              </w:rPr>
              <w:t>0.90</w:t>
            </w:r>
            <w:r w:rsidRPr="00DA3766">
              <w:rPr>
                <w:rFonts w:ascii="Times New Roman" w:hAnsi="Times New Roman" w:cs="Times New Roman"/>
                <w:color w:val="000000"/>
                <w:sz w:val="21"/>
              </w:rPr>
              <w:t>、</w:t>
            </w:r>
            <w:r w:rsidRPr="00DA3766">
              <w:rPr>
                <w:rFonts w:ascii="Times New Roman" w:hAnsi="Times New Roman" w:cs="Times New Roman"/>
                <w:color w:val="000000"/>
                <w:sz w:val="21"/>
              </w:rPr>
              <w:t>1.17</w:t>
            </w:r>
          </w:p>
        </w:tc>
        <w:tc>
          <w:tcPr>
            <w:tcW w:w="523" w:type="pct"/>
            <w:vAlign w:val="center"/>
          </w:tcPr>
          <w:p w14:paraId="080073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793CEEDC" w14:textId="77777777" w:rsidTr="00635015">
        <w:trPr>
          <w:trHeight w:val="397"/>
          <w:jc w:val="center"/>
        </w:trPr>
        <w:tc>
          <w:tcPr>
            <w:tcW w:w="688" w:type="pct"/>
            <w:vAlign w:val="center"/>
          </w:tcPr>
          <w:p w14:paraId="65CCF1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301178.SZ</w:t>
            </w:r>
          </w:p>
        </w:tc>
        <w:tc>
          <w:tcPr>
            <w:tcW w:w="637" w:type="pct"/>
            <w:vAlign w:val="center"/>
          </w:tcPr>
          <w:p w14:paraId="024C37D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天亿马</w:t>
            </w:r>
          </w:p>
        </w:tc>
        <w:tc>
          <w:tcPr>
            <w:tcW w:w="768" w:type="pct"/>
            <w:vAlign w:val="center"/>
          </w:tcPr>
          <w:p w14:paraId="41060DD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广东星云开物科技股份有限公司</w:t>
            </w:r>
          </w:p>
        </w:tc>
        <w:tc>
          <w:tcPr>
            <w:tcW w:w="822" w:type="pct"/>
            <w:vAlign w:val="center"/>
          </w:tcPr>
          <w:p w14:paraId="204CC9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2025/6/30</w:t>
            </w:r>
          </w:p>
        </w:tc>
        <w:tc>
          <w:tcPr>
            <w:tcW w:w="772" w:type="pct"/>
            <w:vAlign w:val="center"/>
          </w:tcPr>
          <w:p w14:paraId="3CEC0A2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790" w:type="pct"/>
            <w:vAlign w:val="center"/>
          </w:tcPr>
          <w:p w14:paraId="464F42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2.57</w:t>
            </w:r>
            <w:r w:rsidRPr="00DA3766">
              <w:rPr>
                <w:rFonts w:ascii="Times New Roman" w:hAnsi="Times New Roman" w:cs="Times New Roman"/>
                <w:color w:val="000000"/>
                <w:sz w:val="21"/>
              </w:rPr>
              <w:t>、</w:t>
            </w:r>
            <w:r w:rsidRPr="00DA3766">
              <w:rPr>
                <w:rFonts w:ascii="Times New Roman" w:hAnsi="Times New Roman" w:cs="Times New Roman"/>
                <w:color w:val="000000"/>
                <w:sz w:val="21"/>
              </w:rPr>
              <w:t>1.89</w:t>
            </w:r>
            <w:r w:rsidRPr="00DA3766">
              <w:rPr>
                <w:rFonts w:ascii="Times New Roman" w:hAnsi="Times New Roman" w:cs="Times New Roman"/>
                <w:color w:val="000000"/>
                <w:sz w:val="21"/>
              </w:rPr>
              <w:t>、</w:t>
            </w:r>
            <w:r w:rsidRPr="00DA3766">
              <w:rPr>
                <w:rFonts w:ascii="Times New Roman" w:hAnsi="Times New Roman" w:cs="Times New Roman"/>
                <w:color w:val="000000"/>
                <w:sz w:val="21"/>
              </w:rPr>
              <w:t>4.91</w:t>
            </w:r>
          </w:p>
        </w:tc>
        <w:tc>
          <w:tcPr>
            <w:tcW w:w="523" w:type="pct"/>
            <w:vAlign w:val="center"/>
          </w:tcPr>
          <w:p w14:paraId="69ABA7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0.51</w:t>
            </w:r>
          </w:p>
        </w:tc>
      </w:tr>
    </w:tbl>
    <w:p w14:paraId="31A4643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综上所述，各可比公司调整后</w:t>
      </w:r>
      <w:r w:rsidRPr="00DA3766">
        <w:rPr>
          <w:rFonts w:ascii="Times New Roman" w:hAnsi="Times New Roman" w:cs="Times New Roman"/>
          <w:kern w:val="2"/>
          <w:szCs w:val="22"/>
        </w:rPr>
        <w:t>EV/S</w:t>
      </w:r>
      <w:r w:rsidRPr="00DA3766">
        <w:rPr>
          <w:rFonts w:ascii="Times New Roman" w:hAnsi="Times New Roman" w:cs="Times New Roman"/>
          <w:kern w:val="2"/>
          <w:szCs w:val="22"/>
        </w:rPr>
        <w:t>价值比率存在差异具备合理性，且其他市场案例存在类似情形。</w:t>
      </w:r>
    </w:p>
    <w:p w14:paraId="0AA62472" w14:textId="2B594F36"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（四）市场法的评估情况及分析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00EB72A0">
        <w:rPr>
          <w:rFonts w:ascii="Times New Roman" w:hAnsi="Times New Roman" w:cs="Times New Roman" w:hint="eastAsia"/>
          <w:kern w:val="2"/>
          <w:szCs w:val="22"/>
        </w:rPr>
        <w:t>3</w:t>
      </w:r>
      <w:r w:rsidRPr="00DA3766">
        <w:rPr>
          <w:rFonts w:ascii="Times New Roman" w:hAnsi="Times New Roman" w:cs="Times New Roman"/>
          <w:kern w:val="2"/>
          <w:szCs w:val="22"/>
        </w:rPr>
        <w:t>、价值比率的筛选</w:t>
      </w:r>
      <w:r w:rsidRPr="00DA3766">
        <w:rPr>
          <w:rFonts w:cs="Times New Roman"/>
          <w:kern w:val="2"/>
          <w:szCs w:val="22"/>
        </w:rPr>
        <w:t>”</w:t>
      </w:r>
      <w:r w:rsidRPr="00DA3766">
        <w:rPr>
          <w:rFonts w:ascii="Times New Roman" w:hAnsi="Times New Roman" w:cs="Times New Roman"/>
          <w:kern w:val="2"/>
          <w:szCs w:val="22"/>
        </w:rPr>
        <w:t>补充披露。</w:t>
      </w:r>
    </w:p>
    <w:p w14:paraId="65813EA9" w14:textId="77777777" w:rsidR="00E76498" w:rsidRDefault="00E76498" w:rsidP="00E76498">
      <w:pPr>
        <w:keepNext/>
        <w:keepLines/>
        <w:widowControl w:val="0"/>
        <w:spacing w:before="120" w:after="120"/>
        <w:ind w:firstLine="482"/>
        <w:jc w:val="both"/>
        <w:outlineLvl w:val="1"/>
        <w:rPr>
          <w:rFonts w:ascii="Times New Roman" w:hAnsi="Times New Roman" w:cs="Times New Roman"/>
          <w:b/>
          <w:bCs/>
          <w:kern w:val="2"/>
          <w:szCs w:val="28"/>
        </w:rPr>
      </w:pPr>
      <w:bookmarkStart w:id="109" w:name="_Toc220344121"/>
      <w:r w:rsidRPr="00DA3766">
        <w:rPr>
          <w:rFonts w:ascii="Times New Roman" w:hAnsi="Times New Roman" w:cs="Times New Roman"/>
          <w:b/>
          <w:bCs/>
          <w:kern w:val="2"/>
          <w:szCs w:val="28"/>
        </w:rPr>
        <w:lastRenderedPageBreak/>
        <w:t>五、</w:t>
      </w:r>
      <w:r>
        <w:rPr>
          <w:rFonts w:ascii="Times New Roman" w:hAnsi="Times New Roman" w:cs="Times New Roman" w:hint="eastAsia"/>
          <w:b/>
          <w:bCs/>
          <w:kern w:val="2"/>
          <w:szCs w:val="28"/>
        </w:rPr>
        <w:t>中介机构</w:t>
      </w:r>
      <w:r w:rsidRPr="00DA3766">
        <w:rPr>
          <w:rFonts w:ascii="Times New Roman" w:hAnsi="Times New Roman" w:cs="Times New Roman"/>
          <w:b/>
          <w:bCs/>
          <w:kern w:val="2"/>
          <w:szCs w:val="28"/>
        </w:rPr>
        <w:t>核查过程及核查意见</w:t>
      </w:r>
    </w:p>
    <w:p w14:paraId="2A4DC6B7"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04CD34D9"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4F711E8E" w14:textId="77777777" w:rsidR="00E76498" w:rsidRDefault="00E76498" w:rsidP="00E76498">
      <w:pPr>
        <w:pStyle w:val="005"/>
        <w:spacing w:before="120" w:after="120"/>
        <w:ind w:firstLine="480"/>
      </w:pPr>
      <w:r>
        <w:rPr>
          <w:rFonts w:hint="eastAsia"/>
        </w:rPr>
        <w:t>针对前述事项，独立财务顾问主要实施了以下核查程序：</w:t>
      </w:r>
    </w:p>
    <w:p w14:paraId="41AE107E"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DA3766">
        <w:rPr>
          <w:rFonts w:ascii="Times New Roman" w:hAnsi="Times New Roman" w:cs="Times New Roman"/>
          <w:kern w:val="2"/>
          <w:szCs w:val="22"/>
        </w:rPr>
        <w:t>通过公开信息查询同行业上市公司具体业务结构、经营模式、企业规模、成长能力、盈利能力、所处经营阶段等方面等，了解同行业公司与标的公司的可比情况；</w:t>
      </w:r>
    </w:p>
    <w:p w14:paraId="4DBB829F"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DA3766">
        <w:rPr>
          <w:rFonts w:ascii="Times New Roman" w:hAnsi="Times New Roman" w:cs="Times New Roman"/>
          <w:kern w:val="2"/>
          <w:szCs w:val="22"/>
        </w:rPr>
        <w:t>查阅《资产评估执业准则</w:t>
      </w:r>
      <w:r w:rsidRPr="00DA3766">
        <w:rPr>
          <w:rFonts w:ascii="Times New Roman" w:hAnsi="Times New Roman" w:cs="Times New Roman"/>
          <w:kern w:val="2"/>
          <w:szCs w:val="22"/>
        </w:rPr>
        <w:t>——</w:t>
      </w:r>
      <w:r w:rsidRPr="00DA3766">
        <w:rPr>
          <w:rFonts w:ascii="Times New Roman" w:hAnsi="Times New Roman" w:cs="Times New Roman"/>
          <w:kern w:val="2"/>
          <w:szCs w:val="22"/>
        </w:rPr>
        <w:t>企业价值》，分析标的公司所处行业及发展阶段，了解各价值比率的适用性及合理性；查阅了可比交易案例可比的价值比率，了解其市场法评估采用的价值比率情况；</w:t>
      </w:r>
    </w:p>
    <w:p w14:paraId="2D8EE73A"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DA3766">
        <w:rPr>
          <w:rFonts w:ascii="Times New Roman" w:hAnsi="Times New Roman" w:cs="Times New Roman"/>
          <w:kern w:val="2"/>
          <w:szCs w:val="22"/>
        </w:rPr>
        <w:t>复核评估机构计算市场法评估值时所采用的各项指标、参数的取值时间、数据来源及具体测算过程；</w:t>
      </w:r>
    </w:p>
    <w:p w14:paraId="5E49714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4</w:t>
      </w:r>
      <w:r>
        <w:rPr>
          <w:rFonts w:ascii="Times New Roman" w:hAnsi="Times New Roman" w:cs="Times New Roman" w:hint="eastAsia"/>
          <w:kern w:val="2"/>
          <w:szCs w:val="22"/>
        </w:rPr>
        <w:t>）</w:t>
      </w:r>
      <w:r w:rsidRPr="00DA3766">
        <w:rPr>
          <w:rFonts w:ascii="Times New Roman" w:hAnsi="Times New Roman" w:cs="Times New Roman"/>
          <w:kern w:val="2"/>
          <w:szCs w:val="22"/>
        </w:rPr>
        <w:t>查阅《资产评估执业准则</w:t>
      </w:r>
      <w:r w:rsidRPr="00DA3766">
        <w:rPr>
          <w:rFonts w:ascii="Times New Roman" w:hAnsi="Times New Roman" w:cs="Times New Roman"/>
          <w:kern w:val="2"/>
          <w:szCs w:val="22"/>
        </w:rPr>
        <w:t>——</w:t>
      </w:r>
      <w:r w:rsidRPr="00DA3766">
        <w:rPr>
          <w:rFonts w:ascii="Times New Roman" w:hAnsi="Times New Roman" w:cs="Times New Roman"/>
          <w:kern w:val="2"/>
          <w:szCs w:val="22"/>
        </w:rPr>
        <w:t>企业价值》，根据准则要求对照本次评估在评估方法选取过程中考量因素以及修正体系搭建的完备性。</w:t>
      </w:r>
    </w:p>
    <w:p w14:paraId="428B0556"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6A588098"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604A2494"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DA3766">
        <w:rPr>
          <w:rFonts w:ascii="Times New Roman" w:hAnsi="Times New Roman" w:cs="Times New Roman"/>
          <w:kern w:val="2"/>
          <w:szCs w:val="22"/>
        </w:rPr>
        <w:t>本次评估选取的</w:t>
      </w:r>
      <w:r w:rsidRPr="00DA3766">
        <w:rPr>
          <w:rFonts w:ascii="Times New Roman" w:hAnsi="Times New Roman" w:cs="Times New Roman"/>
          <w:kern w:val="2"/>
          <w:szCs w:val="22"/>
        </w:rPr>
        <w:t>3</w:t>
      </w:r>
      <w:r w:rsidRPr="00DA3766">
        <w:rPr>
          <w:rFonts w:ascii="Times New Roman" w:hAnsi="Times New Roman" w:cs="Times New Roman"/>
          <w:kern w:val="2"/>
          <w:szCs w:val="22"/>
        </w:rPr>
        <w:t>家上市公司，综合考虑了业务结构、经营模式、企业规模、成长能力、盈利能力、所处经营阶段等方面对比情况，具备可比性；</w:t>
      </w:r>
    </w:p>
    <w:p w14:paraId="176A280C"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DA3766">
        <w:rPr>
          <w:rFonts w:ascii="Times New Roman" w:hAnsi="Times New Roman" w:cs="Times New Roman"/>
          <w:kern w:val="2"/>
          <w:szCs w:val="22"/>
        </w:rPr>
        <w:t>本次评估选择</w:t>
      </w:r>
      <w:r w:rsidRPr="00DA3766">
        <w:rPr>
          <w:rFonts w:ascii="Times New Roman" w:hAnsi="Times New Roman" w:cs="Times New Roman"/>
          <w:kern w:val="2"/>
          <w:szCs w:val="22"/>
        </w:rPr>
        <w:t>EV/S</w:t>
      </w:r>
      <w:r w:rsidRPr="00DA3766">
        <w:rPr>
          <w:rFonts w:ascii="Times New Roman" w:hAnsi="Times New Roman" w:cs="Times New Roman"/>
          <w:kern w:val="2"/>
          <w:szCs w:val="22"/>
        </w:rPr>
        <w:t>作为价值比率主要系由于标的公司处于成长期，核心发展目标为拓展细分赛道客户、扩大业务规模，收入增长是现阶段核心价值驱动因素，</w:t>
      </w:r>
      <w:r w:rsidRPr="00DA3766">
        <w:rPr>
          <w:rFonts w:ascii="Times New Roman" w:hAnsi="Times New Roman" w:cs="Times New Roman"/>
          <w:kern w:val="2"/>
          <w:szCs w:val="22"/>
        </w:rPr>
        <w:t>EV/S</w:t>
      </w:r>
      <w:r w:rsidRPr="00DA3766">
        <w:rPr>
          <w:rFonts w:ascii="Times New Roman" w:hAnsi="Times New Roman" w:cs="Times New Roman"/>
          <w:kern w:val="2"/>
          <w:szCs w:val="22"/>
        </w:rPr>
        <w:t>比率与该阶段特性高度契合，本次采用</w:t>
      </w:r>
      <w:r w:rsidRPr="00DA3766">
        <w:rPr>
          <w:rFonts w:ascii="Times New Roman" w:hAnsi="Times New Roman" w:cs="Times New Roman"/>
          <w:kern w:val="2"/>
          <w:szCs w:val="22"/>
        </w:rPr>
        <w:t>EV/S</w:t>
      </w:r>
      <w:r w:rsidRPr="00DA3766">
        <w:rPr>
          <w:rFonts w:ascii="Times New Roman" w:hAnsi="Times New Roman" w:cs="Times New Roman"/>
          <w:kern w:val="2"/>
          <w:szCs w:val="22"/>
        </w:rPr>
        <w:t>具备合理性，与行业内其他交易案例一致；</w:t>
      </w:r>
    </w:p>
    <w:p w14:paraId="5E8F0583"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DA3766">
        <w:rPr>
          <w:rFonts w:ascii="Times New Roman" w:hAnsi="Times New Roman" w:cs="Times New Roman"/>
          <w:kern w:val="2"/>
          <w:szCs w:val="22"/>
        </w:rPr>
        <w:t>可比企业静态</w:t>
      </w:r>
      <w:r w:rsidRPr="00DA3766">
        <w:rPr>
          <w:rFonts w:ascii="Times New Roman" w:hAnsi="Times New Roman" w:cs="Times New Roman"/>
          <w:kern w:val="2"/>
          <w:szCs w:val="22"/>
        </w:rPr>
        <w:t>EV/S</w:t>
      </w:r>
      <w:r w:rsidRPr="00DA3766">
        <w:rPr>
          <w:rFonts w:ascii="Times New Roman" w:hAnsi="Times New Roman" w:cs="Times New Roman"/>
          <w:kern w:val="2"/>
          <w:szCs w:val="22"/>
        </w:rPr>
        <w:t>、修正价值比率、计算市场法评估值时所采用的各项指标、参数的取值时间、数据来源及具体测算过程具备合理性；</w:t>
      </w:r>
    </w:p>
    <w:p w14:paraId="2FD3526D" w14:textId="77777777" w:rsidR="00E76498" w:rsidRDefault="00E76498" w:rsidP="00E76498">
      <w:pPr>
        <w:pStyle w:val="005"/>
        <w:spacing w:before="120" w:after="120"/>
        <w:ind w:firstLine="480"/>
      </w:pPr>
      <w:r>
        <w:rPr>
          <w:rFonts w:hint="eastAsia"/>
        </w:rPr>
        <w:t>（</w:t>
      </w:r>
      <w:r>
        <w:rPr>
          <w:rFonts w:hint="eastAsia"/>
        </w:rPr>
        <w:t>4</w:t>
      </w:r>
      <w:r>
        <w:rPr>
          <w:rFonts w:hint="eastAsia"/>
        </w:rPr>
        <w:t>）</w:t>
      </w:r>
      <w:r w:rsidRPr="00DA3766">
        <w:t>本次评估从企业规模、成长能力、盈利能力、运营能力、偿债能力、研发能力等多个维度对可比企业与标的公司的差异进行了修正，在修正维度的选</w:t>
      </w:r>
      <w:r w:rsidRPr="00DA3766">
        <w:lastRenderedPageBreak/>
        <w:t>取上与行业规范相一致，价值比率修正过程中各维度及对应财务指标选取原因及依据具备合理性；本次评估与行业惯例在修正维度不存在重大差异，所选取的财务指标均能较好地反映不同公司的企业价值之间的核心差异，具备合理性。本次市场法评估调整后</w:t>
      </w:r>
      <w:r w:rsidRPr="00DA3766">
        <w:t>EV/S</w:t>
      </w:r>
      <w:r w:rsidRPr="00DA3766">
        <w:t>指标的离散度处于可比交易案例的差异率合理区间内，调整后</w:t>
      </w:r>
      <w:r w:rsidRPr="00DA3766">
        <w:t>EV/S</w:t>
      </w:r>
      <w:r w:rsidRPr="00DA3766">
        <w:t>指标存在差异具备合理性，可比公司调整后</w:t>
      </w:r>
      <w:r w:rsidRPr="00DA3766">
        <w:t>EV/S</w:t>
      </w:r>
      <w:r w:rsidRPr="00DA3766">
        <w:t>指标选取及修正结果具备合理性。</w:t>
      </w:r>
    </w:p>
    <w:p w14:paraId="590DDF49" w14:textId="77777777" w:rsidR="00E76498" w:rsidRPr="00DA3766" w:rsidRDefault="00E76498" w:rsidP="00E76498">
      <w:pPr>
        <w:pStyle w:val="003"/>
        <w:spacing w:before="120" w:after="120"/>
        <w:ind w:firstLine="482"/>
      </w:pPr>
      <w:r>
        <w:rPr>
          <w:rFonts w:hint="eastAsia"/>
        </w:rPr>
        <w:t>（二）评估师</w:t>
      </w:r>
      <w:r w:rsidRPr="00DA3766">
        <w:t>核查过程及核查意见</w:t>
      </w:r>
    </w:p>
    <w:p w14:paraId="043BDC7F"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0786B9F9" w14:textId="77777777" w:rsidR="00E76498" w:rsidRDefault="00E76498" w:rsidP="00E76498">
      <w:pPr>
        <w:pStyle w:val="005"/>
        <w:spacing w:before="120" w:after="120"/>
        <w:ind w:firstLine="480"/>
      </w:pPr>
      <w:r>
        <w:rPr>
          <w:rFonts w:hint="eastAsia"/>
        </w:rPr>
        <w:t>（</w:t>
      </w:r>
      <w:r>
        <w:rPr>
          <w:rFonts w:hint="eastAsia"/>
        </w:rPr>
        <w:t>1</w:t>
      </w:r>
      <w:r>
        <w:rPr>
          <w:rFonts w:hint="eastAsia"/>
        </w:rPr>
        <w:t>）通过公开信息查询同行业上市公司具体业务结构、经营模式、企业规模、成长能力、盈利能力、所处经营阶段等方面等，了解同行业公司与标的公司的可比情况；</w:t>
      </w:r>
    </w:p>
    <w:p w14:paraId="56994405" w14:textId="77777777" w:rsidR="00E76498" w:rsidRDefault="00E76498" w:rsidP="00E76498">
      <w:pPr>
        <w:pStyle w:val="005"/>
        <w:spacing w:before="120" w:after="120"/>
        <w:ind w:firstLine="480"/>
      </w:pPr>
      <w:r>
        <w:rPr>
          <w:rFonts w:hint="eastAsia"/>
        </w:rPr>
        <w:t>（</w:t>
      </w:r>
      <w:r>
        <w:rPr>
          <w:rFonts w:hint="eastAsia"/>
        </w:rPr>
        <w:t>2</w:t>
      </w:r>
      <w:r>
        <w:rPr>
          <w:rFonts w:hint="eastAsia"/>
        </w:rPr>
        <w:t>）查阅《资产评估执业准则——企业价值》，分析标的公司所处行业及发展阶段，了解各价值比率的适用性及合理性；查阅了可比交易案例可比的价值比率，了解其市场法评估采用的价值比率情况；</w:t>
      </w:r>
    </w:p>
    <w:p w14:paraId="50D3675B" w14:textId="77777777" w:rsidR="00E76498" w:rsidRDefault="00E76498" w:rsidP="00E76498">
      <w:pPr>
        <w:pStyle w:val="005"/>
        <w:spacing w:before="120" w:after="120"/>
        <w:ind w:firstLine="480"/>
      </w:pPr>
      <w:r>
        <w:rPr>
          <w:rFonts w:hint="eastAsia"/>
        </w:rPr>
        <w:t>（</w:t>
      </w:r>
      <w:r>
        <w:rPr>
          <w:rFonts w:hint="eastAsia"/>
        </w:rPr>
        <w:t>3</w:t>
      </w:r>
      <w:r>
        <w:rPr>
          <w:rFonts w:hint="eastAsia"/>
        </w:rPr>
        <w:t>）复核市场法评估值时所采用的各项指标、参数的取值时间、数据来源及具体测算过程；</w:t>
      </w:r>
    </w:p>
    <w:p w14:paraId="5930EB58" w14:textId="77777777" w:rsidR="00E76498" w:rsidRDefault="00E76498" w:rsidP="00E76498">
      <w:pPr>
        <w:pStyle w:val="005"/>
        <w:spacing w:before="120" w:after="120"/>
        <w:ind w:firstLine="480"/>
      </w:pPr>
      <w:r>
        <w:rPr>
          <w:rFonts w:hint="eastAsia"/>
        </w:rPr>
        <w:t>（</w:t>
      </w:r>
      <w:r>
        <w:rPr>
          <w:rFonts w:hint="eastAsia"/>
        </w:rPr>
        <w:t>4</w:t>
      </w:r>
      <w:r>
        <w:rPr>
          <w:rFonts w:hint="eastAsia"/>
        </w:rPr>
        <w:t>）查阅《资产评估执业准则——企业价值》，根据准则要求对照本次评估在评估方法选取过程中考量因素以及修正体系搭建的完备性。</w:t>
      </w:r>
    </w:p>
    <w:p w14:paraId="44C16E47" w14:textId="77777777" w:rsidR="00E76498" w:rsidRPr="00DA3766" w:rsidRDefault="00E76498" w:rsidP="00E76498">
      <w:pPr>
        <w:pStyle w:val="004"/>
        <w:spacing w:before="120" w:after="120"/>
        <w:ind w:firstLine="482"/>
      </w:pPr>
      <w:r>
        <w:rPr>
          <w:rFonts w:hint="eastAsia"/>
        </w:rPr>
        <w:t>2</w:t>
      </w:r>
      <w:r>
        <w:rPr>
          <w:rFonts w:hint="eastAsia"/>
        </w:rPr>
        <w:t>、核查意见</w:t>
      </w:r>
    </w:p>
    <w:p w14:paraId="4BB0756E" w14:textId="77777777" w:rsidR="00E76498" w:rsidRPr="00E84881" w:rsidRDefault="00E76498" w:rsidP="00E76498">
      <w:pPr>
        <w:pStyle w:val="005"/>
        <w:spacing w:before="120" w:after="120"/>
        <w:ind w:firstLine="480"/>
        <w:rPr>
          <w:bCs/>
        </w:rPr>
      </w:pPr>
      <w:r w:rsidRPr="00E84881">
        <w:rPr>
          <w:rFonts w:hint="eastAsia"/>
          <w:bCs/>
        </w:rPr>
        <w:t>经核查，评估师认为：</w:t>
      </w:r>
    </w:p>
    <w:p w14:paraId="4B95DC6B" w14:textId="77777777" w:rsidR="00E76498" w:rsidRPr="00E84881" w:rsidRDefault="00E76498" w:rsidP="00E76498">
      <w:pPr>
        <w:pStyle w:val="005"/>
        <w:spacing w:before="120" w:after="120"/>
        <w:ind w:firstLine="480"/>
        <w:rPr>
          <w:bCs/>
        </w:rPr>
      </w:pPr>
      <w:r>
        <w:rPr>
          <w:rFonts w:hint="eastAsia"/>
          <w:bCs/>
        </w:rPr>
        <w:t>（</w:t>
      </w:r>
      <w:r>
        <w:rPr>
          <w:rFonts w:hint="eastAsia"/>
          <w:bCs/>
        </w:rPr>
        <w:t>1</w:t>
      </w:r>
      <w:r>
        <w:rPr>
          <w:rFonts w:hint="eastAsia"/>
          <w:bCs/>
        </w:rPr>
        <w:t>）</w:t>
      </w:r>
      <w:r w:rsidRPr="00E84881">
        <w:rPr>
          <w:rFonts w:hint="eastAsia"/>
          <w:bCs/>
        </w:rPr>
        <w:t>本次评估选取的</w:t>
      </w:r>
      <w:r w:rsidRPr="00E84881">
        <w:rPr>
          <w:rFonts w:hint="eastAsia"/>
          <w:bCs/>
        </w:rPr>
        <w:t>3</w:t>
      </w:r>
      <w:r w:rsidRPr="00E84881">
        <w:rPr>
          <w:rFonts w:hint="eastAsia"/>
          <w:bCs/>
        </w:rPr>
        <w:t>家上市公司，综合考虑了业务结构、经营模式、企业规模、成长能力、盈利能力、所处经营阶段等方面对比情况，具备可比性；</w:t>
      </w:r>
    </w:p>
    <w:p w14:paraId="4F35DE72" w14:textId="77777777" w:rsidR="00E76498" w:rsidRPr="00E84881" w:rsidRDefault="00E76498" w:rsidP="00E76498">
      <w:pPr>
        <w:pStyle w:val="005"/>
        <w:spacing w:before="120" w:after="120"/>
        <w:ind w:firstLine="480"/>
        <w:rPr>
          <w:bCs/>
        </w:rPr>
      </w:pPr>
      <w:r>
        <w:rPr>
          <w:rFonts w:hint="eastAsia"/>
          <w:bCs/>
        </w:rPr>
        <w:t>（</w:t>
      </w:r>
      <w:r>
        <w:rPr>
          <w:rFonts w:hint="eastAsia"/>
          <w:bCs/>
        </w:rPr>
        <w:t>2</w:t>
      </w:r>
      <w:r>
        <w:rPr>
          <w:rFonts w:hint="eastAsia"/>
          <w:bCs/>
        </w:rPr>
        <w:t>）</w:t>
      </w:r>
      <w:r w:rsidRPr="00E84881">
        <w:rPr>
          <w:rFonts w:hint="eastAsia"/>
          <w:bCs/>
        </w:rPr>
        <w:t>本次评估选择</w:t>
      </w:r>
      <w:r w:rsidRPr="00E84881">
        <w:rPr>
          <w:rFonts w:hint="eastAsia"/>
          <w:bCs/>
        </w:rPr>
        <w:t>EV/S</w:t>
      </w:r>
      <w:r w:rsidRPr="00E84881">
        <w:rPr>
          <w:rFonts w:hint="eastAsia"/>
          <w:bCs/>
        </w:rPr>
        <w:t>作为价值比率主要系由于标的公司处于成长期，核心发展目标为拓展细分赛道客户、扩大业务规模，收入增长是现阶段核心价值驱动因素，</w:t>
      </w:r>
      <w:r w:rsidRPr="00E84881">
        <w:rPr>
          <w:rFonts w:hint="eastAsia"/>
          <w:bCs/>
        </w:rPr>
        <w:t>EV/S</w:t>
      </w:r>
      <w:r w:rsidRPr="00E84881">
        <w:rPr>
          <w:rFonts w:hint="eastAsia"/>
          <w:bCs/>
        </w:rPr>
        <w:t>比率与该阶段特性高度契合，本次采用</w:t>
      </w:r>
      <w:r w:rsidRPr="00E84881">
        <w:rPr>
          <w:rFonts w:hint="eastAsia"/>
          <w:bCs/>
        </w:rPr>
        <w:t>EV/S</w:t>
      </w:r>
      <w:r w:rsidRPr="00E84881">
        <w:rPr>
          <w:rFonts w:hint="eastAsia"/>
          <w:bCs/>
        </w:rPr>
        <w:t>具备合理性，与行业内其他交易案例一致；</w:t>
      </w:r>
    </w:p>
    <w:p w14:paraId="60A392A1" w14:textId="77777777" w:rsidR="00E76498" w:rsidRPr="00E84881" w:rsidRDefault="00E76498" w:rsidP="00E76498">
      <w:pPr>
        <w:pStyle w:val="005"/>
        <w:spacing w:before="120" w:after="120"/>
        <w:ind w:firstLine="480"/>
        <w:rPr>
          <w:bCs/>
        </w:rPr>
      </w:pPr>
      <w:r>
        <w:rPr>
          <w:rFonts w:hint="eastAsia"/>
          <w:bCs/>
        </w:rPr>
        <w:t>（</w:t>
      </w:r>
      <w:r>
        <w:rPr>
          <w:rFonts w:hint="eastAsia"/>
          <w:bCs/>
        </w:rPr>
        <w:t>3</w:t>
      </w:r>
      <w:r>
        <w:rPr>
          <w:rFonts w:hint="eastAsia"/>
          <w:bCs/>
        </w:rPr>
        <w:t>）</w:t>
      </w:r>
      <w:r w:rsidRPr="00E84881">
        <w:rPr>
          <w:rFonts w:hint="eastAsia"/>
          <w:bCs/>
        </w:rPr>
        <w:t>可比企业静态</w:t>
      </w:r>
      <w:r w:rsidRPr="00E84881">
        <w:rPr>
          <w:rFonts w:hint="eastAsia"/>
          <w:bCs/>
        </w:rPr>
        <w:t>EV/S</w:t>
      </w:r>
      <w:r w:rsidRPr="00E84881">
        <w:rPr>
          <w:rFonts w:hint="eastAsia"/>
          <w:bCs/>
        </w:rPr>
        <w:t>、修正价值比率、计算市场法评估值时所采用的各</w:t>
      </w:r>
      <w:r w:rsidRPr="00E84881">
        <w:rPr>
          <w:rFonts w:hint="eastAsia"/>
          <w:bCs/>
        </w:rPr>
        <w:lastRenderedPageBreak/>
        <w:t>项指标、参数的取值时间、数据来源及具体测算过程具备合理性；</w:t>
      </w:r>
    </w:p>
    <w:p w14:paraId="7E3D14CF" w14:textId="77777777" w:rsidR="00E76498" w:rsidRPr="00DA3766" w:rsidRDefault="00E76498" w:rsidP="00E76498">
      <w:pPr>
        <w:pStyle w:val="005"/>
        <w:spacing w:before="120" w:after="120"/>
        <w:ind w:firstLine="480"/>
        <w:rPr>
          <w:bCs/>
        </w:rPr>
      </w:pPr>
      <w:r>
        <w:rPr>
          <w:rFonts w:hint="eastAsia"/>
          <w:bCs/>
        </w:rPr>
        <w:t>（</w:t>
      </w:r>
      <w:r>
        <w:rPr>
          <w:rFonts w:hint="eastAsia"/>
          <w:bCs/>
        </w:rPr>
        <w:t>4</w:t>
      </w:r>
      <w:r>
        <w:rPr>
          <w:rFonts w:hint="eastAsia"/>
          <w:bCs/>
        </w:rPr>
        <w:t>）</w:t>
      </w:r>
      <w:r w:rsidRPr="00E84881">
        <w:rPr>
          <w:rFonts w:hint="eastAsia"/>
          <w:bCs/>
        </w:rPr>
        <w:t>本次评估从企业规模、成长能力、盈利能力、运营能力、偿债能力、研发能力等多个维度对可比企业与标的公司的差异进行了修正，在修正维度的选取上与行业规范相一致，价值比率修正过程中各维度及对应财务指标选取原因及依据具备合理性；本次评估与行业惯例在修正维度不存在重大差异，所选取的财务指标均能较好地反映不同公司的企业价值之间的核心差异，具备合理性。本次市场法评估调整后</w:t>
      </w:r>
      <w:r w:rsidRPr="00E84881">
        <w:rPr>
          <w:rFonts w:hint="eastAsia"/>
          <w:bCs/>
        </w:rPr>
        <w:t>EV/S</w:t>
      </w:r>
      <w:r w:rsidRPr="00E84881">
        <w:rPr>
          <w:rFonts w:hint="eastAsia"/>
          <w:bCs/>
        </w:rPr>
        <w:t>指标的离散度处于可比交易案例的差异率合理区间内，调整后</w:t>
      </w:r>
      <w:r w:rsidRPr="00E84881">
        <w:rPr>
          <w:rFonts w:hint="eastAsia"/>
          <w:bCs/>
        </w:rPr>
        <w:t>EV/S</w:t>
      </w:r>
      <w:r w:rsidRPr="00E84881">
        <w:rPr>
          <w:rFonts w:hint="eastAsia"/>
          <w:bCs/>
        </w:rPr>
        <w:t>指标存在差异具备合理性，可比公司调整后</w:t>
      </w:r>
      <w:r w:rsidRPr="00E84881">
        <w:rPr>
          <w:rFonts w:hint="eastAsia"/>
          <w:bCs/>
        </w:rPr>
        <w:t>EV/S</w:t>
      </w:r>
      <w:r w:rsidRPr="00E84881">
        <w:rPr>
          <w:rFonts w:hint="eastAsia"/>
          <w:bCs/>
        </w:rPr>
        <w:t>指标选取及修正结果具备合理性。</w:t>
      </w:r>
    </w:p>
    <w:p w14:paraId="181BC6D7" w14:textId="07E6A798" w:rsidR="00E93DA8" w:rsidRPr="00DA3766" w:rsidRDefault="00E93DA8" w:rsidP="00EB3B4C">
      <w:pPr>
        <w:pStyle w:val="001"/>
        <w:spacing w:before="120" w:after="120"/>
        <w:ind w:firstLine="480"/>
      </w:pPr>
      <w:r w:rsidRPr="00DA3766">
        <w:lastRenderedPageBreak/>
        <w:t>问题</w:t>
      </w:r>
      <w:r w:rsidR="007548AB" w:rsidRPr="00DA3766">
        <w:t>6</w:t>
      </w:r>
      <w:r w:rsidRPr="00DA3766">
        <w:t>、</w:t>
      </w:r>
      <w:r w:rsidR="007548AB" w:rsidRPr="00DA3766">
        <w:t>关于交易方案</w:t>
      </w:r>
      <w:bookmarkEnd w:id="109"/>
    </w:p>
    <w:p w14:paraId="7CA7D741" w14:textId="7FCC6197" w:rsidR="00E93DA8" w:rsidRPr="00DA3766" w:rsidRDefault="00E93DA8" w:rsidP="00E93DA8">
      <w:pPr>
        <w:pStyle w:val="0050"/>
        <w:spacing w:before="120" w:after="120"/>
        <w:ind w:firstLine="480"/>
      </w:pPr>
      <w:r w:rsidRPr="00DA3766">
        <w:t>申请文件显示：</w:t>
      </w:r>
      <w:r w:rsidR="007548AB" w:rsidRPr="00DA3766">
        <w:t>（</w:t>
      </w:r>
      <w:r w:rsidR="007548AB" w:rsidRPr="00DA3766">
        <w:t>1</w:t>
      </w:r>
      <w:r w:rsidR="007548AB" w:rsidRPr="00DA3766">
        <w:t>）上市公司本次拟通过发行股份、支付现金的方式向交易对方购买其持有的标的资产</w:t>
      </w:r>
      <w:r w:rsidR="007548AB" w:rsidRPr="00DA3766">
        <w:t>98.5632%</w:t>
      </w:r>
      <w:r w:rsidR="007548AB" w:rsidRPr="00DA3766">
        <w:t>的股权，同时向上市公司实际控制人之一马学沛发行股份募集配套资金不超过</w:t>
      </w:r>
      <w:r w:rsidR="007548AB" w:rsidRPr="00DA3766">
        <w:t>1.55</w:t>
      </w:r>
      <w:r w:rsidR="007548AB" w:rsidRPr="00DA3766">
        <w:t>亿元。（</w:t>
      </w:r>
      <w:r w:rsidR="007548AB" w:rsidRPr="00DA3766">
        <w:t>2</w:t>
      </w:r>
      <w:r w:rsidR="007548AB" w:rsidRPr="00DA3766">
        <w:t>）本次交易价格（不含募集配套资金金额）为</w:t>
      </w:r>
      <w:r w:rsidR="007548AB" w:rsidRPr="00DA3766">
        <w:t>11.89</w:t>
      </w:r>
      <w:r w:rsidR="007548AB" w:rsidRPr="00DA3766">
        <w:t>亿元，其中</w:t>
      </w:r>
      <w:r w:rsidR="007548AB" w:rsidRPr="00DA3766">
        <w:t>5.82</w:t>
      </w:r>
      <w:r w:rsidR="007548AB" w:rsidRPr="00DA3766">
        <w:t>亿元通过上市公司发行股份支付、</w:t>
      </w:r>
      <w:r w:rsidR="007548AB" w:rsidRPr="00DA3766">
        <w:t>6.06</w:t>
      </w:r>
      <w:r w:rsidR="007548AB" w:rsidRPr="00DA3766">
        <w:t>亿元上市公司通过现金支付。交易方案中约定在本次交易获得中国证监会注册批文之日起</w:t>
      </w:r>
      <w:r w:rsidR="007548AB" w:rsidRPr="00DA3766">
        <w:t>15</w:t>
      </w:r>
      <w:r w:rsidR="007548AB" w:rsidRPr="00DA3766">
        <w:t>个工作日内，上市公司将本次交易的现金对价一次性支付至相关银行账户。（</w:t>
      </w:r>
      <w:r w:rsidR="007548AB" w:rsidRPr="00DA3766">
        <w:t>3</w:t>
      </w:r>
      <w:r w:rsidR="007548AB" w:rsidRPr="00DA3766">
        <w:t>）根据上市公司披露的定期报告，截至</w:t>
      </w:r>
      <w:r w:rsidR="007548AB" w:rsidRPr="00DA3766">
        <w:t>2025</w:t>
      </w:r>
      <w:r w:rsidR="007548AB" w:rsidRPr="00DA3766">
        <w:t>年三季度末，上市公司货币资金余额为</w:t>
      </w:r>
      <w:r w:rsidR="007548AB" w:rsidRPr="00DA3766">
        <w:t>3.31</w:t>
      </w:r>
      <w:r w:rsidR="007548AB" w:rsidRPr="00DA3766">
        <w:t>亿元，归属于上市公司股东的所有者权益为</w:t>
      </w:r>
      <w:r w:rsidR="007548AB" w:rsidRPr="00DA3766">
        <w:t>7.71</w:t>
      </w:r>
      <w:r w:rsidR="007548AB" w:rsidRPr="00DA3766">
        <w:t>亿元，短期借款、长期借款及一年内到期的非流动负债合计余额为</w:t>
      </w:r>
      <w:r w:rsidR="007548AB" w:rsidRPr="00DA3766">
        <w:t>4.05</w:t>
      </w:r>
      <w:r w:rsidR="007548AB" w:rsidRPr="00DA3766">
        <w:t>亿元，上市公司资产负债率由</w:t>
      </w:r>
      <w:r w:rsidR="007548AB" w:rsidRPr="00DA3766">
        <w:t>2023</w:t>
      </w:r>
      <w:r w:rsidR="007548AB" w:rsidRPr="00DA3766">
        <w:t>年年末的</w:t>
      </w:r>
      <w:r w:rsidR="007548AB" w:rsidRPr="00DA3766">
        <w:t>19.92%</w:t>
      </w:r>
      <w:r w:rsidR="007548AB" w:rsidRPr="00DA3766">
        <w:t>提升至</w:t>
      </w:r>
      <w:r w:rsidR="007548AB" w:rsidRPr="00DA3766">
        <w:t>48.03%</w:t>
      </w:r>
      <w:r w:rsidR="007548AB" w:rsidRPr="00DA3766">
        <w:t>。（</w:t>
      </w:r>
      <w:r w:rsidR="007548AB" w:rsidRPr="00DA3766">
        <w:t>4</w:t>
      </w:r>
      <w:r w:rsidR="007548AB" w:rsidRPr="00DA3766">
        <w:t>）不考虑募集配套资金，本次发行股份及支付现金购买资产的拟发行股份占发行后上市公司总股本的比例为</w:t>
      </w:r>
      <w:r w:rsidR="007548AB" w:rsidRPr="00DA3766">
        <w:t>24.56%</w:t>
      </w:r>
      <w:r w:rsidR="007548AB" w:rsidRPr="00DA3766">
        <w:t>，交易完成后上市公司实际控制人林明玲、马学沛合计持有上市公司的股权比例为</w:t>
      </w:r>
      <w:r w:rsidR="007548AB" w:rsidRPr="00DA3766">
        <w:t>26.24%</w:t>
      </w:r>
      <w:r w:rsidR="007548AB" w:rsidRPr="00DA3766">
        <w:t>。（</w:t>
      </w:r>
      <w:r w:rsidR="007548AB" w:rsidRPr="00DA3766">
        <w:t>5</w:t>
      </w:r>
      <w:r w:rsidR="007548AB" w:rsidRPr="00DA3766">
        <w:t>）本次发行股份购买资产中股票的发行价为定价基准日前</w:t>
      </w:r>
      <w:r w:rsidR="007548AB" w:rsidRPr="00DA3766">
        <w:t>120</w:t>
      </w:r>
      <w:r w:rsidR="007548AB" w:rsidRPr="00DA3766">
        <w:t>个交易日的上市公司股票交易均价的</w:t>
      </w:r>
      <w:r w:rsidR="007548AB" w:rsidRPr="00DA3766">
        <w:t>80%</w:t>
      </w:r>
      <w:r w:rsidR="007548AB" w:rsidRPr="00DA3766">
        <w:t>，募集配套资金股票发行价为定价基准日前</w:t>
      </w:r>
      <w:r w:rsidR="007548AB" w:rsidRPr="00DA3766">
        <w:t>20</w:t>
      </w:r>
      <w:r w:rsidR="007548AB" w:rsidRPr="00DA3766">
        <w:t>个交易日的上市公司股票交易均价的</w:t>
      </w:r>
      <w:r w:rsidR="007548AB" w:rsidRPr="00DA3766">
        <w:t>80%</w:t>
      </w:r>
      <w:r w:rsidR="007548AB" w:rsidRPr="00DA3766">
        <w:t>。（</w:t>
      </w:r>
      <w:r w:rsidR="007548AB" w:rsidRPr="00DA3766">
        <w:t>6</w:t>
      </w:r>
      <w:r w:rsidR="007548AB" w:rsidRPr="00DA3766">
        <w:t>）本次交易在综合考虑交易对方的股东类型、是否参与业绩承诺及初始投资成本等因素后，针对不同交易对方进行差异化定价，其中标的资产五名管理层及泰安乐摇投资服务合伙企业（有限合伙）（以下简称乐摇）、泰安乐熙熙投资服务合伙企业（有限合伙）（以下简称乐熙熙）、泰安乐哈哈投资服务合伙企业（有限合伙）（以下简称乐哈哈）、泰安乐腾腾投资服务合伙企业（有限合伙）（以下简称乐腾腾）四个员工持股平台所持标的资产股权按标的资产</w:t>
      </w:r>
      <w:r w:rsidR="007548AB" w:rsidRPr="00DA3766">
        <w:t>100%</w:t>
      </w:r>
      <w:r w:rsidR="007548AB" w:rsidRPr="00DA3766">
        <w:t>股权</w:t>
      </w:r>
      <w:r w:rsidR="007548AB" w:rsidRPr="00DA3766">
        <w:t>16.95</w:t>
      </w:r>
      <w:r w:rsidR="007548AB" w:rsidRPr="00DA3766">
        <w:t>亿元的估值确定交易作价，其余交易对方基于不同入股轮次分别按</w:t>
      </w:r>
      <w:r w:rsidR="007548AB" w:rsidRPr="00DA3766">
        <w:t>12</w:t>
      </w:r>
      <w:r w:rsidR="007548AB" w:rsidRPr="00DA3766">
        <w:t>亿元和</w:t>
      </w:r>
      <w:r w:rsidR="007548AB" w:rsidRPr="00DA3766">
        <w:t>8</w:t>
      </w:r>
      <w:r w:rsidR="007548AB" w:rsidRPr="00DA3766">
        <w:t>亿元确定交易作价。（</w:t>
      </w:r>
      <w:r w:rsidR="007548AB" w:rsidRPr="00DA3766">
        <w:t>7</w:t>
      </w:r>
      <w:r w:rsidR="007548AB" w:rsidRPr="00DA3766">
        <w:t>）按</w:t>
      </w:r>
      <w:r w:rsidR="007548AB" w:rsidRPr="00DA3766">
        <w:t>16.95</w:t>
      </w:r>
      <w:r w:rsidR="007548AB" w:rsidRPr="00DA3766">
        <w:t>亿元的估值确定交易作价的九名交易对方及泰安乐陶陶投资服务合伙企业（有限合伙）（以下简称乐陶陶）做出业绩承诺，具体为承诺标的资产在</w:t>
      </w:r>
      <w:r w:rsidR="007548AB" w:rsidRPr="00DA3766">
        <w:t>2025</w:t>
      </w:r>
      <w:r w:rsidR="007548AB" w:rsidRPr="00DA3766">
        <w:t>年、</w:t>
      </w:r>
      <w:r w:rsidR="007548AB" w:rsidRPr="00DA3766">
        <w:t>2026</w:t>
      </w:r>
      <w:r w:rsidR="007548AB" w:rsidRPr="00DA3766">
        <w:t>年和</w:t>
      </w:r>
      <w:r w:rsidR="007548AB" w:rsidRPr="00DA3766">
        <w:t>2027</w:t>
      </w:r>
      <w:r w:rsidR="007548AB" w:rsidRPr="00DA3766">
        <w:t>年实现的承诺净利润分别不低于人民币</w:t>
      </w:r>
      <w:r w:rsidR="007548AB" w:rsidRPr="00DA3766">
        <w:t>0.9</w:t>
      </w:r>
      <w:r w:rsidR="007548AB" w:rsidRPr="00DA3766">
        <w:t>亿元、</w:t>
      </w:r>
      <w:r w:rsidR="007548AB" w:rsidRPr="00DA3766">
        <w:t>0.95</w:t>
      </w:r>
      <w:r w:rsidR="007548AB" w:rsidRPr="00DA3766">
        <w:t>亿元和</w:t>
      </w:r>
      <w:r w:rsidR="007548AB" w:rsidRPr="00DA3766">
        <w:t>1.05</w:t>
      </w:r>
      <w:r w:rsidR="007548AB" w:rsidRPr="00DA3766">
        <w:t>亿元，实际净利润为合并报表中归属于母公司所有者的净利润（按扣除非经常性损益原则确定）与研发相关的政府补助（即依据中央财政支持新一轮第一批重点</w:t>
      </w:r>
      <w:r w:rsidR="007548AB" w:rsidRPr="00DA3766">
        <w:rPr>
          <w:rFonts w:ascii="宋体" w:eastAsia="宋体" w:hAnsi="宋体"/>
        </w:rPr>
        <w:t>“</w:t>
      </w:r>
      <w:r w:rsidR="007548AB" w:rsidRPr="00DA3766">
        <w:t>小巨人</w:t>
      </w:r>
      <w:r w:rsidR="007548AB" w:rsidRPr="00DA3766">
        <w:rPr>
          <w:rFonts w:ascii="宋体" w:eastAsia="宋体" w:hAnsi="宋体"/>
        </w:rPr>
        <w:t>”</w:t>
      </w:r>
      <w:r w:rsidR="007548AB" w:rsidRPr="00DA3766">
        <w:t>企业奖补资金安排计划未来取得的政府补助）</w:t>
      </w:r>
      <w:r w:rsidR="007548AB" w:rsidRPr="00DA3766">
        <w:lastRenderedPageBreak/>
        <w:t>之和，且设定了最高业绩补偿额。（</w:t>
      </w:r>
      <w:r w:rsidR="007548AB" w:rsidRPr="00DA3766">
        <w:t>8</w:t>
      </w:r>
      <w:r w:rsidR="007548AB" w:rsidRPr="00DA3766">
        <w:t>）本次交易方案约定，如果业绩承诺补偿期与相关协议约定的过渡期存在重合的，交易对方已就过渡期内业绩承诺资产相关过渡期损益安排进行补偿的，前述重合时间内的业绩补偿金额应当相应扣减。（</w:t>
      </w:r>
      <w:r w:rsidR="007548AB" w:rsidRPr="00DA3766">
        <w:t>9</w:t>
      </w:r>
      <w:r w:rsidR="007548AB" w:rsidRPr="00DA3766">
        <w:t>）本次交易方案存在超额业绩奖励，如标的资产业绩承诺期届满时累计实现实际净利润数超过累计承诺净利润，超额</w:t>
      </w:r>
      <w:bookmarkStart w:id="110" w:name="OLE_LINK139"/>
      <w:r w:rsidR="007548AB" w:rsidRPr="00DA3766">
        <w:t>业绩奖励</w:t>
      </w:r>
      <w:bookmarkEnd w:id="110"/>
      <w:r w:rsidR="007548AB" w:rsidRPr="00DA3766">
        <w:t>的对象可以选择通过限制性股票或现金的方式接受超额业绩奖励。（</w:t>
      </w:r>
      <w:r w:rsidR="007548AB" w:rsidRPr="00DA3766">
        <w:t>10</w:t>
      </w:r>
      <w:r w:rsidR="007548AB" w:rsidRPr="00DA3766">
        <w:t>）因本次发行股份及支付现金购买资产完成后，预计无交易对方持有上市公司股份超过</w:t>
      </w:r>
      <w:r w:rsidR="007548AB" w:rsidRPr="00DA3766">
        <w:t>5%</w:t>
      </w:r>
      <w:r w:rsidR="007548AB" w:rsidRPr="00DA3766">
        <w:t>，本次发行股份及支付现金购买资产不构成关联交易。（</w:t>
      </w:r>
      <w:r w:rsidR="007548AB" w:rsidRPr="00DA3766">
        <w:t>11</w:t>
      </w:r>
      <w:r w:rsidR="007548AB" w:rsidRPr="00DA3766">
        <w:t>）根据相关协议，交易对方应当于本次交易获得中国证监会注册批文后，将标的资产由股份有限公司变更为有限责任公司的有关工商变更登记手续，完成后将相关股权过户至上市公司。（</w:t>
      </w:r>
      <w:r w:rsidR="007548AB" w:rsidRPr="00DA3766">
        <w:t>12</w:t>
      </w:r>
      <w:r w:rsidR="007548AB" w:rsidRPr="00DA3766">
        <w:t>）按</w:t>
      </w:r>
      <w:r w:rsidR="007548AB" w:rsidRPr="00DA3766">
        <w:t>2024</w:t>
      </w:r>
      <w:r w:rsidR="007548AB" w:rsidRPr="00DA3766">
        <w:t>年经审计数据计算，标的资产的资产净额、营业收入占上市公司的比例分别为</w:t>
      </w:r>
      <w:r w:rsidR="007548AB" w:rsidRPr="00DA3766">
        <w:t>156.74%</w:t>
      </w:r>
      <w:r w:rsidR="007548AB" w:rsidRPr="00DA3766">
        <w:t>和</w:t>
      </w:r>
      <w:r w:rsidR="007548AB" w:rsidRPr="00DA3766">
        <w:t>199.95%</w:t>
      </w:r>
      <w:r w:rsidR="007548AB" w:rsidRPr="00DA3766">
        <w:t>，因本次交易前后上市公司的实际控制人均为马学沛及林明玲，本次交易不构成重组上市</w:t>
      </w:r>
      <w:r w:rsidRPr="00DA3766">
        <w:t>。</w:t>
      </w:r>
    </w:p>
    <w:p w14:paraId="4DF9DECF" w14:textId="7E283E72" w:rsidR="00E93DA8" w:rsidRPr="00DA3766" w:rsidRDefault="00E93DA8" w:rsidP="00E93DA8">
      <w:pPr>
        <w:pStyle w:val="0050"/>
        <w:spacing w:before="120" w:after="120"/>
        <w:ind w:firstLine="480"/>
      </w:pPr>
      <w:r w:rsidRPr="00DA3766">
        <w:t>请上市公司补充披露：</w:t>
      </w:r>
      <w:r w:rsidR="007548AB" w:rsidRPr="00DA3766">
        <w:t>（</w:t>
      </w:r>
      <w:r w:rsidR="007548AB" w:rsidRPr="00DA3766">
        <w:t>1</w:t>
      </w:r>
      <w:r w:rsidR="007548AB" w:rsidRPr="00DA3766">
        <w:t>）乐陶陶是否为标的资产员工持股平台，如是，进一步结合其入股时间、入股价格、入股时间及价格同其他员工持股平台的差异、入股价格的公允性、出资结构等补充披露乐陶陶在未按</w:t>
      </w:r>
      <w:r w:rsidR="007548AB" w:rsidRPr="00DA3766">
        <w:t>16.95</w:t>
      </w:r>
      <w:r w:rsidR="007548AB" w:rsidRPr="00DA3766">
        <w:t>亿元估值确定交易作价的同时做出业绩承诺的原因及商业合理性，乐陶陶同其余交易对方之间是否存在相关利益安排。（</w:t>
      </w:r>
      <w:r w:rsidR="007548AB" w:rsidRPr="00DA3766">
        <w:t>2</w:t>
      </w:r>
      <w:r w:rsidR="007548AB" w:rsidRPr="00DA3766">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r w:rsidR="007548AB" w:rsidRPr="00DA3766">
        <w:t>3</w:t>
      </w:r>
      <w:r w:rsidR="007548AB" w:rsidRPr="00DA3766">
        <w:t>）量化测算最高业绩补偿额的补充覆盖率，并进行针对性风险提示。（</w:t>
      </w:r>
      <w:r w:rsidR="007548AB" w:rsidRPr="00DA3766">
        <w:t>4</w:t>
      </w:r>
      <w:r w:rsidR="007548AB" w:rsidRPr="00DA3766">
        <w:t>）业绩补偿期与过渡期存在重合的具体扣减安排，并基于回函日时点情况补充披露业绩承诺期、过渡期损益的具体安排，相关安排是否符合《监管规则适用指引</w:t>
      </w:r>
      <w:r w:rsidR="007548AB" w:rsidRPr="00DA3766">
        <w:t>——</w:t>
      </w:r>
      <w:r w:rsidR="007548AB" w:rsidRPr="00DA3766">
        <w:t>上市类第</w:t>
      </w:r>
      <w:r w:rsidR="007548AB" w:rsidRPr="00DA3766">
        <w:t>1</w:t>
      </w:r>
      <w:r w:rsidR="007548AB" w:rsidRPr="00DA3766">
        <w:t>号》的规定。（</w:t>
      </w:r>
      <w:r w:rsidR="007548AB" w:rsidRPr="00DA3766">
        <w:t>5</w:t>
      </w:r>
      <w:r w:rsidR="007548AB" w:rsidRPr="00DA3766">
        <w:t>）按照《监管规则适用指引</w:t>
      </w:r>
      <w:r w:rsidR="007548AB" w:rsidRPr="00DA3766">
        <w:t>——</w:t>
      </w:r>
      <w:r w:rsidR="007548AB" w:rsidRPr="00DA3766">
        <w:t>上市类第</w:t>
      </w:r>
      <w:r w:rsidR="007548AB" w:rsidRPr="00DA3766">
        <w:t>1</w:t>
      </w:r>
      <w:r w:rsidR="007548AB" w:rsidRPr="00DA3766">
        <w:t>号》的</w:t>
      </w:r>
      <w:r w:rsidR="007548AB" w:rsidRPr="00DA3766">
        <w:lastRenderedPageBreak/>
        <w:t>要求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sidR="007548AB" w:rsidRPr="00DA3766">
        <w:t>——</w:t>
      </w:r>
      <w:r w:rsidR="007548AB" w:rsidRPr="00DA3766">
        <w:t>上市类第</w:t>
      </w:r>
      <w:r w:rsidR="007548AB" w:rsidRPr="00DA3766">
        <w:t>1</w:t>
      </w:r>
      <w:r w:rsidR="007548AB" w:rsidRPr="00DA3766">
        <w:t>号》的规定。（</w:t>
      </w:r>
      <w:r w:rsidR="007548AB" w:rsidRPr="00DA3766">
        <w:t>6</w:t>
      </w:r>
      <w:r w:rsidR="007548AB" w:rsidRPr="00DA3766">
        <w:t>）在标的资产变更至有限责任公司后过户给上市公司的原因及商业逻辑，完成相关工商变更登记预计需要的程序及产生的税费，是否存在不确定性，对本次交易或估值是否存在影响。（</w:t>
      </w:r>
      <w:r w:rsidR="007548AB" w:rsidRPr="00DA3766">
        <w:t>7</w:t>
      </w:r>
      <w:r w:rsidR="007548AB" w:rsidRPr="00DA3766">
        <w:t>）结合交易对方之间的关联关系，标的资产的股权结构、治理结构、财务经营事项决策机制等补充披露本次交易完成后是否存在交易对方及其关联方或一致行动人（如有）合计持有上市公司股份超过</w:t>
      </w:r>
      <w:r w:rsidR="007548AB" w:rsidRPr="00DA3766">
        <w:t>5%</w:t>
      </w:r>
      <w:r w:rsidR="007548AB" w:rsidRPr="00DA3766">
        <w:t>的情形，认定本次发行股份及支付现金购买资产不构成关联交易是否准确。（</w:t>
      </w:r>
      <w:r w:rsidR="007548AB" w:rsidRPr="00DA3766">
        <w:t>8</w:t>
      </w:r>
      <w:r w:rsidR="007548AB" w:rsidRPr="00DA3766">
        <w:t>）发行股份购买资产和募集配套资金选取不同发行价格的原因及合理性。（</w:t>
      </w:r>
      <w:r w:rsidR="007548AB" w:rsidRPr="00DA3766">
        <w:t>9</w:t>
      </w:r>
      <w:r w:rsidR="007548AB" w:rsidRPr="00DA3766">
        <w:t>）上市公司对本次交易现金对价的具体筹措安排及可行性，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是否存在规避重组上市的情形，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r w:rsidR="007548AB" w:rsidRPr="00DA3766">
        <w:t>10</w:t>
      </w:r>
      <w:r w:rsidR="007548AB" w:rsidRPr="00DA3766">
        <w:t>）基于前述内容，并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r w:rsidRPr="00DA3766">
        <w:t>。</w:t>
      </w:r>
    </w:p>
    <w:p w14:paraId="53050D18" w14:textId="412370BC" w:rsidR="00E93DA8" w:rsidRPr="00DA3766" w:rsidRDefault="00035621" w:rsidP="00E93DA8">
      <w:pPr>
        <w:pStyle w:val="0050"/>
        <w:spacing w:before="120" w:after="120"/>
        <w:ind w:firstLine="480"/>
      </w:pPr>
      <w:r w:rsidRPr="00DA3766">
        <w:t>请独立财务顾问和律师核查并发表明确意见，请会计师核查（</w:t>
      </w:r>
      <w:r w:rsidRPr="00DA3766">
        <w:t>2</w:t>
      </w:r>
      <w:r w:rsidRPr="00DA3766">
        <w:t>）（</w:t>
      </w:r>
      <w:r w:rsidRPr="00DA3766">
        <w:t>5</w:t>
      </w:r>
      <w:r w:rsidRPr="00DA3766">
        <w:t>）（</w:t>
      </w:r>
      <w:r w:rsidRPr="00DA3766">
        <w:t>9</w:t>
      </w:r>
      <w:r w:rsidRPr="00DA3766">
        <w:t>）并发表明确意见，请评估师核查（</w:t>
      </w:r>
      <w:r w:rsidRPr="00DA3766">
        <w:t>2</w:t>
      </w:r>
      <w:r w:rsidRPr="00DA3766">
        <w:t>）并发表明确意见</w:t>
      </w:r>
      <w:r w:rsidR="00E93DA8" w:rsidRPr="00DA3766">
        <w:t>。</w:t>
      </w:r>
    </w:p>
    <w:p w14:paraId="03D439CC" w14:textId="77777777" w:rsidR="00E93DA8" w:rsidRPr="00DA3766" w:rsidRDefault="00E93DA8" w:rsidP="00E93DA8">
      <w:pPr>
        <w:pStyle w:val="005"/>
        <w:spacing w:before="120" w:after="120"/>
        <w:ind w:firstLine="480"/>
      </w:pPr>
      <w:r w:rsidRPr="00DA3766">
        <w:t>【回复】</w:t>
      </w:r>
    </w:p>
    <w:p w14:paraId="7FBA060C" w14:textId="30B26378" w:rsidR="00E93DA8" w:rsidRPr="00DA3766" w:rsidRDefault="00E93DA8" w:rsidP="00E93DA8">
      <w:pPr>
        <w:pStyle w:val="002"/>
        <w:spacing w:before="120" w:after="120"/>
        <w:ind w:firstLine="482"/>
      </w:pPr>
      <w:bookmarkStart w:id="111" w:name="OLE_LINK1"/>
      <w:r w:rsidRPr="00DA3766">
        <w:lastRenderedPageBreak/>
        <w:t>一、</w:t>
      </w:r>
      <w:r w:rsidR="00347AEF" w:rsidRPr="00DA3766">
        <w:t>乐陶陶是否为标的资产员工持股平台，如是，进一步结合其入股时间、入股价格、入股时间及价格同其他员工持股平台的差异、入股价格的公允性、出资结构等补充披露乐陶陶在未按</w:t>
      </w:r>
      <w:r w:rsidR="00347AEF" w:rsidRPr="00DA3766">
        <w:t>16.95</w:t>
      </w:r>
      <w:r w:rsidR="00347AEF" w:rsidRPr="00DA3766">
        <w:t>亿元估值确定交易作价的同时做出业绩承诺的原因及商业合理性，乐陶陶同其余交易对方之间是否存在相关利益安排。</w:t>
      </w:r>
    </w:p>
    <w:bookmarkEnd w:id="111"/>
    <w:p w14:paraId="1E86EA61" w14:textId="295CCBD1" w:rsidR="00E93DA8" w:rsidRPr="00DA3766" w:rsidRDefault="00E93DA8" w:rsidP="00E93DA8">
      <w:pPr>
        <w:pStyle w:val="003"/>
        <w:spacing w:before="120" w:after="120"/>
        <w:ind w:firstLine="482"/>
      </w:pPr>
      <w:r w:rsidRPr="00DA3766">
        <w:t>（一）</w:t>
      </w:r>
      <w:r w:rsidR="00E71D49" w:rsidRPr="00DA3766">
        <w:t>乐陶陶</w:t>
      </w:r>
      <w:r w:rsidR="003E6B77" w:rsidRPr="00DA3766">
        <w:t>设立背景</w:t>
      </w:r>
      <w:r w:rsidR="00730C0B" w:rsidRPr="00DA3766">
        <w:t>、原因及企业性质</w:t>
      </w:r>
    </w:p>
    <w:p w14:paraId="79E89E2D" w14:textId="7667931B" w:rsidR="00E71D49" w:rsidRPr="00DA3766" w:rsidRDefault="003E6B77" w:rsidP="00730C0B">
      <w:pPr>
        <w:pStyle w:val="005"/>
        <w:spacing w:before="120" w:after="120"/>
        <w:ind w:firstLine="480"/>
      </w:pPr>
      <w:r w:rsidRPr="00DA3766">
        <w:t>2020</w:t>
      </w:r>
      <w:r w:rsidRPr="00DA3766">
        <w:t>年</w:t>
      </w:r>
      <w:r w:rsidRPr="00DA3766">
        <w:t>8</w:t>
      </w:r>
      <w:r w:rsidRPr="00DA3766">
        <w:t>月，徐德强</w:t>
      </w:r>
      <w:r w:rsidR="00730C0B" w:rsidRPr="00DA3766">
        <w:t>计划</w:t>
      </w:r>
      <w:r w:rsidRPr="00DA3766">
        <w:t>从标的公司离职，</w:t>
      </w:r>
      <w:r w:rsidR="00730C0B" w:rsidRPr="00DA3766">
        <w:t>不再参与标的公司日常生产经营，拟从直接持股方式变更为间接持股方式，</w:t>
      </w:r>
      <w:r w:rsidRPr="00DA3766">
        <w:t>经与标的公司及标的公司实际控制人陈耿豪友好协商，</w:t>
      </w:r>
      <w:r w:rsidR="00903080" w:rsidRPr="00DA3766">
        <w:t>各方同意</w:t>
      </w:r>
      <w:r w:rsidR="002959D2" w:rsidRPr="00DA3766">
        <w:t>于同月</w:t>
      </w:r>
      <w:r w:rsidRPr="00DA3766">
        <w:t>设立持股平台乐陶陶用于间接持股</w:t>
      </w:r>
      <w:r w:rsidR="00730C0B" w:rsidRPr="00DA3766">
        <w:t>并预留部分股权用于未来标的公司股权激励</w:t>
      </w:r>
      <w:r w:rsidRPr="00DA3766">
        <w:t>，约定徐德强将所持有的</w:t>
      </w:r>
      <w:r w:rsidRPr="00DA3766">
        <w:t>5.4679%</w:t>
      </w:r>
      <w:r w:rsidRPr="00DA3766">
        <w:t>乐摇摇股权（对应乐摇摇注册资本</w:t>
      </w:r>
      <w:r w:rsidRPr="00DA3766">
        <w:t>66.3179</w:t>
      </w:r>
      <w:r w:rsidRPr="00DA3766">
        <w:t>万元）以人民币</w:t>
      </w:r>
      <w:r w:rsidRPr="00DA3766">
        <w:t>267.3283</w:t>
      </w:r>
      <w:r w:rsidRPr="00DA3766">
        <w:t>万元转让予乐陶陶。</w:t>
      </w:r>
      <w:bookmarkStart w:id="112" w:name="_Hlk219372368"/>
      <w:r w:rsidRPr="00DA3766">
        <w:t>其中，</w:t>
      </w:r>
      <w:r w:rsidR="00730C0B" w:rsidRPr="00DA3766">
        <w:t>徐德强所持</w:t>
      </w:r>
      <w:r w:rsidRPr="00DA3766">
        <w:t>3.4679%</w:t>
      </w:r>
      <w:r w:rsidRPr="00DA3766">
        <w:t>的</w:t>
      </w:r>
      <w:r w:rsidR="00730C0B" w:rsidRPr="00DA3766">
        <w:t>标的</w:t>
      </w:r>
      <w:r w:rsidRPr="00DA3766">
        <w:t>公司股权以人民币</w:t>
      </w:r>
      <w:r w:rsidRPr="00DA3766">
        <w:t>0.9283</w:t>
      </w:r>
      <w:r w:rsidRPr="00DA3766">
        <w:t>万元转让，</w:t>
      </w:r>
      <w:r w:rsidR="006E6A4A" w:rsidRPr="00DA3766">
        <w:t>用于间接持股</w:t>
      </w:r>
      <w:r w:rsidR="00730C0B" w:rsidRPr="00DA3766">
        <w:t>，</w:t>
      </w:r>
      <w:r w:rsidRPr="00DA3766">
        <w:t>2%</w:t>
      </w:r>
      <w:r w:rsidRPr="00DA3766">
        <w:t>的</w:t>
      </w:r>
      <w:r w:rsidR="00730C0B" w:rsidRPr="00DA3766">
        <w:t>标的</w:t>
      </w:r>
      <w:r w:rsidRPr="00DA3766">
        <w:t>公司股权以人民币</w:t>
      </w:r>
      <w:r w:rsidRPr="00DA3766">
        <w:t>266.4</w:t>
      </w:r>
      <w:r w:rsidRPr="00DA3766">
        <w:t>万元转让</w:t>
      </w:r>
      <w:r w:rsidR="00730C0B" w:rsidRPr="00DA3766">
        <w:t>，</w:t>
      </w:r>
      <w:r w:rsidR="006E6A4A" w:rsidRPr="00DA3766">
        <w:t>预留用于标的公司未来股权激励</w:t>
      </w:r>
      <w:r w:rsidR="00730C0B" w:rsidRPr="00DA3766">
        <w:t>。因此，乐陶陶设立之初既为满足徐德强对标的公司的持股方式由</w:t>
      </w:r>
      <w:r w:rsidR="006E6A4A" w:rsidRPr="00DA3766">
        <w:t>直接持股</w:t>
      </w:r>
      <w:r w:rsidR="00730C0B" w:rsidRPr="00DA3766">
        <w:t>转变为</w:t>
      </w:r>
      <w:r w:rsidR="006E6A4A" w:rsidRPr="00DA3766">
        <w:t>间接</w:t>
      </w:r>
      <w:r w:rsidR="00730C0B" w:rsidRPr="00DA3766">
        <w:t>持股的需求，亦同时作为标的公司的员工持股平台。乐陶陶</w:t>
      </w:r>
      <w:r w:rsidR="00053E14" w:rsidRPr="00DA3766">
        <w:t>成立时</w:t>
      </w:r>
      <w:r w:rsidR="00730C0B" w:rsidRPr="00DA3766">
        <w:t>的股权结构如下表所示</w:t>
      </w:r>
      <w:bookmarkEnd w:id="112"/>
      <w:r w:rsidR="00730C0B" w:rsidRPr="00DA3766">
        <w:t>：</w:t>
      </w:r>
    </w:p>
    <w:tbl>
      <w:tblPr>
        <w:tblStyle w:val="afc"/>
        <w:tblW w:w="5133" w:type="pct"/>
        <w:jc w:val="center"/>
        <w:tblBorders>
          <w:top w:val="thinThickSmallGap" w:sz="24" w:space="0" w:color="auto"/>
          <w:bottom w:val="thickThinSmallGap" w:sz="24" w:space="0" w:color="auto"/>
        </w:tblBorders>
        <w:tblLook w:val="04A0" w:firstRow="1" w:lastRow="0" w:firstColumn="1" w:lastColumn="0" w:noHBand="0" w:noVBand="1"/>
      </w:tblPr>
      <w:tblGrid>
        <w:gridCol w:w="1384"/>
        <w:gridCol w:w="1702"/>
        <w:gridCol w:w="1324"/>
        <w:gridCol w:w="1215"/>
        <w:gridCol w:w="1712"/>
        <w:gridCol w:w="1418"/>
      </w:tblGrid>
      <w:tr w:rsidR="009003C1" w:rsidRPr="00DA3766" w14:paraId="076EF3B3" w14:textId="37C1D0BF" w:rsidTr="00635015">
        <w:trPr>
          <w:trHeight w:val="397"/>
          <w:jc w:val="center"/>
        </w:trPr>
        <w:tc>
          <w:tcPr>
            <w:tcW w:w="790" w:type="pct"/>
            <w:tcMar>
              <w:top w:w="0" w:type="dxa"/>
              <w:bottom w:w="0" w:type="dxa"/>
            </w:tcMar>
            <w:vAlign w:val="center"/>
          </w:tcPr>
          <w:p w14:paraId="77B2E0B0"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合伙人姓名</w:t>
            </w:r>
          </w:p>
        </w:tc>
        <w:tc>
          <w:tcPr>
            <w:tcW w:w="972" w:type="pct"/>
            <w:tcMar>
              <w:top w:w="0" w:type="dxa"/>
              <w:bottom w:w="0" w:type="dxa"/>
            </w:tcMar>
            <w:vAlign w:val="center"/>
          </w:tcPr>
          <w:p w14:paraId="1750FF5A" w14:textId="36161294"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合伙人类型</w:t>
            </w:r>
          </w:p>
        </w:tc>
        <w:tc>
          <w:tcPr>
            <w:tcW w:w="756" w:type="pct"/>
            <w:tcMar>
              <w:top w:w="0" w:type="dxa"/>
              <w:bottom w:w="0" w:type="dxa"/>
            </w:tcMar>
            <w:vAlign w:val="center"/>
          </w:tcPr>
          <w:p w14:paraId="7789A3D4" w14:textId="004CA48A"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认缴出资额（万元）</w:t>
            </w:r>
          </w:p>
        </w:tc>
        <w:tc>
          <w:tcPr>
            <w:tcW w:w="694" w:type="pct"/>
            <w:tcMar>
              <w:top w:w="0" w:type="dxa"/>
              <w:bottom w:w="0" w:type="dxa"/>
            </w:tcMar>
            <w:vAlign w:val="center"/>
          </w:tcPr>
          <w:p w14:paraId="765EEB0E"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出资比例（</w:t>
            </w:r>
            <w:r w:rsidRPr="00DA3766">
              <w:rPr>
                <w:rFonts w:ascii="Times New Roman" w:hAnsi="Times New Roman" w:cs="Times New Roman"/>
                <w:b/>
                <w:bCs/>
                <w:color w:val="000000" w:themeColor="text1"/>
                <w:sz w:val="21"/>
                <w:szCs w:val="21"/>
              </w:rPr>
              <w:t>%</w:t>
            </w:r>
            <w:r w:rsidRPr="00DA3766">
              <w:rPr>
                <w:rFonts w:ascii="Times New Roman" w:hAnsi="Times New Roman" w:cs="Times New Roman"/>
                <w:b/>
                <w:bCs/>
                <w:color w:val="000000" w:themeColor="text1"/>
                <w:sz w:val="21"/>
                <w:szCs w:val="21"/>
              </w:rPr>
              <w:t>）</w:t>
            </w:r>
          </w:p>
        </w:tc>
        <w:tc>
          <w:tcPr>
            <w:tcW w:w="978" w:type="pct"/>
            <w:tcMar>
              <w:top w:w="0" w:type="dxa"/>
              <w:bottom w:w="0" w:type="dxa"/>
            </w:tcMar>
            <w:vAlign w:val="center"/>
          </w:tcPr>
          <w:p w14:paraId="326C7FC8" w14:textId="098D4732"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在标的公司职务</w:t>
            </w:r>
          </w:p>
        </w:tc>
        <w:tc>
          <w:tcPr>
            <w:tcW w:w="810" w:type="pct"/>
            <w:tcMar>
              <w:top w:w="0" w:type="dxa"/>
              <w:bottom w:w="0" w:type="dxa"/>
            </w:tcMar>
            <w:vAlign w:val="center"/>
          </w:tcPr>
          <w:p w14:paraId="21720628" w14:textId="2CD806DB"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股权性质</w:t>
            </w:r>
          </w:p>
        </w:tc>
      </w:tr>
      <w:tr w:rsidR="009003C1" w:rsidRPr="00DA3766" w14:paraId="395D5F25" w14:textId="77777777" w:rsidTr="00635015">
        <w:trPr>
          <w:trHeight w:val="397"/>
          <w:jc w:val="center"/>
        </w:trPr>
        <w:tc>
          <w:tcPr>
            <w:tcW w:w="790" w:type="pct"/>
            <w:tcMar>
              <w:top w:w="0" w:type="dxa"/>
              <w:bottom w:w="0" w:type="dxa"/>
            </w:tcMar>
            <w:vAlign w:val="center"/>
          </w:tcPr>
          <w:p w14:paraId="7A9CF891" w14:textId="50E29C13"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陈耿豪</w:t>
            </w:r>
          </w:p>
        </w:tc>
        <w:tc>
          <w:tcPr>
            <w:tcW w:w="972" w:type="pct"/>
            <w:tcMar>
              <w:top w:w="0" w:type="dxa"/>
              <w:bottom w:w="0" w:type="dxa"/>
            </w:tcMar>
            <w:vAlign w:val="center"/>
          </w:tcPr>
          <w:p w14:paraId="72F8C10B" w14:textId="2744E6C0"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执行事务合伙人</w:t>
            </w:r>
          </w:p>
        </w:tc>
        <w:tc>
          <w:tcPr>
            <w:tcW w:w="756" w:type="pct"/>
            <w:tcMar>
              <w:top w:w="0" w:type="dxa"/>
              <w:bottom w:w="0" w:type="dxa"/>
            </w:tcMar>
            <w:vAlign w:val="center"/>
          </w:tcPr>
          <w:p w14:paraId="4C12B244" w14:textId="208A6F14"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24.2571</w:t>
            </w:r>
          </w:p>
        </w:tc>
        <w:tc>
          <w:tcPr>
            <w:tcW w:w="694" w:type="pct"/>
            <w:tcMar>
              <w:top w:w="0" w:type="dxa"/>
              <w:bottom w:w="0" w:type="dxa"/>
            </w:tcMar>
            <w:vAlign w:val="center"/>
          </w:tcPr>
          <w:p w14:paraId="044DAA81" w14:textId="79D41480"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36.58%</w:t>
            </w:r>
          </w:p>
        </w:tc>
        <w:tc>
          <w:tcPr>
            <w:tcW w:w="978" w:type="pct"/>
            <w:tcMar>
              <w:top w:w="0" w:type="dxa"/>
              <w:bottom w:w="0" w:type="dxa"/>
            </w:tcMar>
            <w:vAlign w:val="center"/>
          </w:tcPr>
          <w:p w14:paraId="3292DB80" w14:textId="58236238"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实际控制人、董事长、总经理</w:t>
            </w:r>
          </w:p>
        </w:tc>
        <w:tc>
          <w:tcPr>
            <w:tcW w:w="810" w:type="pct"/>
            <w:tcMar>
              <w:top w:w="0" w:type="dxa"/>
              <w:bottom w:w="0" w:type="dxa"/>
            </w:tcMar>
            <w:vAlign w:val="center"/>
          </w:tcPr>
          <w:p w14:paraId="46FB7FA9" w14:textId="00483E90"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预留未来</w:t>
            </w:r>
            <w:r w:rsidR="00572DE8" w:rsidRPr="00DA3766">
              <w:rPr>
                <w:rFonts w:ascii="Times New Roman" w:hAnsi="Times New Roman" w:cs="Times New Roman"/>
                <w:color w:val="000000" w:themeColor="text1"/>
                <w:sz w:val="21"/>
                <w:szCs w:val="21"/>
              </w:rPr>
              <w:t>用作</w:t>
            </w:r>
            <w:r w:rsidRPr="00DA3766">
              <w:rPr>
                <w:rFonts w:ascii="Times New Roman" w:hAnsi="Times New Roman" w:cs="Times New Roman"/>
                <w:color w:val="000000" w:themeColor="text1"/>
                <w:sz w:val="21"/>
                <w:szCs w:val="21"/>
              </w:rPr>
              <w:t>股权激励</w:t>
            </w:r>
          </w:p>
        </w:tc>
      </w:tr>
      <w:tr w:rsidR="009003C1" w:rsidRPr="00DA3766" w14:paraId="6E348D15" w14:textId="2E62ED0C" w:rsidTr="00635015">
        <w:trPr>
          <w:trHeight w:val="397"/>
          <w:jc w:val="center"/>
        </w:trPr>
        <w:tc>
          <w:tcPr>
            <w:tcW w:w="790" w:type="pct"/>
            <w:tcMar>
              <w:top w:w="0" w:type="dxa"/>
              <w:bottom w:w="0" w:type="dxa"/>
            </w:tcMar>
            <w:vAlign w:val="center"/>
          </w:tcPr>
          <w:p w14:paraId="6B84F25D"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徐德强</w:t>
            </w:r>
          </w:p>
        </w:tc>
        <w:tc>
          <w:tcPr>
            <w:tcW w:w="972" w:type="pct"/>
            <w:tcMar>
              <w:top w:w="0" w:type="dxa"/>
              <w:bottom w:w="0" w:type="dxa"/>
            </w:tcMar>
            <w:vAlign w:val="center"/>
          </w:tcPr>
          <w:p w14:paraId="34DF6483" w14:textId="4F484E0D"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有限合伙人</w:t>
            </w:r>
          </w:p>
        </w:tc>
        <w:tc>
          <w:tcPr>
            <w:tcW w:w="756" w:type="pct"/>
            <w:tcMar>
              <w:top w:w="0" w:type="dxa"/>
              <w:bottom w:w="0" w:type="dxa"/>
            </w:tcMar>
            <w:vAlign w:val="center"/>
          </w:tcPr>
          <w:p w14:paraId="1073B3D6" w14:textId="1960E289"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42.0608</w:t>
            </w:r>
          </w:p>
        </w:tc>
        <w:tc>
          <w:tcPr>
            <w:tcW w:w="694" w:type="pct"/>
            <w:tcMar>
              <w:top w:w="0" w:type="dxa"/>
              <w:bottom w:w="0" w:type="dxa"/>
            </w:tcMar>
            <w:vAlign w:val="center"/>
          </w:tcPr>
          <w:p w14:paraId="41C6DB21" w14:textId="1083C9A9"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sz w:val="21"/>
                <w:szCs w:val="21"/>
              </w:rPr>
              <w:t>63.42%</w:t>
            </w:r>
          </w:p>
        </w:tc>
        <w:tc>
          <w:tcPr>
            <w:tcW w:w="978" w:type="pct"/>
            <w:tcMar>
              <w:top w:w="0" w:type="dxa"/>
              <w:bottom w:w="0" w:type="dxa"/>
            </w:tcMar>
            <w:vAlign w:val="center"/>
          </w:tcPr>
          <w:p w14:paraId="04D15849"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曾为公司创始人之一，</w:t>
            </w:r>
            <w:r w:rsidRPr="00DA3766">
              <w:rPr>
                <w:rFonts w:ascii="Times New Roman" w:hAnsi="Times New Roman" w:cs="Times New Roman"/>
                <w:color w:val="000000" w:themeColor="text1"/>
                <w:sz w:val="21"/>
                <w:szCs w:val="21"/>
              </w:rPr>
              <w:t>2020</w:t>
            </w:r>
            <w:r w:rsidRPr="00DA3766">
              <w:rPr>
                <w:rFonts w:ascii="Times New Roman" w:hAnsi="Times New Roman" w:cs="Times New Roman"/>
                <w:color w:val="000000" w:themeColor="text1"/>
                <w:sz w:val="21"/>
                <w:szCs w:val="21"/>
              </w:rPr>
              <w:t>年</w:t>
            </w:r>
            <w:r w:rsidRPr="00DA3766">
              <w:rPr>
                <w:rFonts w:ascii="Times New Roman" w:hAnsi="Times New Roman" w:cs="Times New Roman"/>
                <w:color w:val="000000" w:themeColor="text1"/>
                <w:sz w:val="21"/>
                <w:szCs w:val="21"/>
              </w:rPr>
              <w:t>9</w:t>
            </w:r>
            <w:r w:rsidRPr="00DA3766">
              <w:rPr>
                <w:rFonts w:ascii="Times New Roman" w:hAnsi="Times New Roman" w:cs="Times New Roman"/>
                <w:color w:val="000000" w:themeColor="text1"/>
                <w:sz w:val="21"/>
                <w:szCs w:val="21"/>
              </w:rPr>
              <w:t>月离职</w:t>
            </w:r>
          </w:p>
        </w:tc>
        <w:tc>
          <w:tcPr>
            <w:tcW w:w="810" w:type="pct"/>
            <w:tcMar>
              <w:top w:w="0" w:type="dxa"/>
              <w:bottom w:w="0" w:type="dxa"/>
            </w:tcMar>
            <w:vAlign w:val="center"/>
          </w:tcPr>
          <w:p w14:paraId="242CA7E6" w14:textId="63A929B3"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直接持股转为间接持股</w:t>
            </w:r>
          </w:p>
        </w:tc>
      </w:tr>
      <w:tr w:rsidR="009003C1" w:rsidRPr="00DA3766" w14:paraId="5F020E67" w14:textId="79C06088" w:rsidTr="00635015">
        <w:trPr>
          <w:trHeight w:val="397"/>
          <w:jc w:val="center"/>
        </w:trPr>
        <w:tc>
          <w:tcPr>
            <w:tcW w:w="790" w:type="pct"/>
            <w:tcMar>
              <w:top w:w="0" w:type="dxa"/>
              <w:bottom w:w="0" w:type="dxa"/>
            </w:tcMar>
            <w:vAlign w:val="center"/>
          </w:tcPr>
          <w:p w14:paraId="0C7E1CC1"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合计</w:t>
            </w:r>
          </w:p>
        </w:tc>
        <w:tc>
          <w:tcPr>
            <w:tcW w:w="972" w:type="pct"/>
            <w:tcMar>
              <w:top w:w="0" w:type="dxa"/>
              <w:bottom w:w="0" w:type="dxa"/>
            </w:tcMar>
            <w:vAlign w:val="center"/>
          </w:tcPr>
          <w:p w14:paraId="776D23E8" w14:textId="23E72C3B"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c>
          <w:tcPr>
            <w:tcW w:w="756" w:type="pct"/>
            <w:tcMar>
              <w:top w:w="0" w:type="dxa"/>
              <w:bottom w:w="0" w:type="dxa"/>
            </w:tcMar>
            <w:vAlign w:val="center"/>
          </w:tcPr>
          <w:p w14:paraId="773E127C" w14:textId="100DAB31"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66.3179</w:t>
            </w:r>
          </w:p>
        </w:tc>
        <w:tc>
          <w:tcPr>
            <w:tcW w:w="694" w:type="pct"/>
            <w:tcMar>
              <w:top w:w="0" w:type="dxa"/>
              <w:bottom w:w="0" w:type="dxa"/>
            </w:tcMar>
            <w:vAlign w:val="center"/>
          </w:tcPr>
          <w:p w14:paraId="23582732" w14:textId="77777777"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100.00%</w:t>
            </w:r>
          </w:p>
        </w:tc>
        <w:tc>
          <w:tcPr>
            <w:tcW w:w="978" w:type="pct"/>
            <w:tcMar>
              <w:top w:w="0" w:type="dxa"/>
              <w:bottom w:w="0" w:type="dxa"/>
            </w:tcMar>
            <w:vAlign w:val="center"/>
          </w:tcPr>
          <w:p w14:paraId="07E45E4B" w14:textId="570B8B1D"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c>
          <w:tcPr>
            <w:tcW w:w="810" w:type="pct"/>
            <w:tcMar>
              <w:top w:w="0" w:type="dxa"/>
              <w:bottom w:w="0" w:type="dxa"/>
            </w:tcMar>
            <w:vAlign w:val="center"/>
          </w:tcPr>
          <w:p w14:paraId="644448A6" w14:textId="15C46CB1"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r>
    </w:tbl>
    <w:p w14:paraId="4EDAE1C7" w14:textId="77777777" w:rsidR="00EA22E2" w:rsidRPr="00DA3766" w:rsidRDefault="003E6B77" w:rsidP="003E6B77">
      <w:pPr>
        <w:pStyle w:val="003"/>
        <w:spacing w:before="120" w:after="120"/>
        <w:ind w:firstLine="482"/>
      </w:pPr>
      <w:r w:rsidRPr="00DA3766">
        <w:t>（二）</w:t>
      </w:r>
      <w:r w:rsidR="00EA22E2" w:rsidRPr="00DA3766">
        <w:t>结合其入股时间、入股价格、入股时间及价格同其他员工持股平台的差异、入股价格的公允性、出资结构等补充披露乐陶陶在未按</w:t>
      </w:r>
      <w:r w:rsidR="00EA22E2" w:rsidRPr="00DA3766">
        <w:t>16.95</w:t>
      </w:r>
      <w:r w:rsidR="00EA22E2" w:rsidRPr="00DA3766">
        <w:t>亿元估值确定交易作价的同时做出业绩承诺的原因及商业合理性</w:t>
      </w:r>
    </w:p>
    <w:p w14:paraId="55D38DCF" w14:textId="11439DC3" w:rsidR="003E6B77" w:rsidRPr="00DA3766" w:rsidRDefault="00EA22E2" w:rsidP="00EA22E2">
      <w:pPr>
        <w:pStyle w:val="004"/>
        <w:spacing w:before="120" w:after="120"/>
        <w:ind w:firstLine="482"/>
      </w:pPr>
      <w:r w:rsidRPr="00DA3766">
        <w:t>1</w:t>
      </w:r>
      <w:r w:rsidRPr="00DA3766">
        <w:t>、</w:t>
      </w:r>
      <w:r w:rsidR="003E6B77" w:rsidRPr="00DA3766">
        <w:t>乐陶陶</w:t>
      </w:r>
      <w:r w:rsidR="0027438F" w:rsidRPr="00DA3766">
        <w:t>出资</w:t>
      </w:r>
      <w:r w:rsidR="00AF5E2B" w:rsidRPr="00DA3766">
        <w:t>结构及</w:t>
      </w:r>
      <w:r w:rsidR="003E6B77" w:rsidRPr="00DA3766">
        <w:t>合伙人</w:t>
      </w:r>
      <w:r w:rsidR="00E75982" w:rsidRPr="00DA3766">
        <w:t>性质</w:t>
      </w:r>
    </w:p>
    <w:p w14:paraId="52FBE361" w14:textId="6233B1FB" w:rsidR="003E6B77" w:rsidRPr="00DA3766" w:rsidRDefault="003E6B77" w:rsidP="003E6B77">
      <w:pPr>
        <w:pStyle w:val="005"/>
        <w:spacing w:before="120" w:after="120"/>
        <w:ind w:firstLine="480"/>
      </w:pPr>
      <w:r w:rsidRPr="00DA3766">
        <w:t>截至本回复出具之日，乐陶陶股权结构及合伙人</w:t>
      </w:r>
      <w:r w:rsidR="00E21BEB" w:rsidRPr="00DA3766">
        <w:t>性质</w:t>
      </w:r>
      <w:r w:rsidRPr="00DA3766">
        <w:t>如下表所示：</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710"/>
        <w:gridCol w:w="1525"/>
        <w:gridCol w:w="1417"/>
        <w:gridCol w:w="1620"/>
        <w:gridCol w:w="1177"/>
        <w:gridCol w:w="2079"/>
      </w:tblGrid>
      <w:tr w:rsidR="0027438F" w:rsidRPr="00DA3766" w14:paraId="34886A2A" w14:textId="28B54C02" w:rsidTr="00635015">
        <w:trPr>
          <w:trHeight w:val="397"/>
          <w:tblHeader/>
          <w:jc w:val="center"/>
        </w:trPr>
        <w:tc>
          <w:tcPr>
            <w:tcW w:w="416" w:type="pct"/>
            <w:tcMar>
              <w:top w:w="0" w:type="dxa"/>
              <w:left w:w="108" w:type="dxa"/>
              <w:bottom w:w="0" w:type="dxa"/>
              <w:right w:w="108" w:type="dxa"/>
            </w:tcMar>
            <w:vAlign w:val="center"/>
          </w:tcPr>
          <w:p w14:paraId="52D494F3"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13" w:name="_Hlk216359239"/>
            <w:r w:rsidRPr="00DA3766">
              <w:rPr>
                <w:rFonts w:ascii="Times New Roman" w:hAnsi="Times New Roman" w:cs="Times New Roman"/>
                <w:b/>
                <w:bCs/>
                <w:sz w:val="21"/>
                <w:szCs w:val="21"/>
              </w:rPr>
              <w:t>序号</w:t>
            </w:r>
          </w:p>
        </w:tc>
        <w:tc>
          <w:tcPr>
            <w:tcW w:w="894" w:type="pct"/>
            <w:tcMar>
              <w:top w:w="0" w:type="dxa"/>
              <w:left w:w="108" w:type="dxa"/>
              <w:bottom w:w="0" w:type="dxa"/>
              <w:right w:w="108" w:type="dxa"/>
            </w:tcMar>
            <w:vAlign w:val="center"/>
          </w:tcPr>
          <w:p w14:paraId="406322CB"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831" w:type="pct"/>
            <w:tcMar>
              <w:top w:w="0" w:type="dxa"/>
              <w:left w:w="108" w:type="dxa"/>
              <w:bottom w:w="0" w:type="dxa"/>
              <w:right w:w="108" w:type="dxa"/>
            </w:tcMar>
            <w:vAlign w:val="center"/>
          </w:tcPr>
          <w:p w14:paraId="363A8A88"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950" w:type="pct"/>
            <w:tcMar>
              <w:top w:w="0" w:type="dxa"/>
              <w:left w:w="108" w:type="dxa"/>
              <w:bottom w:w="0" w:type="dxa"/>
              <w:right w:w="108" w:type="dxa"/>
            </w:tcMar>
            <w:vAlign w:val="center"/>
          </w:tcPr>
          <w:p w14:paraId="7EE15380"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w:t>
            </w:r>
          </w:p>
          <w:p w14:paraId="254D5C5F"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（元）</w:t>
            </w:r>
          </w:p>
        </w:tc>
        <w:tc>
          <w:tcPr>
            <w:tcW w:w="690" w:type="pct"/>
            <w:tcMar>
              <w:top w:w="0" w:type="dxa"/>
              <w:left w:w="108" w:type="dxa"/>
              <w:bottom w:w="0" w:type="dxa"/>
              <w:right w:w="108" w:type="dxa"/>
            </w:tcMar>
            <w:vAlign w:val="center"/>
          </w:tcPr>
          <w:p w14:paraId="23DD808E"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p>
          <w:p w14:paraId="03998B7A"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c>
          <w:tcPr>
            <w:tcW w:w="1219" w:type="pct"/>
            <w:tcMar>
              <w:top w:w="0" w:type="dxa"/>
              <w:bottom w:w="0" w:type="dxa"/>
            </w:tcMar>
            <w:vAlign w:val="center"/>
          </w:tcPr>
          <w:p w14:paraId="3D1A05D3"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w:t>
            </w:r>
          </w:p>
          <w:p w14:paraId="2A4EAC70" w14:textId="619C1D39"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性质</w:t>
            </w:r>
          </w:p>
        </w:tc>
      </w:tr>
      <w:tr w:rsidR="0027438F" w:rsidRPr="00DA3766" w14:paraId="54367414" w14:textId="6313C81A" w:rsidTr="00DA3766">
        <w:trPr>
          <w:trHeight w:val="397"/>
          <w:jc w:val="center"/>
        </w:trPr>
        <w:tc>
          <w:tcPr>
            <w:tcW w:w="416" w:type="pct"/>
            <w:tcMar>
              <w:top w:w="0" w:type="dxa"/>
              <w:left w:w="108" w:type="dxa"/>
              <w:bottom w:w="0" w:type="dxa"/>
              <w:right w:w="108" w:type="dxa"/>
            </w:tcMar>
            <w:vAlign w:val="center"/>
          </w:tcPr>
          <w:p w14:paraId="705D927D"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4" w:name="_Hlk218591875"/>
            <w:r w:rsidRPr="00DA3766">
              <w:rPr>
                <w:rFonts w:ascii="Times New Roman" w:hAnsi="Times New Roman" w:cs="Times New Roman"/>
                <w:sz w:val="21"/>
                <w:szCs w:val="21"/>
              </w:rPr>
              <w:t>1</w:t>
            </w:r>
          </w:p>
        </w:tc>
        <w:tc>
          <w:tcPr>
            <w:tcW w:w="894" w:type="pct"/>
            <w:tcMar>
              <w:top w:w="0" w:type="dxa"/>
              <w:left w:w="108" w:type="dxa"/>
              <w:bottom w:w="0" w:type="dxa"/>
              <w:right w:w="108" w:type="dxa"/>
            </w:tcMar>
            <w:vAlign w:val="center"/>
          </w:tcPr>
          <w:p w14:paraId="50C9BF51"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831" w:type="pct"/>
            <w:tcMar>
              <w:top w:w="0" w:type="dxa"/>
              <w:left w:w="108" w:type="dxa"/>
              <w:bottom w:w="0" w:type="dxa"/>
              <w:right w:w="108" w:type="dxa"/>
            </w:tcMar>
            <w:vAlign w:val="center"/>
          </w:tcPr>
          <w:p w14:paraId="66BD74A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w:t>
            </w:r>
            <w:r w:rsidRPr="00DA3766">
              <w:rPr>
                <w:rFonts w:ascii="Times New Roman" w:hAnsi="Times New Roman" w:cs="Times New Roman"/>
                <w:sz w:val="21"/>
                <w:szCs w:val="21"/>
              </w:rPr>
              <w:lastRenderedPageBreak/>
              <w:t>伙人</w:t>
            </w:r>
          </w:p>
        </w:tc>
        <w:tc>
          <w:tcPr>
            <w:tcW w:w="950" w:type="pct"/>
            <w:tcMar>
              <w:top w:w="0" w:type="dxa"/>
              <w:left w:w="108" w:type="dxa"/>
              <w:bottom w:w="0" w:type="dxa"/>
              <w:right w:w="108" w:type="dxa"/>
            </w:tcMar>
            <w:vAlign w:val="center"/>
          </w:tcPr>
          <w:p w14:paraId="0D30BF34"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lastRenderedPageBreak/>
              <w:t>117,622.00</w:t>
            </w:r>
          </w:p>
        </w:tc>
        <w:tc>
          <w:tcPr>
            <w:tcW w:w="690" w:type="pct"/>
            <w:tcMar>
              <w:top w:w="0" w:type="dxa"/>
              <w:left w:w="108" w:type="dxa"/>
              <w:bottom w:w="0" w:type="dxa"/>
              <w:right w:w="108" w:type="dxa"/>
            </w:tcMar>
            <w:vAlign w:val="center"/>
          </w:tcPr>
          <w:p w14:paraId="2223D887"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4.40</w:t>
            </w:r>
          </w:p>
        </w:tc>
        <w:tc>
          <w:tcPr>
            <w:tcW w:w="1219" w:type="pct"/>
            <w:tcMar>
              <w:top w:w="0" w:type="dxa"/>
              <w:bottom w:w="0" w:type="dxa"/>
            </w:tcMar>
            <w:vAlign w:val="center"/>
          </w:tcPr>
          <w:p w14:paraId="77314692" w14:textId="4118BC74"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5" w:name="OLE_LINK24"/>
            <w:r w:rsidRPr="00DA3766">
              <w:rPr>
                <w:rFonts w:ascii="Times New Roman" w:hAnsi="Times New Roman" w:cs="Times New Roman"/>
                <w:sz w:val="21"/>
                <w:szCs w:val="21"/>
              </w:rPr>
              <w:t>标的公司董事、副总</w:t>
            </w:r>
            <w:r w:rsidRPr="00DA3766">
              <w:rPr>
                <w:rFonts w:ascii="Times New Roman" w:hAnsi="Times New Roman" w:cs="Times New Roman"/>
                <w:sz w:val="21"/>
                <w:szCs w:val="21"/>
              </w:rPr>
              <w:lastRenderedPageBreak/>
              <w:t>经理、技术负责人</w:t>
            </w:r>
            <w:bookmarkEnd w:id="115"/>
          </w:p>
        </w:tc>
      </w:tr>
      <w:tr w:rsidR="0027438F" w:rsidRPr="00DA3766" w14:paraId="5D33F744" w14:textId="09DC8B84" w:rsidTr="00DA3766">
        <w:trPr>
          <w:trHeight w:val="397"/>
          <w:jc w:val="center"/>
        </w:trPr>
        <w:tc>
          <w:tcPr>
            <w:tcW w:w="416" w:type="pct"/>
            <w:tcMar>
              <w:top w:w="0" w:type="dxa"/>
              <w:left w:w="108" w:type="dxa"/>
              <w:bottom w:w="0" w:type="dxa"/>
              <w:right w:w="108" w:type="dxa"/>
            </w:tcMar>
            <w:vAlign w:val="center"/>
          </w:tcPr>
          <w:p w14:paraId="4810169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2</w:t>
            </w:r>
          </w:p>
        </w:tc>
        <w:tc>
          <w:tcPr>
            <w:tcW w:w="894" w:type="pct"/>
            <w:tcMar>
              <w:top w:w="0" w:type="dxa"/>
              <w:left w:w="108" w:type="dxa"/>
              <w:bottom w:w="0" w:type="dxa"/>
              <w:right w:w="108" w:type="dxa"/>
            </w:tcMar>
            <w:vAlign w:val="center"/>
          </w:tcPr>
          <w:p w14:paraId="2C3F1A8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陈岳政</w:t>
            </w:r>
          </w:p>
        </w:tc>
        <w:tc>
          <w:tcPr>
            <w:tcW w:w="831" w:type="pct"/>
            <w:tcMar>
              <w:top w:w="0" w:type="dxa"/>
              <w:left w:w="108" w:type="dxa"/>
              <w:bottom w:w="0" w:type="dxa"/>
              <w:right w:w="108" w:type="dxa"/>
            </w:tcMar>
            <w:vAlign w:val="center"/>
          </w:tcPr>
          <w:p w14:paraId="0BE8D8E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7ED5CA11"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859,926.00</w:t>
            </w:r>
          </w:p>
        </w:tc>
        <w:tc>
          <w:tcPr>
            <w:tcW w:w="690" w:type="pct"/>
            <w:tcMar>
              <w:top w:w="0" w:type="dxa"/>
              <w:left w:w="108" w:type="dxa"/>
              <w:bottom w:w="0" w:type="dxa"/>
              <w:right w:w="108" w:type="dxa"/>
            </w:tcMar>
            <w:vAlign w:val="center"/>
          </w:tcPr>
          <w:p w14:paraId="6AB5D832"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32.17</w:t>
            </w:r>
          </w:p>
        </w:tc>
        <w:tc>
          <w:tcPr>
            <w:tcW w:w="1219" w:type="pct"/>
            <w:tcMar>
              <w:top w:w="0" w:type="dxa"/>
              <w:bottom w:w="0" w:type="dxa"/>
            </w:tcMar>
            <w:vAlign w:val="center"/>
          </w:tcPr>
          <w:p w14:paraId="54E4AAED" w14:textId="274A4F01" w:rsidR="0027438F" w:rsidRPr="00DA3766" w:rsidRDefault="00FC554A"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r w:rsidR="005B3828" w:rsidRPr="00DA3766">
              <w:rPr>
                <w:rFonts w:ascii="Times New Roman" w:hAnsi="Times New Roman" w:cs="Times New Roman"/>
                <w:sz w:val="21"/>
                <w:szCs w:val="21"/>
              </w:rPr>
              <w:t>离职</w:t>
            </w:r>
            <w:r w:rsidR="0027438F" w:rsidRPr="00DA3766">
              <w:rPr>
                <w:rFonts w:ascii="Times New Roman" w:hAnsi="Times New Roman" w:cs="Times New Roman"/>
                <w:sz w:val="21"/>
                <w:szCs w:val="21"/>
              </w:rPr>
              <w:t>员工</w:t>
            </w:r>
          </w:p>
        </w:tc>
      </w:tr>
      <w:tr w:rsidR="0027438F" w:rsidRPr="00DA3766" w14:paraId="29E17948" w14:textId="0B9B5AAA" w:rsidTr="00DA3766">
        <w:trPr>
          <w:trHeight w:val="397"/>
          <w:jc w:val="center"/>
        </w:trPr>
        <w:tc>
          <w:tcPr>
            <w:tcW w:w="416" w:type="pct"/>
            <w:tcMar>
              <w:top w:w="0" w:type="dxa"/>
              <w:left w:w="108" w:type="dxa"/>
              <w:bottom w:w="0" w:type="dxa"/>
              <w:right w:w="108" w:type="dxa"/>
            </w:tcMar>
            <w:vAlign w:val="center"/>
          </w:tcPr>
          <w:p w14:paraId="2DA1C44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894" w:type="pct"/>
            <w:tcMar>
              <w:top w:w="0" w:type="dxa"/>
              <w:left w:w="108" w:type="dxa"/>
              <w:bottom w:w="0" w:type="dxa"/>
              <w:right w:w="108" w:type="dxa"/>
            </w:tcMar>
            <w:vAlign w:val="center"/>
          </w:tcPr>
          <w:p w14:paraId="31F3595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黄俊波</w:t>
            </w:r>
          </w:p>
        </w:tc>
        <w:tc>
          <w:tcPr>
            <w:tcW w:w="831" w:type="pct"/>
            <w:tcMar>
              <w:top w:w="0" w:type="dxa"/>
              <w:left w:w="108" w:type="dxa"/>
              <w:bottom w:w="0" w:type="dxa"/>
              <w:right w:w="108" w:type="dxa"/>
            </w:tcMar>
            <w:vAlign w:val="center"/>
          </w:tcPr>
          <w:p w14:paraId="5FB83DD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3A2A5BDE"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837,048.00</w:t>
            </w:r>
          </w:p>
        </w:tc>
        <w:tc>
          <w:tcPr>
            <w:tcW w:w="690" w:type="pct"/>
            <w:tcMar>
              <w:top w:w="0" w:type="dxa"/>
              <w:left w:w="108" w:type="dxa"/>
              <w:bottom w:w="0" w:type="dxa"/>
              <w:right w:w="108" w:type="dxa"/>
            </w:tcMar>
            <w:vAlign w:val="center"/>
          </w:tcPr>
          <w:p w14:paraId="061334E9"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31.31</w:t>
            </w:r>
          </w:p>
        </w:tc>
        <w:tc>
          <w:tcPr>
            <w:tcW w:w="1219" w:type="pct"/>
            <w:tcMar>
              <w:top w:w="0" w:type="dxa"/>
              <w:bottom w:w="0" w:type="dxa"/>
            </w:tcMar>
            <w:vAlign w:val="center"/>
          </w:tcPr>
          <w:p w14:paraId="7B288E80" w14:textId="018C6700"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外部投资者</w:t>
            </w:r>
          </w:p>
        </w:tc>
      </w:tr>
      <w:tr w:rsidR="0027438F" w:rsidRPr="00DA3766" w14:paraId="4DDDB606" w14:textId="1997753E" w:rsidTr="00DA3766">
        <w:trPr>
          <w:trHeight w:val="397"/>
          <w:jc w:val="center"/>
        </w:trPr>
        <w:tc>
          <w:tcPr>
            <w:tcW w:w="416" w:type="pct"/>
            <w:tcMar>
              <w:top w:w="0" w:type="dxa"/>
              <w:left w:w="108" w:type="dxa"/>
              <w:bottom w:w="0" w:type="dxa"/>
              <w:right w:w="108" w:type="dxa"/>
            </w:tcMar>
            <w:vAlign w:val="center"/>
          </w:tcPr>
          <w:p w14:paraId="49F68032"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894" w:type="pct"/>
            <w:tcMar>
              <w:top w:w="0" w:type="dxa"/>
              <w:left w:w="108" w:type="dxa"/>
              <w:bottom w:w="0" w:type="dxa"/>
              <w:right w:w="108" w:type="dxa"/>
            </w:tcMar>
            <w:vAlign w:val="center"/>
          </w:tcPr>
          <w:p w14:paraId="039D0648" w14:textId="2C44813C"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6" w:name="OLE_LINK69"/>
            <w:r w:rsidRPr="00DA3766">
              <w:rPr>
                <w:rFonts w:ascii="Times New Roman" w:hAnsi="Times New Roman" w:cs="Times New Roman"/>
                <w:sz w:val="21"/>
                <w:szCs w:val="21"/>
              </w:rPr>
              <w:t>宁波圣哲管理咨询合伙企业</w:t>
            </w:r>
            <w:bookmarkEnd w:id="116"/>
            <w:r w:rsidRPr="00DA3766">
              <w:rPr>
                <w:rFonts w:ascii="Times New Roman" w:hAnsi="Times New Roman" w:cs="Times New Roman"/>
                <w:sz w:val="21"/>
                <w:szCs w:val="21"/>
              </w:rPr>
              <w:t>（有限合伙）</w:t>
            </w:r>
          </w:p>
        </w:tc>
        <w:tc>
          <w:tcPr>
            <w:tcW w:w="831" w:type="pct"/>
            <w:tcMar>
              <w:top w:w="0" w:type="dxa"/>
              <w:left w:w="108" w:type="dxa"/>
              <w:bottom w:w="0" w:type="dxa"/>
              <w:right w:w="108" w:type="dxa"/>
            </w:tcMar>
            <w:vAlign w:val="center"/>
          </w:tcPr>
          <w:p w14:paraId="3A06BD7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2F9F58BF"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488,906.00</w:t>
            </w:r>
          </w:p>
        </w:tc>
        <w:tc>
          <w:tcPr>
            <w:tcW w:w="690" w:type="pct"/>
            <w:tcMar>
              <w:top w:w="0" w:type="dxa"/>
              <w:left w:w="108" w:type="dxa"/>
              <w:bottom w:w="0" w:type="dxa"/>
              <w:right w:w="108" w:type="dxa"/>
            </w:tcMar>
            <w:vAlign w:val="center"/>
          </w:tcPr>
          <w:p w14:paraId="0F1C5B0D"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18.29</w:t>
            </w:r>
          </w:p>
        </w:tc>
        <w:tc>
          <w:tcPr>
            <w:tcW w:w="1219" w:type="pct"/>
            <w:tcMar>
              <w:top w:w="0" w:type="dxa"/>
              <w:bottom w:w="0" w:type="dxa"/>
            </w:tcMar>
            <w:vAlign w:val="center"/>
          </w:tcPr>
          <w:p w14:paraId="50127951" w14:textId="459039BE"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外部投资者</w:t>
            </w:r>
          </w:p>
        </w:tc>
      </w:tr>
      <w:tr w:rsidR="0027438F" w:rsidRPr="00DA3766" w14:paraId="7B1C2BAA" w14:textId="6E204598" w:rsidTr="00DA3766">
        <w:trPr>
          <w:trHeight w:val="397"/>
          <w:jc w:val="center"/>
        </w:trPr>
        <w:tc>
          <w:tcPr>
            <w:tcW w:w="416" w:type="pct"/>
            <w:tcMar>
              <w:top w:w="0" w:type="dxa"/>
              <w:left w:w="108" w:type="dxa"/>
              <w:bottom w:w="0" w:type="dxa"/>
              <w:right w:w="108" w:type="dxa"/>
            </w:tcMar>
            <w:vAlign w:val="center"/>
          </w:tcPr>
          <w:p w14:paraId="4D9CD5C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894" w:type="pct"/>
            <w:tcMar>
              <w:top w:w="0" w:type="dxa"/>
              <w:left w:w="108" w:type="dxa"/>
              <w:bottom w:w="0" w:type="dxa"/>
              <w:right w:w="108" w:type="dxa"/>
            </w:tcMar>
            <w:vAlign w:val="center"/>
          </w:tcPr>
          <w:p w14:paraId="14C205B8"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徐德强</w:t>
            </w:r>
          </w:p>
        </w:tc>
        <w:tc>
          <w:tcPr>
            <w:tcW w:w="831" w:type="pct"/>
            <w:tcMar>
              <w:top w:w="0" w:type="dxa"/>
              <w:left w:w="108" w:type="dxa"/>
              <w:bottom w:w="0" w:type="dxa"/>
              <w:right w:w="108" w:type="dxa"/>
            </w:tcMar>
            <w:vAlign w:val="center"/>
          </w:tcPr>
          <w:p w14:paraId="72620FD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37060365"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369,523.00</w:t>
            </w:r>
          </w:p>
        </w:tc>
        <w:tc>
          <w:tcPr>
            <w:tcW w:w="690" w:type="pct"/>
            <w:tcMar>
              <w:top w:w="0" w:type="dxa"/>
              <w:left w:w="108" w:type="dxa"/>
              <w:bottom w:w="0" w:type="dxa"/>
              <w:right w:w="108" w:type="dxa"/>
            </w:tcMar>
            <w:vAlign w:val="center"/>
          </w:tcPr>
          <w:p w14:paraId="7CBD0956"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13.82</w:t>
            </w:r>
          </w:p>
        </w:tc>
        <w:tc>
          <w:tcPr>
            <w:tcW w:w="1219" w:type="pct"/>
            <w:tcMar>
              <w:top w:w="0" w:type="dxa"/>
              <w:bottom w:w="0" w:type="dxa"/>
            </w:tcMar>
            <w:vAlign w:val="center"/>
          </w:tcPr>
          <w:p w14:paraId="706119F4" w14:textId="0EB956DA" w:rsidR="0027438F" w:rsidRPr="00DA3766" w:rsidRDefault="00FC554A"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r w:rsidR="0027438F" w:rsidRPr="00DA3766">
              <w:rPr>
                <w:rFonts w:ascii="Times New Roman" w:hAnsi="Times New Roman" w:cs="Times New Roman"/>
                <w:sz w:val="21"/>
                <w:szCs w:val="21"/>
              </w:rPr>
              <w:t>创始人之一</w:t>
            </w:r>
          </w:p>
        </w:tc>
      </w:tr>
      <w:tr w:rsidR="0027438F" w:rsidRPr="00DA3766" w14:paraId="70043BB5" w14:textId="0B46C07C" w:rsidTr="00DA3766">
        <w:trPr>
          <w:trHeight w:val="397"/>
          <w:jc w:val="center"/>
        </w:trPr>
        <w:tc>
          <w:tcPr>
            <w:tcW w:w="416" w:type="pct"/>
            <w:tcMar>
              <w:top w:w="0" w:type="dxa"/>
              <w:left w:w="108" w:type="dxa"/>
              <w:bottom w:w="0" w:type="dxa"/>
              <w:right w:w="108" w:type="dxa"/>
            </w:tcMar>
            <w:vAlign w:val="center"/>
          </w:tcPr>
          <w:p w14:paraId="02C409A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894" w:type="pct"/>
            <w:tcMar>
              <w:top w:w="0" w:type="dxa"/>
              <w:left w:w="108" w:type="dxa"/>
              <w:bottom w:w="0" w:type="dxa"/>
              <w:right w:w="108" w:type="dxa"/>
            </w:tcMar>
            <w:vAlign w:val="center"/>
          </w:tcPr>
          <w:p w14:paraId="35B4017F"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陈耿豪</w:t>
            </w:r>
          </w:p>
        </w:tc>
        <w:tc>
          <w:tcPr>
            <w:tcW w:w="831" w:type="pct"/>
            <w:tcMar>
              <w:top w:w="0" w:type="dxa"/>
              <w:left w:w="108" w:type="dxa"/>
              <w:bottom w:w="0" w:type="dxa"/>
              <w:right w:w="108" w:type="dxa"/>
            </w:tcMar>
            <w:vAlign w:val="center"/>
          </w:tcPr>
          <w:p w14:paraId="55AA423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7FBA7FEE"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258.00</w:t>
            </w:r>
          </w:p>
        </w:tc>
        <w:tc>
          <w:tcPr>
            <w:tcW w:w="690" w:type="pct"/>
            <w:tcMar>
              <w:top w:w="0" w:type="dxa"/>
              <w:left w:w="108" w:type="dxa"/>
              <w:bottom w:w="0" w:type="dxa"/>
              <w:right w:w="108" w:type="dxa"/>
            </w:tcMar>
            <w:vAlign w:val="center"/>
          </w:tcPr>
          <w:p w14:paraId="30CAD2C2"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0.01</w:t>
            </w:r>
          </w:p>
        </w:tc>
        <w:tc>
          <w:tcPr>
            <w:tcW w:w="1219" w:type="pct"/>
            <w:tcMar>
              <w:top w:w="0" w:type="dxa"/>
              <w:bottom w:w="0" w:type="dxa"/>
            </w:tcMar>
            <w:vAlign w:val="center"/>
          </w:tcPr>
          <w:p w14:paraId="660D1195" w14:textId="55E3120C"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标的公司实际控制人、董事长及总经理</w:t>
            </w:r>
          </w:p>
        </w:tc>
      </w:tr>
      <w:tr w:rsidR="0027438F" w:rsidRPr="00DA3766" w14:paraId="0A0B840D" w14:textId="72C813D6" w:rsidTr="00DA3766">
        <w:trPr>
          <w:trHeight w:val="397"/>
          <w:jc w:val="center"/>
        </w:trPr>
        <w:tc>
          <w:tcPr>
            <w:tcW w:w="2141" w:type="pct"/>
            <w:gridSpan w:val="3"/>
            <w:tcMar>
              <w:top w:w="0" w:type="dxa"/>
              <w:left w:w="108" w:type="dxa"/>
              <w:bottom w:w="0" w:type="dxa"/>
              <w:right w:w="108" w:type="dxa"/>
            </w:tcMar>
            <w:vAlign w:val="center"/>
          </w:tcPr>
          <w:p w14:paraId="6D7389C9"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950" w:type="pct"/>
            <w:tcMar>
              <w:top w:w="0" w:type="dxa"/>
              <w:left w:w="108" w:type="dxa"/>
              <w:bottom w:w="0" w:type="dxa"/>
              <w:right w:w="108" w:type="dxa"/>
            </w:tcMar>
            <w:vAlign w:val="center"/>
          </w:tcPr>
          <w:p w14:paraId="0479C7C1"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2,673,283.00</w:t>
            </w:r>
          </w:p>
        </w:tc>
        <w:tc>
          <w:tcPr>
            <w:tcW w:w="690" w:type="pct"/>
            <w:tcMar>
              <w:top w:w="0" w:type="dxa"/>
              <w:left w:w="108" w:type="dxa"/>
              <w:bottom w:w="0" w:type="dxa"/>
              <w:right w:w="108" w:type="dxa"/>
            </w:tcMar>
            <w:vAlign w:val="center"/>
          </w:tcPr>
          <w:p w14:paraId="4EF0E199"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c>
          <w:tcPr>
            <w:tcW w:w="1219" w:type="pct"/>
            <w:tcMar>
              <w:top w:w="0" w:type="dxa"/>
              <w:bottom w:w="0" w:type="dxa"/>
            </w:tcMar>
            <w:vAlign w:val="center"/>
          </w:tcPr>
          <w:p w14:paraId="267376E0" w14:textId="214AB2FB"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w:t>
            </w:r>
          </w:p>
        </w:tc>
      </w:tr>
    </w:tbl>
    <w:bookmarkEnd w:id="113"/>
    <w:bookmarkEnd w:id="114"/>
    <w:p w14:paraId="008EE901" w14:textId="78637C35" w:rsidR="00EA22E2" w:rsidRPr="00DA3766" w:rsidRDefault="00EA22E2" w:rsidP="00EA22E2">
      <w:pPr>
        <w:pStyle w:val="004"/>
        <w:spacing w:before="120" w:after="120"/>
        <w:ind w:firstLine="482"/>
      </w:pPr>
      <w:r w:rsidRPr="00DA3766">
        <w:t>2</w:t>
      </w:r>
      <w:r w:rsidRPr="00DA3766">
        <w:t>、乐陶陶</w:t>
      </w:r>
      <w:r w:rsidR="0027438F" w:rsidRPr="00DA3766">
        <w:t>入股时间、入股价格、入股时间及价格同其他员工持股平台的差异、入股价格的公允性</w:t>
      </w:r>
    </w:p>
    <w:tbl>
      <w:tblPr>
        <w:tblStyle w:val="afc"/>
        <w:tblW w:w="5424" w:type="pct"/>
        <w:jc w:val="center"/>
        <w:tblBorders>
          <w:top w:val="thinThickSmallGap" w:sz="24" w:space="0" w:color="auto"/>
          <w:bottom w:val="thickThinSmallGap" w:sz="24" w:space="0" w:color="auto"/>
        </w:tblBorders>
        <w:tblLook w:val="04A0" w:firstRow="1" w:lastRow="0" w:firstColumn="1" w:lastColumn="0" w:noHBand="0" w:noVBand="1"/>
      </w:tblPr>
      <w:tblGrid>
        <w:gridCol w:w="498"/>
        <w:gridCol w:w="910"/>
        <w:gridCol w:w="2094"/>
        <w:gridCol w:w="1710"/>
        <w:gridCol w:w="4039"/>
      </w:tblGrid>
      <w:tr w:rsidR="00A434BD" w:rsidRPr="00DA3766" w14:paraId="1B547E99" w14:textId="77777777" w:rsidTr="00635015">
        <w:trPr>
          <w:trHeight w:val="397"/>
          <w:tblHeader/>
          <w:jc w:val="center"/>
        </w:trPr>
        <w:tc>
          <w:tcPr>
            <w:tcW w:w="269" w:type="pct"/>
            <w:tcMar>
              <w:top w:w="0" w:type="dxa"/>
              <w:left w:w="108" w:type="dxa"/>
              <w:bottom w:w="0" w:type="dxa"/>
              <w:right w:w="108" w:type="dxa"/>
            </w:tcMar>
            <w:vAlign w:val="center"/>
          </w:tcPr>
          <w:p w14:paraId="4F51944F"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492" w:type="pct"/>
            <w:tcMar>
              <w:top w:w="0" w:type="dxa"/>
              <w:left w:w="108" w:type="dxa"/>
              <w:bottom w:w="0" w:type="dxa"/>
              <w:right w:w="108" w:type="dxa"/>
            </w:tcMar>
            <w:vAlign w:val="center"/>
          </w:tcPr>
          <w:p w14:paraId="0855C755" w14:textId="77777777" w:rsidR="001076ED"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w:t>
            </w:r>
          </w:p>
          <w:p w14:paraId="07B388B3" w14:textId="5DCCBE6D"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名称</w:t>
            </w:r>
          </w:p>
        </w:tc>
        <w:tc>
          <w:tcPr>
            <w:tcW w:w="1132" w:type="pct"/>
            <w:vAlign w:val="center"/>
          </w:tcPr>
          <w:p w14:paraId="0D8FE105"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入股时间及类型</w:t>
            </w:r>
          </w:p>
        </w:tc>
        <w:tc>
          <w:tcPr>
            <w:tcW w:w="924" w:type="pct"/>
            <w:vAlign w:val="center"/>
          </w:tcPr>
          <w:p w14:paraId="63B833D0"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入股价格</w:t>
            </w:r>
          </w:p>
          <w:p w14:paraId="2CA898D7"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rPr>
            </w:pPr>
            <w:r w:rsidRPr="00DA3766">
              <w:rPr>
                <w:rFonts w:ascii="Times New Roman" w:hAnsi="Times New Roman" w:cs="Times New Roman"/>
                <w:b/>
                <w:bCs/>
                <w:sz w:val="21"/>
                <w:szCs w:val="21"/>
              </w:rPr>
              <w:t>（元</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注册资本）</w:t>
            </w:r>
          </w:p>
        </w:tc>
        <w:tc>
          <w:tcPr>
            <w:tcW w:w="2184" w:type="pct"/>
            <w:vAlign w:val="center"/>
          </w:tcPr>
          <w:p w14:paraId="5AFC479F"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入股背景及价格公允性</w:t>
            </w:r>
          </w:p>
        </w:tc>
      </w:tr>
      <w:tr w:rsidR="00A434BD" w:rsidRPr="00DA3766" w14:paraId="4F8DFBA4" w14:textId="77777777" w:rsidTr="00635015">
        <w:trPr>
          <w:trHeight w:val="397"/>
          <w:jc w:val="center"/>
        </w:trPr>
        <w:tc>
          <w:tcPr>
            <w:tcW w:w="269" w:type="pct"/>
            <w:vMerge w:val="restart"/>
            <w:tcMar>
              <w:top w:w="0" w:type="dxa"/>
              <w:left w:w="108" w:type="dxa"/>
              <w:bottom w:w="0" w:type="dxa"/>
              <w:right w:w="108" w:type="dxa"/>
            </w:tcMar>
            <w:vAlign w:val="center"/>
          </w:tcPr>
          <w:p w14:paraId="1389734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492" w:type="pct"/>
            <w:vMerge w:val="restart"/>
            <w:tcMar>
              <w:top w:w="0" w:type="dxa"/>
              <w:left w:w="108" w:type="dxa"/>
              <w:bottom w:w="0" w:type="dxa"/>
              <w:right w:w="108" w:type="dxa"/>
            </w:tcMar>
            <w:vAlign w:val="center"/>
          </w:tcPr>
          <w:p w14:paraId="1B18070B"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乐陶陶</w:t>
            </w:r>
          </w:p>
        </w:tc>
        <w:tc>
          <w:tcPr>
            <w:tcW w:w="1132" w:type="pct"/>
            <w:vAlign w:val="center"/>
          </w:tcPr>
          <w:p w14:paraId="03D2F6D5"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月受让徐德强股权（用于徐德强直接持股转间接持股部分）</w:t>
            </w:r>
          </w:p>
        </w:tc>
        <w:tc>
          <w:tcPr>
            <w:tcW w:w="924" w:type="pct"/>
            <w:vAlign w:val="center"/>
          </w:tcPr>
          <w:p w14:paraId="4F5407F2"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0.02</w:t>
            </w:r>
          </w:p>
        </w:tc>
        <w:tc>
          <w:tcPr>
            <w:tcW w:w="2184" w:type="pct"/>
            <w:vAlign w:val="center"/>
          </w:tcPr>
          <w:p w14:paraId="65C19C17" w14:textId="64D404F4"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徐德强由直接持股变为间接持股，转让对价以其投资成本确定</w:t>
            </w:r>
            <w:r w:rsidR="00053E14" w:rsidRPr="00DA3766">
              <w:rPr>
                <w:rFonts w:ascii="Times New Roman" w:hAnsi="Times New Roman" w:cs="Times New Roman"/>
                <w:sz w:val="21"/>
                <w:szCs w:val="21"/>
              </w:rPr>
              <w:t>。</w:t>
            </w:r>
          </w:p>
        </w:tc>
      </w:tr>
      <w:tr w:rsidR="00A434BD" w:rsidRPr="00DA3766" w14:paraId="320D6C3C" w14:textId="77777777" w:rsidTr="00635015">
        <w:trPr>
          <w:trHeight w:val="397"/>
          <w:jc w:val="center"/>
        </w:trPr>
        <w:tc>
          <w:tcPr>
            <w:tcW w:w="269" w:type="pct"/>
            <w:vMerge/>
            <w:tcMar>
              <w:top w:w="0" w:type="dxa"/>
              <w:left w:w="108" w:type="dxa"/>
              <w:bottom w:w="0" w:type="dxa"/>
              <w:right w:w="108" w:type="dxa"/>
            </w:tcMar>
            <w:vAlign w:val="center"/>
          </w:tcPr>
          <w:p w14:paraId="14FBA1E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147E5D1B"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4EC68DE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月受让徐德强股权（预留用于股权激励部分）</w:t>
            </w:r>
          </w:p>
        </w:tc>
        <w:tc>
          <w:tcPr>
            <w:tcW w:w="924" w:type="pct"/>
            <w:vAlign w:val="center"/>
          </w:tcPr>
          <w:p w14:paraId="323EC07E" w14:textId="12B23E6E"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10.98</w:t>
            </w:r>
          </w:p>
        </w:tc>
        <w:tc>
          <w:tcPr>
            <w:tcW w:w="2184" w:type="pct"/>
            <w:vAlign w:val="center"/>
          </w:tcPr>
          <w:p w14:paraId="2C6B78FE" w14:textId="1BA0EDE0"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参照最近一期净资产价值协商确定，以用于未来股权激励</w:t>
            </w:r>
            <w:r w:rsidR="00053E14" w:rsidRPr="00DA3766">
              <w:rPr>
                <w:rFonts w:ascii="Times New Roman" w:hAnsi="Times New Roman" w:cs="Times New Roman"/>
                <w:sz w:val="21"/>
                <w:szCs w:val="21"/>
              </w:rPr>
              <w:t>。</w:t>
            </w:r>
          </w:p>
        </w:tc>
      </w:tr>
      <w:tr w:rsidR="00A434BD" w:rsidRPr="00DA3766" w14:paraId="5A421FFA" w14:textId="77777777" w:rsidTr="00635015">
        <w:trPr>
          <w:trHeight w:val="397"/>
          <w:jc w:val="center"/>
        </w:trPr>
        <w:tc>
          <w:tcPr>
            <w:tcW w:w="269" w:type="pct"/>
            <w:tcMar>
              <w:top w:w="0" w:type="dxa"/>
              <w:left w:w="108" w:type="dxa"/>
              <w:bottom w:w="0" w:type="dxa"/>
              <w:right w:w="108" w:type="dxa"/>
            </w:tcMar>
            <w:vAlign w:val="center"/>
          </w:tcPr>
          <w:p w14:paraId="47FE09F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492" w:type="pct"/>
            <w:tcMar>
              <w:top w:w="0" w:type="dxa"/>
              <w:left w:w="108" w:type="dxa"/>
              <w:bottom w:w="0" w:type="dxa"/>
              <w:right w:w="108" w:type="dxa"/>
            </w:tcMar>
            <w:vAlign w:val="center"/>
          </w:tcPr>
          <w:p w14:paraId="77D1569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1132" w:type="pct"/>
            <w:vAlign w:val="center"/>
          </w:tcPr>
          <w:p w14:paraId="34F2F2F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7</w:t>
            </w:r>
            <w:r w:rsidRPr="00DA3766">
              <w:rPr>
                <w:rFonts w:ascii="Times New Roman" w:hAnsi="Times New Roman" w:cs="Times New Roman"/>
                <w:sz w:val="21"/>
                <w:szCs w:val="21"/>
              </w:rPr>
              <w:t>月增资</w:t>
            </w:r>
          </w:p>
        </w:tc>
        <w:tc>
          <w:tcPr>
            <w:tcW w:w="924" w:type="pct"/>
            <w:vAlign w:val="center"/>
          </w:tcPr>
          <w:p w14:paraId="675F8BA0"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2184" w:type="pct"/>
            <w:vAlign w:val="center"/>
          </w:tcPr>
          <w:p w14:paraId="577C652C" w14:textId="3575A500"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r w:rsidR="00A434BD" w:rsidRPr="00DA3766" w14:paraId="2F1E58FC" w14:textId="77777777" w:rsidTr="00635015">
        <w:trPr>
          <w:trHeight w:val="397"/>
          <w:jc w:val="center"/>
        </w:trPr>
        <w:tc>
          <w:tcPr>
            <w:tcW w:w="269" w:type="pct"/>
            <w:vMerge w:val="restart"/>
            <w:tcMar>
              <w:top w:w="0" w:type="dxa"/>
              <w:left w:w="108" w:type="dxa"/>
              <w:bottom w:w="0" w:type="dxa"/>
              <w:right w:w="108" w:type="dxa"/>
            </w:tcMar>
            <w:vAlign w:val="center"/>
          </w:tcPr>
          <w:p w14:paraId="35D18F3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492" w:type="pct"/>
            <w:vMerge w:val="restart"/>
            <w:tcMar>
              <w:top w:w="0" w:type="dxa"/>
              <w:left w:w="108" w:type="dxa"/>
              <w:bottom w:w="0" w:type="dxa"/>
              <w:right w:w="108" w:type="dxa"/>
            </w:tcMar>
            <w:vAlign w:val="center"/>
          </w:tcPr>
          <w:p w14:paraId="4370F3B2"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乐腾腾</w:t>
            </w:r>
          </w:p>
        </w:tc>
        <w:tc>
          <w:tcPr>
            <w:tcW w:w="1132" w:type="pct"/>
            <w:vAlign w:val="center"/>
          </w:tcPr>
          <w:p w14:paraId="5F41DA0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月增资</w:t>
            </w:r>
          </w:p>
        </w:tc>
        <w:tc>
          <w:tcPr>
            <w:tcW w:w="924" w:type="pct"/>
            <w:vAlign w:val="center"/>
          </w:tcPr>
          <w:p w14:paraId="7C55A9EF"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2184" w:type="pct"/>
            <w:vAlign w:val="center"/>
          </w:tcPr>
          <w:p w14:paraId="7D6537E5" w14:textId="7D4638B9"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r w:rsidR="00A434BD" w:rsidRPr="00DA3766" w14:paraId="1E57EAF7" w14:textId="77777777" w:rsidTr="00635015">
        <w:trPr>
          <w:trHeight w:val="397"/>
          <w:jc w:val="center"/>
        </w:trPr>
        <w:tc>
          <w:tcPr>
            <w:tcW w:w="269" w:type="pct"/>
            <w:vMerge/>
            <w:tcMar>
              <w:top w:w="0" w:type="dxa"/>
              <w:left w:w="108" w:type="dxa"/>
              <w:bottom w:w="0" w:type="dxa"/>
              <w:right w:w="108" w:type="dxa"/>
            </w:tcMar>
            <w:vAlign w:val="center"/>
          </w:tcPr>
          <w:p w14:paraId="3A487AB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099876A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390DAD8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月受让乐摇及深圳市前海千意智合三期股权</w:t>
            </w:r>
          </w:p>
        </w:tc>
        <w:tc>
          <w:tcPr>
            <w:tcW w:w="924" w:type="pct"/>
            <w:vAlign w:val="center"/>
          </w:tcPr>
          <w:p w14:paraId="5CC6F659" w14:textId="5B11CBD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115.57</w:t>
            </w:r>
          </w:p>
        </w:tc>
        <w:tc>
          <w:tcPr>
            <w:tcW w:w="2184" w:type="pct"/>
            <w:vAlign w:val="center"/>
          </w:tcPr>
          <w:p w14:paraId="57E59A29" w14:textId="42373306" w:rsidR="00A434BD" w:rsidRPr="00DA3766" w:rsidRDefault="00BA6F2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深圳市前海千意智合三期及乐摇内部合伙人广州科学城创业投资管理有限公司存在退出诉求，考虑退出方投资成本及收益情况，经各方友好协商，由标的公司撮合后由乐腾腾承接股权后部分出售予</w:t>
            </w:r>
            <w:r w:rsidRPr="00DA3766">
              <w:rPr>
                <w:rFonts w:ascii="Times New Roman" w:hAnsi="Times New Roman" w:cs="Times New Roman"/>
                <w:sz w:val="21"/>
                <w:szCs w:val="21"/>
              </w:rPr>
              <w:t>D+</w:t>
            </w:r>
            <w:r w:rsidRPr="00DA3766">
              <w:rPr>
                <w:rFonts w:ascii="Times New Roman" w:hAnsi="Times New Roman" w:cs="Times New Roman"/>
                <w:sz w:val="21"/>
                <w:szCs w:val="21"/>
              </w:rPr>
              <w:t>轮投资者用于筹措资金支付承接对价，剩余部分用于标的公司未来进行股权激励，具有合理性，作价公允。</w:t>
            </w:r>
          </w:p>
        </w:tc>
      </w:tr>
      <w:tr w:rsidR="00A434BD" w:rsidRPr="00DA3766" w14:paraId="72707EB6" w14:textId="77777777" w:rsidTr="00635015">
        <w:trPr>
          <w:trHeight w:val="397"/>
          <w:jc w:val="center"/>
        </w:trPr>
        <w:tc>
          <w:tcPr>
            <w:tcW w:w="269" w:type="pct"/>
            <w:vMerge w:val="restart"/>
            <w:tcMar>
              <w:top w:w="0" w:type="dxa"/>
              <w:left w:w="108" w:type="dxa"/>
              <w:bottom w:w="0" w:type="dxa"/>
              <w:right w:w="108" w:type="dxa"/>
            </w:tcMar>
            <w:vAlign w:val="center"/>
          </w:tcPr>
          <w:p w14:paraId="2DDDD7E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492" w:type="pct"/>
            <w:vMerge w:val="restart"/>
            <w:tcMar>
              <w:top w:w="0" w:type="dxa"/>
              <w:left w:w="108" w:type="dxa"/>
              <w:bottom w:w="0" w:type="dxa"/>
              <w:right w:w="108" w:type="dxa"/>
            </w:tcMar>
            <w:vAlign w:val="center"/>
          </w:tcPr>
          <w:p w14:paraId="32B182E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1132" w:type="pct"/>
            <w:vAlign w:val="center"/>
          </w:tcPr>
          <w:p w14:paraId="5EF7AFA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9</w:t>
            </w:r>
            <w:r w:rsidRPr="00DA3766">
              <w:rPr>
                <w:rFonts w:ascii="Times New Roman" w:hAnsi="Times New Roman" w:cs="Times New Roman"/>
                <w:sz w:val="21"/>
                <w:szCs w:val="21"/>
              </w:rPr>
              <w:t>月受让徐德强股权（后续转让予南通成为常青部分）</w:t>
            </w:r>
          </w:p>
        </w:tc>
        <w:tc>
          <w:tcPr>
            <w:tcW w:w="924" w:type="pct"/>
            <w:vAlign w:val="center"/>
          </w:tcPr>
          <w:p w14:paraId="5F1AB4C5" w14:textId="54C5D4B1"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1,333.62</w:t>
            </w:r>
          </w:p>
        </w:tc>
        <w:tc>
          <w:tcPr>
            <w:tcW w:w="2184" w:type="pct"/>
            <w:vMerge w:val="restart"/>
            <w:vAlign w:val="center"/>
          </w:tcPr>
          <w:p w14:paraId="1E95C342" w14:textId="5AAD43D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由标的公司撮合，先由乐哈哈承接徐德强股权后向南通成为常青出售部分股份，出售部分与后续向南通成为常青转让对价相同，预留用于股权激励部分由徐德强无偿</w:t>
            </w:r>
            <w:r w:rsidR="00053E14" w:rsidRPr="00DA3766">
              <w:rPr>
                <w:rFonts w:ascii="Times New Roman" w:hAnsi="Times New Roman" w:cs="Times New Roman"/>
                <w:sz w:val="21"/>
                <w:szCs w:val="21"/>
              </w:rPr>
              <w:t>赠予</w:t>
            </w:r>
            <w:r w:rsidRPr="00DA3766">
              <w:rPr>
                <w:rFonts w:ascii="Times New Roman" w:hAnsi="Times New Roman" w:cs="Times New Roman"/>
                <w:sz w:val="21"/>
                <w:szCs w:val="21"/>
              </w:rPr>
              <w:t>乐哈哈。</w:t>
            </w:r>
          </w:p>
        </w:tc>
      </w:tr>
      <w:tr w:rsidR="00A434BD" w:rsidRPr="00DA3766" w14:paraId="6007CA75" w14:textId="77777777" w:rsidTr="00635015">
        <w:trPr>
          <w:trHeight w:val="397"/>
          <w:jc w:val="center"/>
        </w:trPr>
        <w:tc>
          <w:tcPr>
            <w:tcW w:w="269" w:type="pct"/>
            <w:vMerge/>
            <w:tcMar>
              <w:top w:w="0" w:type="dxa"/>
              <w:left w:w="108" w:type="dxa"/>
              <w:bottom w:w="0" w:type="dxa"/>
              <w:right w:w="108" w:type="dxa"/>
            </w:tcMar>
            <w:vAlign w:val="center"/>
          </w:tcPr>
          <w:p w14:paraId="60B9EDBF"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57E2AC4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2DF8DFB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9</w:t>
            </w:r>
            <w:r w:rsidRPr="00DA3766">
              <w:rPr>
                <w:rFonts w:ascii="Times New Roman" w:hAnsi="Times New Roman" w:cs="Times New Roman"/>
                <w:sz w:val="21"/>
                <w:szCs w:val="21"/>
              </w:rPr>
              <w:t>月受让徐德强股权（预留用于股权激励部分）</w:t>
            </w:r>
          </w:p>
        </w:tc>
        <w:tc>
          <w:tcPr>
            <w:tcW w:w="924" w:type="pct"/>
            <w:vAlign w:val="center"/>
          </w:tcPr>
          <w:p w14:paraId="3FAC205D"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0.00</w:t>
            </w:r>
          </w:p>
        </w:tc>
        <w:tc>
          <w:tcPr>
            <w:tcW w:w="2184" w:type="pct"/>
            <w:vMerge/>
            <w:vAlign w:val="center"/>
          </w:tcPr>
          <w:p w14:paraId="49626D4C" w14:textId="77777777"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p>
        </w:tc>
      </w:tr>
      <w:tr w:rsidR="00A434BD" w:rsidRPr="00DA3766" w14:paraId="0B9E30A3" w14:textId="77777777" w:rsidTr="00635015">
        <w:trPr>
          <w:trHeight w:val="397"/>
          <w:jc w:val="center"/>
        </w:trPr>
        <w:tc>
          <w:tcPr>
            <w:tcW w:w="269" w:type="pct"/>
            <w:vMerge w:val="restart"/>
            <w:tcMar>
              <w:top w:w="0" w:type="dxa"/>
              <w:left w:w="108" w:type="dxa"/>
              <w:bottom w:w="0" w:type="dxa"/>
              <w:right w:w="108" w:type="dxa"/>
            </w:tcMar>
            <w:vAlign w:val="center"/>
          </w:tcPr>
          <w:p w14:paraId="25EEE025"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492" w:type="pct"/>
            <w:vMerge w:val="restart"/>
            <w:tcMar>
              <w:top w:w="0" w:type="dxa"/>
              <w:left w:w="108" w:type="dxa"/>
              <w:bottom w:w="0" w:type="dxa"/>
              <w:right w:w="108" w:type="dxa"/>
            </w:tcMar>
            <w:vAlign w:val="center"/>
          </w:tcPr>
          <w:p w14:paraId="5819A5A9"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1132" w:type="pct"/>
            <w:vAlign w:val="center"/>
          </w:tcPr>
          <w:p w14:paraId="6AF5236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月增资及受让陈耿豪股权</w:t>
            </w:r>
          </w:p>
        </w:tc>
        <w:tc>
          <w:tcPr>
            <w:tcW w:w="924" w:type="pct"/>
            <w:vAlign w:val="center"/>
          </w:tcPr>
          <w:p w14:paraId="595C0C8B" w14:textId="447D5F1F"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83.64</w:t>
            </w:r>
          </w:p>
        </w:tc>
        <w:tc>
          <w:tcPr>
            <w:tcW w:w="2184" w:type="pct"/>
            <w:vAlign w:val="center"/>
          </w:tcPr>
          <w:p w14:paraId="3B5A2084" w14:textId="4411A1EC" w:rsidR="00A434BD" w:rsidRPr="00635015" w:rsidRDefault="00053E14" w:rsidP="00DA3766">
            <w:pPr>
              <w:adjustRightInd w:val="0"/>
              <w:snapToGrid w:val="0"/>
              <w:spacing w:beforeLines="0" w:before="0" w:afterLines="0" w:after="0" w:line="240" w:lineRule="auto"/>
              <w:ind w:firstLineChars="0" w:firstLine="0"/>
              <w:jc w:val="both"/>
              <w:rPr>
                <w:rFonts w:ascii="Times New Roman" w:hAnsi="Times New Roman" w:cs="Times New Roman"/>
                <w:spacing w:val="-4"/>
                <w:sz w:val="21"/>
                <w:szCs w:val="21"/>
              </w:rPr>
            </w:pPr>
            <w:r w:rsidRPr="00635015">
              <w:rPr>
                <w:rFonts w:ascii="Times New Roman" w:hAnsi="Times New Roman" w:cs="Times New Roman"/>
                <w:spacing w:val="-4"/>
                <w:sz w:val="21"/>
                <w:szCs w:val="21"/>
              </w:rPr>
              <w:t>标的公司</w:t>
            </w:r>
            <w:r w:rsidR="00A434BD" w:rsidRPr="00635015">
              <w:rPr>
                <w:rFonts w:ascii="Times New Roman" w:hAnsi="Times New Roman" w:cs="Times New Roman"/>
                <w:spacing w:val="-4"/>
                <w:sz w:val="21"/>
                <w:szCs w:val="21"/>
              </w:rPr>
              <w:t>设立之初，外部投资人林琪、金俊峰、杜雪骞、蔡启杰、陈盛卓通过乐摇投资标的公司，为标的公司提供启动资金支持，</w:t>
            </w:r>
            <w:r w:rsidRPr="00635015">
              <w:rPr>
                <w:rFonts w:ascii="Times New Roman" w:hAnsi="Times New Roman" w:cs="Times New Roman"/>
                <w:spacing w:val="-4"/>
                <w:sz w:val="21"/>
                <w:szCs w:val="21"/>
              </w:rPr>
              <w:lastRenderedPageBreak/>
              <w:t>投资价格由各方协商确认，作价公允。</w:t>
            </w:r>
          </w:p>
        </w:tc>
      </w:tr>
      <w:tr w:rsidR="00A434BD" w:rsidRPr="00DA3766" w14:paraId="3CA94171" w14:textId="77777777" w:rsidTr="00635015">
        <w:trPr>
          <w:trHeight w:val="397"/>
          <w:jc w:val="center"/>
        </w:trPr>
        <w:tc>
          <w:tcPr>
            <w:tcW w:w="269" w:type="pct"/>
            <w:vMerge/>
            <w:tcMar>
              <w:top w:w="0" w:type="dxa"/>
              <w:left w:w="108" w:type="dxa"/>
              <w:bottom w:w="0" w:type="dxa"/>
              <w:right w:w="108" w:type="dxa"/>
            </w:tcMar>
            <w:vAlign w:val="center"/>
          </w:tcPr>
          <w:p w14:paraId="4EBC980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34215B4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7EB85E2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月受让陈耿豪股权</w:t>
            </w:r>
          </w:p>
        </w:tc>
        <w:tc>
          <w:tcPr>
            <w:tcW w:w="924" w:type="pct"/>
            <w:vAlign w:val="center"/>
          </w:tcPr>
          <w:p w14:paraId="02000AEF" w14:textId="38ED60A6"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w:t>
            </w:r>
            <w:r w:rsidR="00847360" w:rsidRPr="00DA3766">
              <w:rPr>
                <w:rFonts w:ascii="Times New Roman" w:hAnsi="Times New Roman" w:cs="Times New Roman"/>
                <w:sz w:val="21"/>
                <w:szCs w:val="21"/>
              </w:rPr>
              <w:t>0</w:t>
            </w:r>
          </w:p>
        </w:tc>
        <w:tc>
          <w:tcPr>
            <w:tcW w:w="2184" w:type="pct"/>
            <w:vAlign w:val="center"/>
          </w:tcPr>
          <w:p w14:paraId="56B01883" w14:textId="1CC042AB"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陈耿豪以</w:t>
            </w:r>
            <w:r w:rsidRPr="00DA3766">
              <w:rPr>
                <w:rFonts w:ascii="Times New Roman" w:hAnsi="Times New Roman" w:cs="Times New Roman"/>
                <w:sz w:val="21"/>
                <w:szCs w:val="21"/>
              </w:rPr>
              <w:t>1</w:t>
            </w:r>
            <w:r w:rsidRPr="00DA3766">
              <w:rPr>
                <w:rFonts w:ascii="Times New Roman" w:hAnsi="Times New Roman" w:cs="Times New Roman"/>
                <w:sz w:val="21"/>
                <w:szCs w:val="21"/>
              </w:rPr>
              <w:t>元作价向乐摇转让</w:t>
            </w:r>
            <w:r w:rsidRPr="00DA3766">
              <w:rPr>
                <w:rFonts w:ascii="Times New Roman" w:hAnsi="Times New Roman" w:cs="Times New Roman"/>
                <w:sz w:val="21"/>
                <w:szCs w:val="21"/>
              </w:rPr>
              <w:t>1</w:t>
            </w:r>
            <w:r w:rsidRPr="00DA3766">
              <w:rPr>
                <w:rFonts w:ascii="Times New Roman" w:hAnsi="Times New Roman" w:cs="Times New Roman"/>
                <w:sz w:val="21"/>
                <w:szCs w:val="21"/>
              </w:rPr>
              <w:t>万元标的公司注册资本，预留用于未来股权激励</w:t>
            </w:r>
            <w:r w:rsidR="00053E14" w:rsidRPr="00DA3766">
              <w:rPr>
                <w:rFonts w:ascii="Times New Roman" w:hAnsi="Times New Roman" w:cs="Times New Roman"/>
                <w:sz w:val="21"/>
                <w:szCs w:val="21"/>
              </w:rPr>
              <w:t>。</w:t>
            </w:r>
          </w:p>
        </w:tc>
      </w:tr>
      <w:tr w:rsidR="00A434BD" w:rsidRPr="00DA3766" w14:paraId="099FDB15" w14:textId="77777777" w:rsidTr="00635015">
        <w:trPr>
          <w:trHeight w:val="397"/>
          <w:jc w:val="center"/>
        </w:trPr>
        <w:tc>
          <w:tcPr>
            <w:tcW w:w="269" w:type="pct"/>
            <w:vMerge/>
            <w:tcMar>
              <w:top w:w="0" w:type="dxa"/>
              <w:left w:w="108" w:type="dxa"/>
              <w:bottom w:w="0" w:type="dxa"/>
              <w:right w:w="108" w:type="dxa"/>
            </w:tcMar>
            <w:vAlign w:val="center"/>
          </w:tcPr>
          <w:p w14:paraId="4440737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7799F61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6882BF19"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月受让蜜芽宝贝股权</w:t>
            </w:r>
          </w:p>
        </w:tc>
        <w:tc>
          <w:tcPr>
            <w:tcW w:w="924" w:type="pct"/>
            <w:vAlign w:val="center"/>
          </w:tcPr>
          <w:p w14:paraId="7AEA0DE7" w14:textId="18B6F36B"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476.95</w:t>
            </w:r>
          </w:p>
        </w:tc>
        <w:tc>
          <w:tcPr>
            <w:tcW w:w="2184" w:type="pct"/>
            <w:vAlign w:val="center"/>
          </w:tcPr>
          <w:p w14:paraId="00243F5F" w14:textId="18458E9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蜜芽宝贝存在退出诉求，退出作价对应标的公司估值为</w:t>
            </w:r>
            <w:r w:rsidRPr="00DA3766">
              <w:rPr>
                <w:rFonts w:ascii="Times New Roman" w:hAnsi="Times New Roman" w:cs="Times New Roman"/>
                <w:sz w:val="21"/>
                <w:szCs w:val="21"/>
              </w:rPr>
              <w:t>8,000</w:t>
            </w:r>
            <w:r w:rsidRPr="00DA3766">
              <w:rPr>
                <w:rFonts w:ascii="Times New Roman" w:hAnsi="Times New Roman" w:cs="Times New Roman"/>
                <w:sz w:val="21"/>
                <w:szCs w:val="21"/>
              </w:rPr>
              <w:t>万元，略高于</w:t>
            </w: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2</w:t>
            </w:r>
            <w:r w:rsidRPr="00DA3766">
              <w:rPr>
                <w:rFonts w:ascii="Times New Roman" w:hAnsi="Times New Roman" w:cs="Times New Roman"/>
                <w:sz w:val="21"/>
                <w:szCs w:val="21"/>
              </w:rPr>
              <w:t>月标的公司</w:t>
            </w:r>
            <w:r w:rsidRPr="00DA3766">
              <w:rPr>
                <w:rFonts w:ascii="Times New Roman" w:hAnsi="Times New Roman" w:cs="Times New Roman"/>
                <w:sz w:val="21"/>
                <w:szCs w:val="21"/>
              </w:rPr>
              <w:t>A</w:t>
            </w:r>
            <w:r w:rsidRPr="00DA3766">
              <w:rPr>
                <w:rFonts w:ascii="Times New Roman" w:hAnsi="Times New Roman" w:cs="Times New Roman"/>
                <w:sz w:val="21"/>
                <w:szCs w:val="21"/>
              </w:rPr>
              <w:t>轮融资估值</w:t>
            </w:r>
            <w:r w:rsidRPr="00DA3766">
              <w:rPr>
                <w:rFonts w:ascii="Times New Roman" w:hAnsi="Times New Roman" w:cs="Times New Roman"/>
                <w:sz w:val="21"/>
                <w:szCs w:val="21"/>
              </w:rPr>
              <w:t>7,000</w:t>
            </w:r>
            <w:r w:rsidRPr="00DA3766">
              <w:rPr>
                <w:rFonts w:ascii="Times New Roman" w:hAnsi="Times New Roman" w:cs="Times New Roman"/>
                <w:sz w:val="21"/>
                <w:szCs w:val="21"/>
              </w:rPr>
              <w:t>万元，作价公允</w:t>
            </w:r>
            <w:r w:rsidR="00053E14" w:rsidRPr="00DA3766">
              <w:rPr>
                <w:rFonts w:ascii="Times New Roman" w:hAnsi="Times New Roman" w:cs="Times New Roman"/>
                <w:sz w:val="21"/>
                <w:szCs w:val="21"/>
              </w:rPr>
              <w:t>。</w:t>
            </w:r>
          </w:p>
        </w:tc>
      </w:tr>
      <w:tr w:rsidR="00A434BD" w:rsidRPr="00DA3766" w14:paraId="449F117C" w14:textId="77777777" w:rsidTr="00635015">
        <w:trPr>
          <w:trHeight w:val="397"/>
          <w:jc w:val="center"/>
        </w:trPr>
        <w:tc>
          <w:tcPr>
            <w:tcW w:w="269" w:type="pct"/>
            <w:vMerge/>
            <w:tcMar>
              <w:top w:w="0" w:type="dxa"/>
              <w:left w:w="108" w:type="dxa"/>
              <w:bottom w:w="0" w:type="dxa"/>
              <w:right w:w="108" w:type="dxa"/>
            </w:tcMar>
            <w:vAlign w:val="center"/>
          </w:tcPr>
          <w:p w14:paraId="54A4779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92" w:type="pct"/>
            <w:vMerge/>
            <w:tcMar>
              <w:top w:w="0" w:type="dxa"/>
              <w:left w:w="108" w:type="dxa"/>
              <w:bottom w:w="0" w:type="dxa"/>
              <w:right w:w="108" w:type="dxa"/>
            </w:tcMar>
            <w:vAlign w:val="center"/>
          </w:tcPr>
          <w:p w14:paraId="448DB91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132" w:type="pct"/>
            <w:vAlign w:val="center"/>
          </w:tcPr>
          <w:p w14:paraId="0C02639A"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7</w:t>
            </w:r>
            <w:r w:rsidRPr="00DA3766">
              <w:rPr>
                <w:rFonts w:ascii="Times New Roman" w:hAnsi="Times New Roman" w:cs="Times New Roman"/>
                <w:sz w:val="21"/>
                <w:szCs w:val="21"/>
              </w:rPr>
              <w:t>月受让宁波微赢股权</w:t>
            </w:r>
          </w:p>
        </w:tc>
        <w:tc>
          <w:tcPr>
            <w:tcW w:w="924" w:type="pct"/>
            <w:vAlign w:val="center"/>
          </w:tcPr>
          <w:p w14:paraId="52B3BFEB" w14:textId="3DA50A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775.01</w:t>
            </w:r>
          </w:p>
        </w:tc>
        <w:tc>
          <w:tcPr>
            <w:tcW w:w="2184" w:type="pct"/>
            <w:vAlign w:val="center"/>
          </w:tcPr>
          <w:p w14:paraId="54D68452" w14:textId="241AF76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宁波微</w:t>
            </w:r>
            <w:r w:rsidR="00053E14" w:rsidRPr="00DA3766">
              <w:rPr>
                <w:rFonts w:ascii="Times New Roman" w:hAnsi="Times New Roman" w:cs="Times New Roman"/>
                <w:sz w:val="21"/>
                <w:szCs w:val="21"/>
              </w:rPr>
              <w:t>赢</w:t>
            </w:r>
            <w:r w:rsidRPr="00DA3766">
              <w:rPr>
                <w:rFonts w:ascii="Times New Roman" w:hAnsi="Times New Roman" w:cs="Times New Roman"/>
                <w:sz w:val="21"/>
                <w:szCs w:val="21"/>
              </w:rPr>
              <w:t>存在退出诉求，经标的公司撮合</w:t>
            </w:r>
            <w:r w:rsidR="00053E14" w:rsidRPr="00DA3766">
              <w:rPr>
                <w:rFonts w:ascii="Times New Roman" w:hAnsi="Times New Roman" w:cs="Times New Roman"/>
                <w:sz w:val="21"/>
                <w:szCs w:val="21"/>
              </w:rPr>
              <w:t>，</w:t>
            </w:r>
            <w:r w:rsidRPr="00DA3766">
              <w:rPr>
                <w:rFonts w:ascii="Times New Roman" w:hAnsi="Times New Roman" w:cs="Times New Roman"/>
                <w:sz w:val="21"/>
                <w:szCs w:val="21"/>
              </w:rPr>
              <w:t>由乐摇受让宁波微瀛股权后出售予南通成为常青，受让对价对应标的公司估值为</w:t>
            </w:r>
            <w:r w:rsidRPr="00DA3766">
              <w:rPr>
                <w:rFonts w:ascii="Times New Roman" w:hAnsi="Times New Roman" w:cs="Times New Roman"/>
                <w:sz w:val="21"/>
                <w:szCs w:val="21"/>
              </w:rPr>
              <w:t>1.30</w:t>
            </w:r>
            <w:r w:rsidRPr="00DA3766">
              <w:rPr>
                <w:rFonts w:ascii="Times New Roman" w:hAnsi="Times New Roman" w:cs="Times New Roman"/>
                <w:sz w:val="21"/>
                <w:szCs w:val="21"/>
              </w:rPr>
              <w:t>亿元，</w:t>
            </w:r>
            <w:r w:rsidR="00053E14" w:rsidRPr="00DA3766">
              <w:rPr>
                <w:rFonts w:ascii="Times New Roman" w:hAnsi="Times New Roman" w:cs="Times New Roman"/>
                <w:sz w:val="21"/>
                <w:szCs w:val="21"/>
              </w:rPr>
              <w:t>系参考</w:t>
            </w:r>
            <w:r w:rsidRPr="00DA3766">
              <w:rPr>
                <w:rFonts w:ascii="Times New Roman" w:hAnsi="Times New Roman" w:cs="Times New Roman"/>
                <w:sz w:val="21"/>
                <w:szCs w:val="21"/>
              </w:rPr>
              <w:t>后续出售予南通成为常青的转让对价对应的标的公司估值</w:t>
            </w:r>
            <w:r w:rsidRPr="00DA3766">
              <w:rPr>
                <w:rFonts w:ascii="Times New Roman" w:hAnsi="Times New Roman" w:cs="Times New Roman"/>
                <w:sz w:val="21"/>
                <w:szCs w:val="21"/>
              </w:rPr>
              <w:t>1.25</w:t>
            </w:r>
            <w:r w:rsidRPr="00DA3766">
              <w:rPr>
                <w:rFonts w:ascii="Times New Roman" w:hAnsi="Times New Roman" w:cs="Times New Roman"/>
                <w:sz w:val="21"/>
                <w:szCs w:val="21"/>
              </w:rPr>
              <w:t>亿元</w:t>
            </w:r>
            <w:r w:rsidR="00053E14" w:rsidRPr="00DA3766">
              <w:rPr>
                <w:rFonts w:ascii="Times New Roman" w:hAnsi="Times New Roman" w:cs="Times New Roman"/>
                <w:sz w:val="21"/>
                <w:szCs w:val="21"/>
              </w:rPr>
              <w:t>后由各方协商确定</w:t>
            </w:r>
            <w:r w:rsidRPr="00DA3766">
              <w:rPr>
                <w:rFonts w:ascii="Times New Roman" w:hAnsi="Times New Roman" w:cs="Times New Roman"/>
                <w:sz w:val="21"/>
                <w:szCs w:val="21"/>
              </w:rPr>
              <w:t>，作价公允</w:t>
            </w:r>
            <w:r w:rsidR="00053E14" w:rsidRPr="00DA3766">
              <w:rPr>
                <w:rFonts w:ascii="Times New Roman" w:hAnsi="Times New Roman" w:cs="Times New Roman"/>
                <w:sz w:val="21"/>
                <w:szCs w:val="21"/>
              </w:rPr>
              <w:t>。</w:t>
            </w:r>
          </w:p>
        </w:tc>
      </w:tr>
      <w:tr w:rsidR="00A434BD" w:rsidRPr="00DA3766" w14:paraId="48917A2C" w14:textId="77777777" w:rsidTr="00635015">
        <w:trPr>
          <w:trHeight w:val="397"/>
          <w:jc w:val="center"/>
        </w:trPr>
        <w:tc>
          <w:tcPr>
            <w:tcW w:w="269" w:type="pct"/>
            <w:tcMar>
              <w:top w:w="0" w:type="dxa"/>
              <w:left w:w="108" w:type="dxa"/>
              <w:bottom w:w="0" w:type="dxa"/>
              <w:right w:w="108" w:type="dxa"/>
            </w:tcMar>
            <w:vAlign w:val="center"/>
          </w:tcPr>
          <w:p w14:paraId="256E97C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492" w:type="pct"/>
            <w:tcMar>
              <w:top w:w="0" w:type="dxa"/>
              <w:left w:w="108" w:type="dxa"/>
              <w:bottom w:w="0" w:type="dxa"/>
              <w:right w:w="108" w:type="dxa"/>
            </w:tcMar>
            <w:vAlign w:val="center"/>
          </w:tcPr>
          <w:p w14:paraId="1EC10C4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1132" w:type="pct"/>
            <w:vAlign w:val="center"/>
          </w:tcPr>
          <w:p w14:paraId="6EFFC91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1</w:t>
            </w:r>
            <w:r w:rsidRPr="00DA3766">
              <w:rPr>
                <w:rFonts w:ascii="Times New Roman" w:hAnsi="Times New Roman" w:cs="Times New Roman"/>
                <w:sz w:val="21"/>
                <w:szCs w:val="21"/>
              </w:rPr>
              <w:t>月增资</w:t>
            </w:r>
          </w:p>
        </w:tc>
        <w:tc>
          <w:tcPr>
            <w:tcW w:w="924" w:type="pct"/>
            <w:vAlign w:val="center"/>
          </w:tcPr>
          <w:p w14:paraId="65D363E1" w14:textId="7F8F52B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2184" w:type="pct"/>
            <w:vAlign w:val="center"/>
          </w:tcPr>
          <w:p w14:paraId="79ABA2CD" w14:textId="12BA7393"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bl>
    <w:p w14:paraId="3B644F95" w14:textId="5B9ABF99" w:rsidR="006D043E" w:rsidRPr="00DA3766" w:rsidRDefault="00BE78A2" w:rsidP="00BE78A2">
      <w:pPr>
        <w:pStyle w:val="005"/>
        <w:spacing w:before="120" w:after="120"/>
        <w:ind w:firstLine="480"/>
      </w:pPr>
      <w:r w:rsidRPr="00DA3766">
        <w:t>由上表可知，</w:t>
      </w:r>
      <w:r w:rsidR="006D043E" w:rsidRPr="00DA3766">
        <w:t>乐陶陶设立背景具有其特殊性，设立初衷既为承接徐德强持有的标的公司股权以满足徐德强对标的公司的持股方式由直接持股转变为间接持股的需求</w:t>
      </w:r>
      <w:r w:rsidR="006C412B" w:rsidRPr="00DA3766">
        <w:t>，又</w:t>
      </w:r>
      <w:r w:rsidR="006D043E" w:rsidRPr="00DA3766">
        <w:t>同时作为标的公司的员工持股平台</w:t>
      </w:r>
      <w:r w:rsidR="006C412B" w:rsidRPr="00DA3766">
        <w:t>以便后续实施股权激励</w:t>
      </w:r>
      <w:r w:rsidR="006D043E" w:rsidRPr="00DA3766">
        <w:t>。其中用于徐德强持股方式变更的部分股权作价依据徐德强</w:t>
      </w:r>
      <w:r w:rsidR="006C412B" w:rsidRPr="00DA3766">
        <w:t>初始</w:t>
      </w:r>
      <w:r w:rsidR="006D043E" w:rsidRPr="00DA3766">
        <w:t>入股成本确定，预留用于股权激励部分的股权作价</w:t>
      </w:r>
      <w:r w:rsidR="006C412B" w:rsidRPr="00DA3766">
        <w:t>则</w:t>
      </w:r>
      <w:r w:rsidR="006D043E" w:rsidRPr="00DA3766">
        <w:t>为</w:t>
      </w:r>
      <w:r w:rsidR="006C412B" w:rsidRPr="00DA3766">
        <w:t>参考</w:t>
      </w:r>
      <w:r w:rsidR="006D043E" w:rsidRPr="00DA3766">
        <w:t>最近一期标的公司净资产价格由双方协商确定。其余持股平台入股标的公司除以增资及受让形式取得标的公司股权以预留股份用于标的公司未来股权激励外，部分持股平台如乐腾腾、乐哈哈及乐摇还发挥撮合作用，承接拟退出投资者股权后向拟入股标的公司的外部投资者</w:t>
      </w:r>
      <w:r w:rsidR="006C412B" w:rsidRPr="00DA3766">
        <w:t>进行</w:t>
      </w:r>
      <w:r w:rsidR="006D043E" w:rsidRPr="00DA3766">
        <w:t>转让，在</w:t>
      </w:r>
      <w:r w:rsidR="006C412B" w:rsidRPr="00DA3766">
        <w:t>引入外部投资者为标的公司发展提供资金的同时</w:t>
      </w:r>
      <w:r w:rsidR="006D043E" w:rsidRPr="00DA3766">
        <w:t>有效降低股权稀释影响。</w:t>
      </w:r>
    </w:p>
    <w:p w14:paraId="108503D5" w14:textId="2D08028B" w:rsidR="006D043E" w:rsidRPr="00DA3766" w:rsidRDefault="006D043E" w:rsidP="00BE78A2">
      <w:pPr>
        <w:pStyle w:val="005"/>
        <w:spacing w:before="120" w:after="120"/>
        <w:ind w:firstLine="480"/>
      </w:pPr>
      <w:r w:rsidRPr="00DA3766">
        <w:t>综上，乐陶陶及标的公司其他员工持股平台入股时间均较早，</w:t>
      </w:r>
      <w:r w:rsidR="00903080" w:rsidRPr="00DA3766">
        <w:t>各持股平台</w:t>
      </w:r>
      <w:r w:rsidRPr="00DA3766">
        <w:t>入股价格</w:t>
      </w:r>
      <w:r w:rsidR="00903080" w:rsidRPr="00DA3766">
        <w:t>存在一定差异</w:t>
      </w:r>
      <w:r w:rsidRPr="00DA3766">
        <w:t>，主要系各持股平台的设立背景</w:t>
      </w:r>
      <w:r w:rsidR="00903080" w:rsidRPr="00DA3766">
        <w:t>不同，是标的公司根据自身经营发展及外部投资人入股或退出诉求作出的股权设计及合理规划，具有合理性。</w:t>
      </w:r>
    </w:p>
    <w:p w14:paraId="102B05C3" w14:textId="2BE1E089" w:rsidR="00BE78A2" w:rsidRPr="00DA3766" w:rsidRDefault="00BE78A2" w:rsidP="00BE78A2">
      <w:pPr>
        <w:pStyle w:val="004"/>
        <w:spacing w:before="120" w:after="120"/>
        <w:ind w:firstLine="482"/>
      </w:pPr>
      <w:r w:rsidRPr="00DA3766">
        <w:t>3</w:t>
      </w:r>
      <w:r w:rsidRPr="00DA3766">
        <w:t>、乐陶陶在未按</w:t>
      </w:r>
      <w:r w:rsidRPr="00DA3766">
        <w:t>16.95</w:t>
      </w:r>
      <w:r w:rsidRPr="00DA3766">
        <w:t>亿元估值确定交易作价的同时做出业绩承诺的原因及合理性</w:t>
      </w:r>
    </w:p>
    <w:p w14:paraId="7CEFE230" w14:textId="6FBB1019" w:rsidR="003F02D3" w:rsidRPr="00DA3766" w:rsidRDefault="006E4CA5" w:rsidP="00635015">
      <w:pPr>
        <w:pStyle w:val="005"/>
        <w:spacing w:before="120" w:after="120"/>
        <w:ind w:firstLine="480"/>
      </w:pPr>
      <w:r w:rsidRPr="00DA3766">
        <w:t>乐陶陶系标的公司的特殊持股平台，</w:t>
      </w:r>
      <w:r w:rsidR="00603DCF" w:rsidRPr="00DA3766">
        <w:t>设立初衷既为满足徐德强对标的公司的持股方式</w:t>
      </w:r>
      <w:bookmarkStart w:id="117" w:name="_Hlk219372392"/>
      <w:r w:rsidR="00603DCF" w:rsidRPr="00DA3766">
        <w:t>由</w:t>
      </w:r>
      <w:r w:rsidR="006E6A4A" w:rsidRPr="00DA3766">
        <w:t>直接持股转变为间接</w:t>
      </w:r>
      <w:r w:rsidR="00603DCF" w:rsidRPr="00DA3766">
        <w:t>持股的需求</w:t>
      </w:r>
      <w:bookmarkEnd w:id="117"/>
      <w:r w:rsidR="00603DCF" w:rsidRPr="00DA3766">
        <w:t>，亦同时作为标的公司的员工持股平台。因此，乐陶陶</w:t>
      </w:r>
      <w:bookmarkStart w:id="118" w:name="OLE_LINK31"/>
      <w:r w:rsidR="00603DCF" w:rsidRPr="00DA3766">
        <w:t>合伙人中包括</w:t>
      </w:r>
      <w:r w:rsidR="002372DE" w:rsidRPr="00DA3766">
        <w:t>两类主体，一类为徐德强及其后受让徐德强份额进入的外部投资者（黄俊波及宁波圣哲管理咨询合伙企业（有限合伙）），一类</w:t>
      </w:r>
      <w:r w:rsidR="002372DE" w:rsidRPr="00DA3766">
        <w:lastRenderedPageBreak/>
        <w:t>为陈耿豪及其后参与股权激励计划获授激励股权的被激励对象（包括杨凯然、陈岳政）</w:t>
      </w:r>
      <w:r w:rsidR="00903080" w:rsidRPr="00DA3766">
        <w:t>。截至本回复出具之日，乐陶陶中标的公司仍在职的员工（杨凯然及陈耿豪）持有的财产份额占比为</w:t>
      </w:r>
      <w:r w:rsidR="00903080" w:rsidRPr="00DA3766">
        <w:t>4.41%</w:t>
      </w:r>
      <w:r w:rsidRPr="00DA3766">
        <w:t>，财产份额以外部投资人持有为主</w:t>
      </w:r>
      <w:bookmarkEnd w:id="118"/>
      <w:r w:rsidR="00D637AE" w:rsidRPr="00DA3766">
        <w:t>。</w:t>
      </w:r>
      <w:r w:rsidR="003F02D3" w:rsidRPr="00DA3766">
        <w:t>本次交易的差异化定价安排主要基于</w:t>
      </w:r>
      <w:r w:rsidR="00A434BD" w:rsidRPr="00DA3766">
        <w:t>交易对方背景及其投资成本确定，乐陶陶上层合伙人主要为早期入股</w:t>
      </w:r>
      <w:r w:rsidR="006C412B" w:rsidRPr="00DA3766">
        <w:t>标的公司</w:t>
      </w:r>
      <w:r w:rsidR="00A434BD" w:rsidRPr="00DA3766">
        <w:t>的外部投资人，故将乐陶陶视同外部投资者以</w:t>
      </w:r>
      <w:r w:rsidR="00A434BD" w:rsidRPr="00DA3766">
        <w:t>8</w:t>
      </w:r>
      <w:r w:rsidR="00A434BD" w:rsidRPr="00DA3766">
        <w:t>亿元估值进行定价</w:t>
      </w:r>
      <w:r w:rsidR="006C412B" w:rsidRPr="00DA3766">
        <w:t>，具有合理性</w:t>
      </w:r>
      <w:r w:rsidR="00A434BD" w:rsidRPr="00DA3766">
        <w:t>。</w:t>
      </w:r>
    </w:p>
    <w:p w14:paraId="69BF5E18" w14:textId="2F9815BC" w:rsidR="00A434BD" w:rsidRPr="00DA3766" w:rsidRDefault="00D637AE" w:rsidP="003F02D3">
      <w:pPr>
        <w:pStyle w:val="005"/>
        <w:spacing w:before="120" w:after="120"/>
        <w:ind w:firstLine="480"/>
      </w:pPr>
      <w:r w:rsidRPr="00DA3766">
        <w:t>乐陶陶合伙人中陈耿豪</w:t>
      </w:r>
      <w:r w:rsidR="009B0DD9" w:rsidRPr="00DA3766">
        <w:t>为标的公司实际控制人、董事长及总经理</w:t>
      </w:r>
      <w:r w:rsidRPr="00DA3766">
        <w:t>，</w:t>
      </w:r>
      <w:r w:rsidR="009B0DD9" w:rsidRPr="00DA3766">
        <w:t>杨凯然为标的公司董事、副总经理、技术负责人，均系标的公司</w:t>
      </w:r>
      <w:r w:rsidR="003B3342" w:rsidRPr="00DA3766">
        <w:t>现任</w:t>
      </w:r>
      <w:r w:rsidR="009B0DD9" w:rsidRPr="00DA3766">
        <w:t>核心管理人员。</w:t>
      </w:r>
      <w:r w:rsidR="002D4054" w:rsidRPr="00DA3766">
        <w:t>为</w:t>
      </w:r>
      <w:r w:rsidR="009B0DD9" w:rsidRPr="00DA3766">
        <w:t>更好地督促陈耿豪、杨凯然在本次交易完成后继续勤勉、尽责地管理星云开物，维护上市公司及其中小股东的合伙权益，</w:t>
      </w:r>
      <w:r w:rsidR="003B3342" w:rsidRPr="00DA3766">
        <w:t>交易各方在</w:t>
      </w:r>
      <w:r w:rsidR="009B0DD9" w:rsidRPr="00DA3766">
        <w:t>综合考虑上述因素后</w:t>
      </w:r>
      <w:r w:rsidR="002D4054" w:rsidRPr="00DA3766">
        <w:t>友好</w:t>
      </w:r>
      <w:r w:rsidRPr="00DA3766">
        <w:t>协商，决定在</w:t>
      </w:r>
      <w:r w:rsidR="00CB6C2C" w:rsidRPr="00DA3766">
        <w:t>本次交易差异化定价安排</w:t>
      </w:r>
      <w:r w:rsidRPr="00DA3766">
        <w:t>中</w:t>
      </w:r>
      <w:r w:rsidR="00CB6C2C" w:rsidRPr="00DA3766">
        <w:t>将乐陶陶视同外部投资者进行</w:t>
      </w:r>
      <w:r w:rsidRPr="00DA3766">
        <w:t>合理</w:t>
      </w:r>
      <w:r w:rsidR="00CB6C2C" w:rsidRPr="00DA3766">
        <w:t>定价</w:t>
      </w:r>
      <w:r w:rsidR="00A434BD" w:rsidRPr="00DA3766">
        <w:t>的同时</w:t>
      </w:r>
      <w:r w:rsidR="003B3342" w:rsidRPr="00DA3766">
        <w:t>由</w:t>
      </w:r>
      <w:r w:rsidRPr="00DA3766">
        <w:t>乐陶陶</w:t>
      </w:r>
      <w:r w:rsidR="003B3342" w:rsidRPr="00DA3766">
        <w:t>作出</w:t>
      </w:r>
      <w:r w:rsidR="009B0DD9" w:rsidRPr="00DA3766">
        <w:t>业绩承诺</w:t>
      </w:r>
      <w:r w:rsidR="00903080" w:rsidRPr="00DA3766">
        <w:t>安排</w:t>
      </w:r>
      <w:r w:rsidRPr="00DA3766">
        <w:t>。</w:t>
      </w:r>
    </w:p>
    <w:p w14:paraId="7DA3EE18" w14:textId="5D2EE4C5" w:rsidR="00D637AE" w:rsidRPr="00DA3766" w:rsidRDefault="00D637AE" w:rsidP="003F02D3">
      <w:pPr>
        <w:pStyle w:val="005"/>
        <w:spacing w:before="120" w:after="120"/>
        <w:ind w:firstLine="480"/>
      </w:pPr>
      <w:r w:rsidRPr="00DA3766">
        <w:t>综上，</w:t>
      </w:r>
      <w:r w:rsidR="003B3342" w:rsidRPr="00DA3766">
        <w:t>乐陶陶未按</w:t>
      </w:r>
      <w:r w:rsidR="003B3342" w:rsidRPr="00DA3766">
        <w:t>16.95</w:t>
      </w:r>
      <w:r w:rsidR="003B3342" w:rsidRPr="00DA3766">
        <w:t>亿元估值确定交易作价且同步作出业绩承诺的安排，具备商业合理性</w:t>
      </w:r>
      <w:r w:rsidRPr="00DA3766">
        <w:t>。</w:t>
      </w:r>
    </w:p>
    <w:p w14:paraId="67468B82" w14:textId="7F6D3733" w:rsidR="00691749" w:rsidRPr="00DA3766" w:rsidRDefault="00691749" w:rsidP="00BE78A2">
      <w:pPr>
        <w:pStyle w:val="005"/>
        <w:spacing w:before="120" w:after="120"/>
        <w:ind w:firstLine="480"/>
      </w:pPr>
      <w:r w:rsidRPr="00DA3766">
        <w:t>根据《泰安乐陶陶投资服务合伙企业（有限合伙）合伙协议》，</w:t>
      </w:r>
      <w:r w:rsidR="00FD3797" w:rsidRPr="00DA3766">
        <w:t>关于执行事务合伙人权限的</w:t>
      </w:r>
      <w:r w:rsidRPr="00DA3766">
        <w:t>相关规定如下：</w:t>
      </w:r>
    </w:p>
    <w:tbl>
      <w:tblPr>
        <w:tblStyle w:val="afc"/>
        <w:tblW w:w="8764" w:type="dxa"/>
        <w:jc w:val="center"/>
        <w:tblBorders>
          <w:top w:val="thinThickSmallGap" w:sz="24" w:space="0" w:color="auto"/>
          <w:bottom w:val="thickThinSmallGap" w:sz="24" w:space="0" w:color="auto"/>
        </w:tblBorders>
        <w:tblLook w:val="04A0" w:firstRow="1" w:lastRow="0" w:firstColumn="1" w:lastColumn="0" w:noHBand="0" w:noVBand="1"/>
      </w:tblPr>
      <w:tblGrid>
        <w:gridCol w:w="1195"/>
        <w:gridCol w:w="7569"/>
      </w:tblGrid>
      <w:tr w:rsidR="00691749" w:rsidRPr="00DA3766" w14:paraId="37071E07" w14:textId="77777777" w:rsidTr="00635015">
        <w:trPr>
          <w:trHeight w:val="397"/>
          <w:tblHeader/>
          <w:jc w:val="center"/>
        </w:trPr>
        <w:tc>
          <w:tcPr>
            <w:tcW w:w="1195" w:type="dxa"/>
            <w:tcMar>
              <w:top w:w="0" w:type="dxa"/>
              <w:bottom w:w="0" w:type="dxa"/>
            </w:tcMar>
            <w:vAlign w:val="center"/>
          </w:tcPr>
          <w:p w14:paraId="5BBA5EA1" w14:textId="4DA36A2F" w:rsidR="00691749" w:rsidRPr="00DA3766" w:rsidRDefault="00691749"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条款</w:t>
            </w:r>
          </w:p>
        </w:tc>
        <w:tc>
          <w:tcPr>
            <w:tcW w:w="7569" w:type="dxa"/>
            <w:tcMar>
              <w:top w:w="0" w:type="dxa"/>
              <w:bottom w:w="0" w:type="dxa"/>
            </w:tcMar>
            <w:vAlign w:val="center"/>
          </w:tcPr>
          <w:p w14:paraId="17CD38C2" w14:textId="20F06057" w:rsidR="00691749" w:rsidRPr="00DA3766" w:rsidRDefault="00691749"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内容</w:t>
            </w:r>
          </w:p>
        </w:tc>
      </w:tr>
      <w:tr w:rsidR="00691749" w:rsidRPr="00DA3766" w14:paraId="1C1FC192" w14:textId="77777777" w:rsidTr="00635015">
        <w:trPr>
          <w:trHeight w:val="397"/>
          <w:jc w:val="center"/>
        </w:trPr>
        <w:tc>
          <w:tcPr>
            <w:tcW w:w="1195" w:type="dxa"/>
            <w:tcMar>
              <w:top w:w="0" w:type="dxa"/>
              <w:bottom w:w="0" w:type="dxa"/>
            </w:tcMar>
            <w:vAlign w:val="center"/>
          </w:tcPr>
          <w:p w14:paraId="2717CB2F" w14:textId="0499A5DF" w:rsidR="00691749" w:rsidRPr="00DA3766" w:rsidRDefault="00691749"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第十三条</w:t>
            </w:r>
          </w:p>
        </w:tc>
        <w:tc>
          <w:tcPr>
            <w:tcW w:w="7569" w:type="dxa"/>
            <w:tcMar>
              <w:top w:w="0" w:type="dxa"/>
              <w:bottom w:w="0" w:type="dxa"/>
            </w:tcMar>
            <w:vAlign w:val="center"/>
          </w:tcPr>
          <w:p w14:paraId="56DA9F57" w14:textId="71DDF3D0"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有限合伙企业由普通合伙人执行合伙事务。经全体合伙人决定，委托杨凯然执行合伙事务；其他合伙人不再执行合伙事务。执行合伙事务的合伙人对外代表企业。</w:t>
            </w:r>
          </w:p>
        </w:tc>
      </w:tr>
      <w:tr w:rsidR="00691749" w:rsidRPr="00DA3766" w14:paraId="3D82ADAC" w14:textId="77777777" w:rsidTr="00635015">
        <w:trPr>
          <w:trHeight w:val="397"/>
          <w:jc w:val="center"/>
        </w:trPr>
        <w:tc>
          <w:tcPr>
            <w:tcW w:w="1195" w:type="dxa"/>
            <w:tcMar>
              <w:top w:w="0" w:type="dxa"/>
              <w:bottom w:w="0" w:type="dxa"/>
            </w:tcMar>
            <w:vAlign w:val="center"/>
          </w:tcPr>
          <w:p w14:paraId="6E3314D3" w14:textId="5A9D885D" w:rsidR="00691749" w:rsidRPr="00DA3766" w:rsidRDefault="00691749"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第十六条</w:t>
            </w:r>
          </w:p>
        </w:tc>
        <w:tc>
          <w:tcPr>
            <w:tcW w:w="7569" w:type="dxa"/>
            <w:tcMar>
              <w:top w:w="0" w:type="dxa"/>
              <w:bottom w:w="0" w:type="dxa"/>
            </w:tcMar>
            <w:vAlign w:val="center"/>
          </w:tcPr>
          <w:p w14:paraId="26B2CADF" w14:textId="1865BEAD"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执行事务合伙人拥有《合伙企业法》等法律法规及本协议规定的对于有限合伙企业事务的独占及排他的执行合伙事务的权利，不受有限合伙人的任何干涉，包括但不限于：</w:t>
            </w:r>
          </w:p>
          <w:p w14:paraId="341D8848" w14:textId="2FCB3A1A"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（一）决策、执行、管理有限合伙企业的投资及其他业务</w:t>
            </w:r>
            <w:r w:rsidRPr="00DA3766">
              <w:rPr>
                <w:sz w:val="21"/>
                <w:szCs w:val="21"/>
              </w:rPr>
              <w:t>;</w:t>
            </w:r>
          </w:p>
          <w:p w14:paraId="7DAFF230" w14:textId="30F46EC6"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（二）对有限合伙企业的财产进行投资、管理、运用、处置和回收；</w:t>
            </w:r>
          </w:p>
          <w:p w14:paraId="6C01FFA1" w14:textId="3C3A421E"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（三）在其自主判断为必须、必要、有利和方便的情况下，为有限合伙企业缔结合同及达成其他约定、承诺；</w:t>
            </w:r>
          </w:p>
          <w:p w14:paraId="23B8BCA6" w14:textId="008D46BB"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（四）代表有限合伙企业对外签署文件；</w:t>
            </w:r>
          </w:p>
          <w:p w14:paraId="665D0724" w14:textId="77777777"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（五）开立、维持和撤销有限合伙企业的银行账户，开具支票和其他付款凭证；</w:t>
            </w:r>
          </w:p>
          <w:p w14:paraId="30024BEE" w14:textId="19A15940"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（六）保管有限合伙企业的会计账簿和其他相关财务资料；</w:t>
            </w:r>
          </w:p>
          <w:p w14:paraId="6327BFC7" w14:textId="31E79C4C"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（七）处理有限合伙企业的涉税事项；</w:t>
            </w:r>
          </w:p>
          <w:p w14:paraId="06F518BA" w14:textId="4BCEBA13"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（八）为有限合伙企业的利益决定提起诉讼或应诉，进行仲裁</w:t>
            </w:r>
            <w:r w:rsidRPr="00DA3766">
              <w:rPr>
                <w:sz w:val="21"/>
                <w:szCs w:val="21"/>
              </w:rPr>
              <w:t>;</w:t>
            </w:r>
            <w:r w:rsidRPr="00DA3766">
              <w:rPr>
                <w:sz w:val="21"/>
                <w:szCs w:val="21"/>
              </w:rPr>
              <w:t>与争议对方进行协商、和解等；</w:t>
            </w:r>
          </w:p>
          <w:p w14:paraId="7E3DFDA9" w14:textId="3CD0048C"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（九）聘用专业人士、中介机构及顾问为有限合伙企业提供服务；</w:t>
            </w:r>
          </w:p>
          <w:p w14:paraId="03C24C79" w14:textId="56EC5964"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（十）采取为实现合伙宗旨、维护或取有限合伙企业合法权益所必须的其他之初行动；</w:t>
            </w:r>
          </w:p>
          <w:p w14:paraId="38B2C6D5" w14:textId="1F53C504"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（十一）法律法规及本协议授予的其他职权。</w:t>
            </w:r>
          </w:p>
        </w:tc>
      </w:tr>
    </w:tbl>
    <w:p w14:paraId="66EC4645" w14:textId="721ADA5F" w:rsidR="00AC4209" w:rsidRPr="00DA3766" w:rsidRDefault="00CB6C2C" w:rsidP="00635015">
      <w:pPr>
        <w:pStyle w:val="005"/>
        <w:spacing w:before="120" w:after="120"/>
        <w:ind w:firstLine="464"/>
      </w:pPr>
      <w:r w:rsidRPr="00635015">
        <w:rPr>
          <w:spacing w:val="-4"/>
        </w:rPr>
        <w:lastRenderedPageBreak/>
        <w:t>由上表可知，</w:t>
      </w:r>
      <w:r w:rsidR="00FD3797" w:rsidRPr="00635015">
        <w:rPr>
          <w:spacing w:val="-4"/>
        </w:rPr>
        <w:t>标的公司</w:t>
      </w:r>
      <w:r w:rsidR="003B3342" w:rsidRPr="00635015">
        <w:rPr>
          <w:spacing w:val="-4"/>
        </w:rPr>
        <w:t>核心管理人员</w:t>
      </w:r>
      <w:r w:rsidR="00FD3797" w:rsidRPr="00635015">
        <w:rPr>
          <w:spacing w:val="-4"/>
        </w:rPr>
        <w:t>杨凯然作为合伙企业</w:t>
      </w:r>
      <w:r w:rsidRPr="00635015">
        <w:rPr>
          <w:spacing w:val="-4"/>
        </w:rPr>
        <w:t>执行事务合伙</w:t>
      </w:r>
      <w:r w:rsidR="00FD3797" w:rsidRPr="00635015">
        <w:rPr>
          <w:spacing w:val="-4"/>
        </w:rPr>
        <w:t>人</w:t>
      </w:r>
      <w:r w:rsidR="00BE78A2" w:rsidRPr="00635015">
        <w:rPr>
          <w:spacing w:val="-4"/>
        </w:rPr>
        <w:t>，</w:t>
      </w:r>
      <w:r w:rsidR="00FD3797" w:rsidRPr="00635015">
        <w:rPr>
          <w:spacing w:val="-4"/>
        </w:rPr>
        <w:t>已获得全体合伙人授权</w:t>
      </w:r>
      <w:r w:rsidR="00BE78A2" w:rsidRPr="00635015">
        <w:rPr>
          <w:spacing w:val="-4"/>
        </w:rPr>
        <w:t>对外执行</w:t>
      </w:r>
      <w:r w:rsidR="00FD3797" w:rsidRPr="00635015">
        <w:rPr>
          <w:spacing w:val="-4"/>
        </w:rPr>
        <w:t>合伙</w:t>
      </w:r>
      <w:r w:rsidR="00BE78A2" w:rsidRPr="00635015">
        <w:rPr>
          <w:spacing w:val="-4"/>
        </w:rPr>
        <w:t>事务</w:t>
      </w:r>
      <w:r w:rsidRPr="00635015">
        <w:rPr>
          <w:spacing w:val="-4"/>
        </w:rPr>
        <w:t>，对有限合伙企业的财产进行投资、管理、运用、处置和回收属于其作为执行事务合伙人独占及排他的执行合伙事务的权利，不受有限合伙人的任何干涉</w:t>
      </w:r>
      <w:r w:rsidR="00BE78A2" w:rsidRPr="00635015">
        <w:rPr>
          <w:spacing w:val="-4"/>
        </w:rPr>
        <w:t>。</w:t>
      </w:r>
      <w:r w:rsidR="009B0DD9" w:rsidRPr="00635015">
        <w:rPr>
          <w:spacing w:val="-4"/>
        </w:rPr>
        <w:t>因此，本次交易中乐陶陶参与业绩承诺合法合规</w:t>
      </w:r>
      <w:r w:rsidR="009B0DD9" w:rsidRPr="00DA3766">
        <w:t>。</w:t>
      </w:r>
    </w:p>
    <w:p w14:paraId="7CCE8A89" w14:textId="0A88B24E" w:rsidR="002372DE" w:rsidRPr="00DA3766" w:rsidRDefault="002372DE" w:rsidP="00FD3797">
      <w:pPr>
        <w:pStyle w:val="005"/>
        <w:spacing w:before="120" w:after="120"/>
        <w:ind w:firstLine="480"/>
        <w:rPr>
          <w:highlight w:val="yellow"/>
        </w:rPr>
      </w:pPr>
      <w:r w:rsidRPr="00DA3766">
        <w:t>综上，乐陶陶未按</w:t>
      </w:r>
      <w:r w:rsidRPr="00DA3766">
        <w:t>16.95</w:t>
      </w:r>
      <w:r w:rsidRPr="00DA3766">
        <w:t>亿元估值确定交易作价且同步作出业绩承诺的安排，具备商业合理性。</w:t>
      </w:r>
    </w:p>
    <w:p w14:paraId="05F3B6B2" w14:textId="35F4805E" w:rsidR="00E71D49" w:rsidRPr="00DA3766" w:rsidRDefault="00E71D49" w:rsidP="00E71D49">
      <w:pPr>
        <w:pStyle w:val="003"/>
        <w:spacing w:before="120" w:after="120"/>
        <w:ind w:firstLine="482"/>
      </w:pPr>
      <w:r w:rsidRPr="00DA3766">
        <w:t>（</w:t>
      </w:r>
      <w:r w:rsidR="00C03F03" w:rsidRPr="00DA3766">
        <w:t>三</w:t>
      </w:r>
      <w:r w:rsidRPr="00DA3766">
        <w:t>）乐陶陶同其余交易对方之间不存在相关利益安排</w:t>
      </w:r>
    </w:p>
    <w:p w14:paraId="1FA24365" w14:textId="2276CCDA" w:rsidR="00E71D49" w:rsidRPr="00DA3766" w:rsidRDefault="00E71D49" w:rsidP="00E71D49">
      <w:pPr>
        <w:pStyle w:val="005"/>
        <w:spacing w:before="120" w:after="120"/>
        <w:ind w:firstLine="480"/>
      </w:pPr>
      <w:r w:rsidRPr="00DA3766">
        <w:t>经核查</w:t>
      </w:r>
      <w:bookmarkStart w:id="119" w:name="OLE_LINK30"/>
      <w:r w:rsidRPr="00DA3766">
        <w:t>星云开物历次股东</w:t>
      </w:r>
      <w:r w:rsidR="00664C31" w:rsidRPr="00DA3766">
        <w:t>大</w:t>
      </w:r>
      <w:r w:rsidRPr="00DA3766">
        <w:t>会决议，乐陶陶</w:t>
      </w:r>
      <w:r w:rsidR="00BD572F" w:rsidRPr="00DA3766">
        <w:t>的合伙协议、工商底档及</w:t>
      </w:r>
      <w:r w:rsidRPr="00DA3766">
        <w:t>历次股权变动涉及的股权转让协议</w:t>
      </w:r>
      <w:r w:rsidR="00BD572F" w:rsidRPr="00DA3766">
        <w:t>或增资协议</w:t>
      </w:r>
      <w:bookmarkEnd w:id="119"/>
      <w:r w:rsidR="00BD572F" w:rsidRPr="00DA3766">
        <w:t>，并经对交易对方访谈，乐陶陶同其余交易对方之间不存在相关利益安排。</w:t>
      </w:r>
    </w:p>
    <w:p w14:paraId="3892B4C4" w14:textId="4271CA0E" w:rsidR="00A97F69" w:rsidRPr="00DA3766" w:rsidRDefault="00A97F69"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w:t>
      </w:r>
      <w:r w:rsidR="009402C6" w:rsidRPr="00DA3766">
        <w:t>五</w:t>
      </w:r>
      <w:r w:rsidRPr="00DA3766">
        <w:t>节</w:t>
      </w:r>
      <w:r w:rsidRPr="00DA3766">
        <w:t xml:space="preserve"> </w:t>
      </w:r>
      <w:r w:rsidR="009402C6"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00A97B19" w:rsidRPr="00DA3766">
        <w:t>（</w:t>
      </w:r>
      <w:r w:rsidR="009402C6" w:rsidRPr="00DA3766">
        <w:t>八</w:t>
      </w:r>
      <w:r w:rsidR="00A97B19" w:rsidRPr="00DA3766">
        <w:t>）</w:t>
      </w:r>
      <w:r w:rsidR="009402C6" w:rsidRPr="00DA3766">
        <w:t>业绩承诺及补偿安排</w:t>
      </w:r>
      <w:r w:rsidRPr="00DA3766">
        <w:rPr>
          <w:rFonts w:ascii="宋体" w:hAnsi="宋体"/>
        </w:rPr>
        <w:t>”</w:t>
      </w:r>
      <w:r w:rsidRPr="00DA3766">
        <w:t>补充披露。</w:t>
      </w:r>
    </w:p>
    <w:p w14:paraId="4294D6FC" w14:textId="3891F373" w:rsidR="00347AEF" w:rsidRPr="00DA3766" w:rsidRDefault="00347AEF" w:rsidP="00C3042A">
      <w:pPr>
        <w:pStyle w:val="002"/>
        <w:keepNext w:val="0"/>
        <w:spacing w:before="120" w:after="120"/>
        <w:ind w:firstLine="482"/>
      </w:pPr>
      <w:r w:rsidRPr="00DA3766">
        <w:t>二、</w:t>
      </w:r>
      <w:bookmarkStart w:id="120" w:name="_Hlk219323011"/>
      <w:r w:rsidRPr="00DA3766">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bookmarkEnd w:id="120"/>
      <w:r w:rsidRPr="00DA3766">
        <w:t>。</w:t>
      </w:r>
    </w:p>
    <w:p w14:paraId="037B38C2" w14:textId="77777777" w:rsidR="008032F4" w:rsidRPr="00DA3766" w:rsidRDefault="008032F4" w:rsidP="00C3042A">
      <w:pPr>
        <w:pStyle w:val="003"/>
        <w:keepNext w:val="0"/>
        <w:spacing w:before="120" w:after="120"/>
        <w:ind w:firstLine="482"/>
      </w:pPr>
      <w:bookmarkStart w:id="121" w:name="_Hlk219323037"/>
      <w:r w:rsidRPr="00DA3766">
        <w:t>（一）业绩承诺中相关政府补助的具体情况，是否存在相关法律法规及政策依据</w:t>
      </w:r>
    </w:p>
    <w:p w14:paraId="293D20E0" w14:textId="77777777" w:rsidR="008032F4" w:rsidRPr="00DA3766" w:rsidRDefault="008032F4" w:rsidP="008032F4">
      <w:pPr>
        <w:pStyle w:val="004"/>
        <w:spacing w:before="120" w:after="120"/>
        <w:ind w:firstLine="482"/>
      </w:pPr>
      <w:r w:rsidRPr="00DA3766">
        <w:t>1</w:t>
      </w:r>
      <w:r w:rsidRPr="00DA3766">
        <w:t>、业绩承诺中相关政府补助的具体情况</w:t>
      </w:r>
    </w:p>
    <w:p w14:paraId="29230645" w14:textId="77777777" w:rsidR="008032F4" w:rsidRPr="00DA3766" w:rsidRDefault="008032F4" w:rsidP="008032F4">
      <w:pPr>
        <w:pStyle w:val="005"/>
        <w:spacing w:before="120" w:after="120"/>
        <w:ind w:firstLine="480"/>
      </w:pPr>
      <w:r w:rsidRPr="00DA3766">
        <w:t>根据上市公司与业绩承诺方签署的《业绩承诺补偿协议书》，关于业绩承诺中实际净利润计算方式的约定如下：</w:t>
      </w:r>
    </w:p>
    <w:p w14:paraId="3FB45730" w14:textId="5A384656" w:rsidR="008032F4" w:rsidRPr="00DA3766" w:rsidRDefault="003328C2" w:rsidP="008032F4">
      <w:pPr>
        <w:pStyle w:val="005"/>
        <w:spacing w:before="120" w:after="120"/>
        <w:ind w:firstLine="480"/>
      </w:pPr>
      <w:r>
        <w:rPr>
          <w:rFonts w:hint="eastAsia"/>
        </w:rPr>
        <w:t>“</w:t>
      </w:r>
      <w:r w:rsidR="008032F4" w:rsidRPr="00DA3766">
        <w:t>（</w:t>
      </w:r>
      <w:r w:rsidR="008032F4" w:rsidRPr="00DA3766">
        <w:t>1</w:t>
      </w:r>
      <w:r w:rsidR="008032F4" w:rsidRPr="00DA3766">
        <w:t>）业绩承诺方承诺标的公司在</w:t>
      </w:r>
      <w:r w:rsidR="008032F4" w:rsidRPr="00DA3766">
        <w:t>2025</w:t>
      </w:r>
      <w:r w:rsidR="008032F4" w:rsidRPr="00DA3766">
        <w:t>年度、</w:t>
      </w:r>
      <w:r w:rsidR="008032F4" w:rsidRPr="00DA3766">
        <w:t>2026</w:t>
      </w:r>
      <w:r w:rsidR="008032F4" w:rsidRPr="00DA3766">
        <w:t>年度和</w:t>
      </w:r>
      <w:r w:rsidR="008032F4" w:rsidRPr="00DA3766">
        <w:t>2027</w:t>
      </w:r>
      <w:r w:rsidR="008032F4" w:rsidRPr="00DA3766">
        <w:t>年度实现的实际净利润分别不低于人民币</w:t>
      </w:r>
      <w:r w:rsidR="008032F4" w:rsidRPr="00DA3766">
        <w:t>9,000</w:t>
      </w:r>
      <w:r w:rsidR="008032F4" w:rsidRPr="00DA3766">
        <w:t>万元、</w:t>
      </w:r>
      <w:r w:rsidR="008032F4" w:rsidRPr="00DA3766">
        <w:t>9,500</w:t>
      </w:r>
      <w:r w:rsidR="008032F4" w:rsidRPr="00DA3766">
        <w:t>万元和</w:t>
      </w:r>
      <w:r w:rsidR="008032F4" w:rsidRPr="00DA3766">
        <w:t>10,500</w:t>
      </w:r>
      <w:r w:rsidR="008032F4" w:rsidRPr="00DA3766">
        <w:t>万元。</w:t>
      </w:r>
    </w:p>
    <w:p w14:paraId="0481A947" w14:textId="0238FD2F" w:rsidR="008032F4" w:rsidRPr="00DA3766" w:rsidRDefault="008032F4" w:rsidP="008032F4">
      <w:pPr>
        <w:pStyle w:val="005"/>
        <w:spacing w:before="120" w:after="120"/>
        <w:ind w:firstLine="480"/>
      </w:pPr>
      <w:r w:rsidRPr="00DA3766">
        <w:lastRenderedPageBreak/>
        <w:t>（</w:t>
      </w:r>
      <w:r w:rsidRPr="00DA3766">
        <w:t>2</w:t>
      </w:r>
      <w:r w:rsidRPr="00DA3766">
        <w:t>）业绩承诺期间任一年度实际净利润数额应由上市公司聘请的符合《中华人民共和国证券法》要求的会计师事务所对目标公司在该年度实际盈利情况出具的专项审核意见，实际净利润为</w:t>
      </w:r>
      <w:bookmarkStart w:id="122" w:name="OLE_LINK126"/>
      <w:r w:rsidRPr="00DA3766">
        <w:t>合并报表中归属于母公司所有者的净利润（按扣除非经常性损益原则确定）与经上市公司书面认可并与目标公司研发相关的政府补助（即依据中央财政支持新一轮第一批重点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企业奖补资金安排计划未来取得的政府补助）之和</w:t>
      </w:r>
      <w:bookmarkEnd w:id="122"/>
      <w:r w:rsidRPr="00DA3766">
        <w:t>。</w:t>
      </w:r>
      <w:r w:rsidR="003328C2">
        <w:rPr>
          <w:rFonts w:hint="eastAsia"/>
        </w:rPr>
        <w:t>”</w:t>
      </w:r>
    </w:p>
    <w:p w14:paraId="7D47BE4A" w14:textId="77777777" w:rsidR="008032F4" w:rsidRPr="00DA3766" w:rsidRDefault="008032F4" w:rsidP="008032F4">
      <w:pPr>
        <w:pStyle w:val="005"/>
        <w:spacing w:before="120" w:after="120"/>
        <w:ind w:firstLine="480"/>
      </w:pPr>
      <w:r w:rsidRPr="00DA3766">
        <w:t>因此，业绩承诺中包含的政府补助仅为</w:t>
      </w:r>
      <w:bookmarkStart w:id="123" w:name="OLE_LINK29"/>
      <w:r w:rsidRPr="00DA3766">
        <w:t>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w:t>
      </w:r>
      <w:bookmarkEnd w:id="123"/>
      <w:r w:rsidRPr="00DA3766">
        <w:t>。</w:t>
      </w:r>
    </w:p>
    <w:p w14:paraId="445C113F" w14:textId="77777777" w:rsidR="008032F4" w:rsidRPr="00DA3766" w:rsidRDefault="008032F4" w:rsidP="008032F4">
      <w:pPr>
        <w:pStyle w:val="004"/>
        <w:spacing w:before="120" w:after="120"/>
        <w:ind w:firstLine="482"/>
      </w:pPr>
      <w:r w:rsidRPr="00DA3766">
        <w:t>2</w:t>
      </w:r>
      <w:r w:rsidRPr="00DA3766">
        <w:t>、业绩承诺方案符合法律法规的相关规定</w:t>
      </w:r>
    </w:p>
    <w:p w14:paraId="0F6A7226" w14:textId="77777777" w:rsidR="00855B43" w:rsidRPr="00DA3766" w:rsidRDefault="008032F4" w:rsidP="008032F4">
      <w:pPr>
        <w:pStyle w:val="005"/>
        <w:spacing w:before="120" w:after="120"/>
        <w:ind w:firstLine="480"/>
      </w:pPr>
      <w:r w:rsidRPr="00DA3766">
        <w:t>根据《上市公司重大资产重组管理办法》的相关规定，</w:t>
      </w:r>
      <w:r w:rsidRPr="00DA3766">
        <w:rPr>
          <w:rFonts w:ascii="宋体" w:hAnsi="宋体"/>
        </w:rPr>
        <w:t>“</w:t>
      </w:r>
      <w:r w:rsidRPr="00DA3766">
        <w:t>上市公司向控股股东、实际控制人或者其控制的关联人之外的特定对象购买资产且未导致控制权发生变更的，不适用本条前二款规定，上市公司与交易对方可以根据市场化原则，自主协商是否采取业绩补偿和每股收益填补措施及相关具体安排。</w:t>
      </w:r>
      <w:r w:rsidRPr="00DA3766">
        <w:rPr>
          <w:rFonts w:ascii="宋体" w:hAnsi="宋体"/>
        </w:rPr>
        <w:t>”</w:t>
      </w:r>
    </w:p>
    <w:p w14:paraId="39AF6EFB" w14:textId="3C7A83AC" w:rsidR="00855B43" w:rsidRPr="00DA3766" w:rsidRDefault="008032F4" w:rsidP="00855B43">
      <w:pPr>
        <w:pStyle w:val="005"/>
        <w:spacing w:before="120" w:after="120"/>
        <w:ind w:firstLine="480"/>
      </w:pPr>
      <w:r w:rsidRPr="00DA3766">
        <w:t>本次交易中，上市公司与交易对方不存在关联关系，本次交易亦不会导致上市公司控制权发生变更。因此，本次交易上市公司与交易对方可以根据市场化原则，自主协商是否采取业绩补偿及相关具体安排。</w:t>
      </w:r>
      <w:r w:rsidR="00855B43" w:rsidRPr="00DA3766">
        <w:t>重点</w:t>
      </w:r>
      <w:r w:rsidR="00855B43" w:rsidRPr="00DA3766">
        <w:rPr>
          <w:rFonts w:ascii="宋体" w:hAnsi="宋体"/>
        </w:rPr>
        <w:t>“</w:t>
      </w:r>
      <w:r w:rsidR="00855B43" w:rsidRPr="00DA3766">
        <w:t>小巨人</w:t>
      </w:r>
      <w:r w:rsidR="00855B43" w:rsidRPr="00DA3766">
        <w:rPr>
          <w:rFonts w:ascii="宋体" w:hAnsi="宋体"/>
        </w:rPr>
        <w:t>”</w:t>
      </w:r>
      <w:r w:rsidR="00855B43" w:rsidRPr="00DA3766">
        <w:t>企业获批前提为专精特新</w:t>
      </w:r>
      <w:r w:rsidR="00855B43" w:rsidRPr="00DA3766">
        <w:rPr>
          <w:rFonts w:ascii="宋体" w:hAnsi="宋体"/>
        </w:rPr>
        <w:t>“</w:t>
      </w:r>
      <w:r w:rsidR="00855B43" w:rsidRPr="00DA3766">
        <w:t>小巨人</w:t>
      </w:r>
      <w:r w:rsidR="00855B43" w:rsidRPr="00DA3766">
        <w:rPr>
          <w:rFonts w:ascii="宋体" w:hAnsi="宋体"/>
        </w:rPr>
        <w:t>”</w:t>
      </w:r>
      <w:r w:rsidR="00855B43" w:rsidRPr="00DA3766">
        <w:t>企业，且要求申请企业围绕打造新动能、攻坚新技术、开发新产品、强化产业链配套能力推进计划并提出绩效目标。本次交易中上市公司与交易对方协商确定承诺净利润中包含依据中央财政支持新一轮第一批重点</w:t>
      </w:r>
      <w:r w:rsidR="00855B43" w:rsidRPr="00DA3766">
        <w:rPr>
          <w:rFonts w:ascii="宋体" w:hAnsi="宋体"/>
        </w:rPr>
        <w:t>“</w:t>
      </w:r>
      <w:r w:rsidR="00855B43" w:rsidRPr="00DA3766">
        <w:t>小巨人</w:t>
      </w:r>
      <w:r w:rsidR="00855B43" w:rsidRPr="00DA3766">
        <w:rPr>
          <w:rFonts w:ascii="宋体" w:hAnsi="宋体"/>
        </w:rPr>
        <w:t>”</w:t>
      </w:r>
      <w:r w:rsidR="00855B43" w:rsidRPr="00DA3766">
        <w:t>企业奖补资金安排计划未来取得的政府补助，以激励标的公司持续关注研发创新，</w:t>
      </w:r>
      <w:r w:rsidR="001E393D" w:rsidRPr="00DA3766">
        <w:t>持续保持核心竞争力，</w:t>
      </w:r>
      <w:r w:rsidR="00855B43" w:rsidRPr="00DA3766">
        <w:t>为上市公司及其股东创造长期价值。</w:t>
      </w:r>
    </w:p>
    <w:p w14:paraId="1B0E7B2D" w14:textId="4FEE4E1E" w:rsidR="008032F4" w:rsidRPr="00DA3766" w:rsidRDefault="00855B43" w:rsidP="008032F4">
      <w:pPr>
        <w:pStyle w:val="005"/>
        <w:spacing w:before="120" w:after="120"/>
        <w:ind w:firstLine="480"/>
      </w:pPr>
      <w:r w:rsidRPr="00DA3766">
        <w:t>综上，</w:t>
      </w:r>
      <w:r w:rsidR="008032F4" w:rsidRPr="00DA3766">
        <w:t>本次交易中关于承诺净利润的设计符合法律法规的相关规定。</w:t>
      </w:r>
    </w:p>
    <w:p w14:paraId="1598264C" w14:textId="79ECCD93" w:rsidR="008032F4" w:rsidRPr="00DA3766" w:rsidRDefault="008032F4" w:rsidP="008032F4">
      <w:pPr>
        <w:pStyle w:val="003"/>
        <w:spacing w:before="120" w:after="120"/>
        <w:ind w:firstLine="482"/>
      </w:pPr>
      <w:r w:rsidRPr="00DA3766">
        <w:t>（二）历史期的补助金额，补助的获得是否可持续、是否存在不确定性，业绩承诺期内及期满后政府补助的预计金额，承诺期内和期后的补助金额是否存在显著差异，</w:t>
      </w:r>
      <w:bookmarkStart w:id="124" w:name="OLE_LINK37"/>
      <w:r w:rsidRPr="00DA3766">
        <w:t>业绩承诺期内相关补助能否明确区分并清晰核算</w:t>
      </w:r>
      <w:bookmarkEnd w:id="124"/>
    </w:p>
    <w:p w14:paraId="0901E6E3" w14:textId="22614F75" w:rsidR="008032F4" w:rsidRPr="00DA3766" w:rsidRDefault="008032F4" w:rsidP="008032F4">
      <w:pPr>
        <w:pStyle w:val="005"/>
        <w:spacing w:before="120" w:after="120"/>
        <w:ind w:firstLine="480"/>
      </w:pPr>
      <w:r w:rsidRPr="00DA3766">
        <w:t>如前所述，</w:t>
      </w:r>
      <w:bookmarkStart w:id="125" w:name="OLE_LINK120"/>
      <w:r w:rsidRPr="00DA3766">
        <w:t>本次业绩承诺中相关政府补助仅包括依据中央财政支持新一轮第一批重点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w:t>
      </w:r>
      <w:bookmarkEnd w:id="125"/>
      <w:r w:rsidRPr="00DA3766">
        <w:t>。根据</w:t>
      </w:r>
      <w:r w:rsidR="001E6B3E" w:rsidRPr="00DA3766">
        <w:t>财政部</w:t>
      </w:r>
      <w:r w:rsidR="007B0B46" w:rsidRPr="00DA3766">
        <w:t>及</w:t>
      </w:r>
      <w:r w:rsidR="001E6B3E" w:rsidRPr="00DA3766">
        <w:t>工业和信息化部发布的</w:t>
      </w:r>
      <w:r w:rsidRPr="00DA3766">
        <w:t>《</w:t>
      </w:r>
      <w:r w:rsidR="001E6B3E" w:rsidRPr="00DA3766">
        <w:t>关于进一步支持专精特新中小企业高质量发展的通知</w:t>
      </w:r>
      <w:r w:rsidRPr="00DA3766">
        <w:t>》</w:t>
      </w:r>
      <w:r w:rsidR="001E6B3E" w:rsidRPr="00DA3766">
        <w:lastRenderedPageBreak/>
        <w:t>（财建〔</w:t>
      </w:r>
      <w:r w:rsidR="001E6B3E" w:rsidRPr="00DA3766">
        <w:t>2024</w:t>
      </w:r>
      <w:r w:rsidR="001E6B3E" w:rsidRPr="00DA3766">
        <w:t>〕</w:t>
      </w:r>
      <w:r w:rsidR="001E6B3E" w:rsidRPr="00DA3766">
        <w:t>148</w:t>
      </w:r>
      <w:r w:rsidR="001E6B3E" w:rsidRPr="00DA3766">
        <w:t>号）</w:t>
      </w:r>
      <w:r w:rsidRPr="00DA3766">
        <w:t>，</w:t>
      </w:r>
      <w:r w:rsidR="001E6B3E" w:rsidRPr="00DA3766">
        <w:t>中央财政资金将支持重点领域的</w:t>
      </w:r>
      <w:r w:rsidR="001E6B3E" w:rsidRPr="00DA3766">
        <w:rPr>
          <w:rFonts w:ascii="宋体" w:hAnsi="宋体"/>
        </w:rPr>
        <w:t>“</w:t>
      </w:r>
      <w:r w:rsidR="001E6B3E" w:rsidRPr="00DA3766">
        <w:t>小巨人</w:t>
      </w:r>
      <w:r w:rsidR="001E6B3E" w:rsidRPr="00DA3766">
        <w:rPr>
          <w:rFonts w:ascii="宋体" w:hAnsi="宋体"/>
        </w:rPr>
        <w:t>”</w:t>
      </w:r>
      <w:r w:rsidR="001E6B3E" w:rsidRPr="00DA3766">
        <w:t>企业打造新动能、攻坚新技术、开发新产品、强化产业链配套能力，同时支持地方加大对专精特新中小企业培育赋能。奖补标准为每家企业合计</w:t>
      </w:r>
      <w:r w:rsidR="001E6B3E" w:rsidRPr="00DA3766">
        <w:t>600</w:t>
      </w:r>
      <w:r w:rsidR="001E6B3E" w:rsidRPr="00DA3766">
        <w:t>万元，批次奖补资金分两次下达，实施期初下达</w:t>
      </w:r>
      <w:r w:rsidR="001E6B3E" w:rsidRPr="00DA3766">
        <w:t>50%</w:t>
      </w:r>
      <w:r w:rsidR="001E6B3E" w:rsidRPr="00DA3766">
        <w:t>，</w:t>
      </w:r>
      <w:bookmarkStart w:id="126" w:name="OLE_LINK34"/>
      <w:r w:rsidR="001E6B3E" w:rsidRPr="00DA3766">
        <w:t>实施期末根据绩效评价情况下达剩余资金奖补资金总额的</w:t>
      </w:r>
      <w:r w:rsidR="001E6B3E" w:rsidRPr="00DA3766">
        <w:t>95%</w:t>
      </w:r>
      <w:r w:rsidR="001E6B3E" w:rsidRPr="00DA3766">
        <w:t>以上由省级财政部门</w:t>
      </w:r>
      <w:bookmarkEnd w:id="126"/>
      <w:r w:rsidR="001E6B3E" w:rsidRPr="00DA3766">
        <w:t>直接拨付到</w:t>
      </w:r>
      <w:r w:rsidR="001E6B3E" w:rsidRPr="00DA3766">
        <w:rPr>
          <w:rFonts w:ascii="宋体" w:hAnsi="宋体"/>
        </w:rPr>
        <w:t>“</w:t>
      </w:r>
      <w:r w:rsidR="001E6B3E" w:rsidRPr="00DA3766">
        <w:t>小巨人</w:t>
      </w:r>
      <w:r w:rsidR="001E6B3E" w:rsidRPr="00DA3766">
        <w:rPr>
          <w:rFonts w:ascii="宋体" w:hAnsi="宋体"/>
        </w:rPr>
        <w:t>”</w:t>
      </w:r>
      <w:r w:rsidR="001E6B3E" w:rsidRPr="00DA3766">
        <w:t>企业，由企业围绕</w:t>
      </w:r>
      <w:r w:rsidR="001E6B3E" w:rsidRPr="00DA3766">
        <w:rPr>
          <w:rFonts w:ascii="宋体" w:hAnsi="宋体"/>
        </w:rPr>
        <w:t>“</w:t>
      </w:r>
      <w:r w:rsidR="001E6B3E" w:rsidRPr="00DA3766">
        <w:t>三新</w:t>
      </w:r>
      <w:r w:rsidR="001E6B3E" w:rsidRPr="00DA3766">
        <w:rPr>
          <w:rFonts w:ascii="宋体" w:hAnsi="宋体"/>
        </w:rPr>
        <w:t>”</w:t>
      </w:r>
      <w:r w:rsidR="001E6B3E" w:rsidRPr="00DA3766">
        <w:t>、</w:t>
      </w:r>
      <w:r w:rsidR="001E6B3E" w:rsidRPr="00DA3766">
        <w:rPr>
          <w:rFonts w:ascii="宋体" w:hAnsi="宋体"/>
        </w:rPr>
        <w:t>“</w:t>
      </w:r>
      <w:r w:rsidR="001E6B3E" w:rsidRPr="00DA3766">
        <w:t>一强</w:t>
      </w:r>
      <w:r w:rsidR="001E6B3E" w:rsidRPr="00DA3766">
        <w:rPr>
          <w:rFonts w:ascii="宋体" w:hAnsi="宋体"/>
        </w:rPr>
        <w:t>”</w:t>
      </w:r>
      <w:r w:rsidR="001E6B3E" w:rsidRPr="00DA3766">
        <w:t>目标任务自主安排使用；不超过奖补资金总额的</w:t>
      </w:r>
      <w:r w:rsidR="001E6B3E" w:rsidRPr="00DA3766">
        <w:t>5%</w:t>
      </w:r>
      <w:r w:rsidR="001E6B3E" w:rsidRPr="00DA3766">
        <w:t>可重点用于对</w:t>
      </w:r>
      <w:r w:rsidR="001E6B3E" w:rsidRPr="00DA3766">
        <w:rPr>
          <w:rFonts w:ascii="宋体" w:hAnsi="宋体"/>
        </w:rPr>
        <w:t>“</w:t>
      </w:r>
      <w:r w:rsidR="001E6B3E" w:rsidRPr="00DA3766">
        <w:t>小巨人</w:t>
      </w:r>
      <w:r w:rsidR="001E6B3E" w:rsidRPr="00DA3766">
        <w:rPr>
          <w:rFonts w:ascii="宋体" w:hAnsi="宋体"/>
        </w:rPr>
        <w:t>”</w:t>
      </w:r>
      <w:r w:rsidR="001E6B3E" w:rsidRPr="00DA3766">
        <w:t>企业培育赋能，包括向</w:t>
      </w:r>
      <w:r w:rsidR="001E6B3E" w:rsidRPr="00DA3766">
        <w:rPr>
          <w:rFonts w:ascii="宋体" w:hAnsi="宋体"/>
        </w:rPr>
        <w:t>“</w:t>
      </w:r>
      <w:r w:rsidR="001E6B3E" w:rsidRPr="00DA3766">
        <w:t>小巨人</w:t>
      </w:r>
      <w:r w:rsidR="001E6B3E" w:rsidRPr="00DA3766">
        <w:rPr>
          <w:rFonts w:ascii="宋体" w:hAnsi="宋体"/>
        </w:rPr>
        <w:t>”</w:t>
      </w:r>
      <w:r w:rsidR="001E6B3E" w:rsidRPr="00DA3766">
        <w:t>企业提供管理诊断、人才培训、质量诊断等培育赋能服务，建立健全以技术支持、成果转化、资金对接、企业孵化、产业融通等为主要功能的专精特新赋能体系。</w:t>
      </w:r>
    </w:p>
    <w:p w14:paraId="3CA5A289" w14:textId="5D78FF2F" w:rsidR="001E6B3E" w:rsidRPr="00DA3766" w:rsidRDefault="001E6B3E" w:rsidP="001E6B3E">
      <w:pPr>
        <w:pStyle w:val="005"/>
        <w:spacing w:before="120" w:after="120"/>
        <w:ind w:firstLine="480"/>
      </w:pPr>
      <w:r w:rsidRPr="00DA3766">
        <w:t>根据广州市工业和信息化局转发《关于第六批专精特新</w:t>
      </w:r>
      <w:r w:rsidRPr="00DA3766">
        <w:rPr>
          <w:rFonts w:ascii="宋体" w:hAnsi="宋体"/>
        </w:rPr>
        <w:t>“</w:t>
      </w:r>
      <w:r w:rsidRPr="00DA3766">
        <w:t>小巨人</w:t>
      </w:r>
      <w:r w:rsidRPr="00DA3766">
        <w:rPr>
          <w:rFonts w:ascii="宋体" w:hAnsi="宋体"/>
        </w:rPr>
        <w:t>”</w:t>
      </w:r>
      <w:r w:rsidRPr="00DA3766">
        <w:t>企业、通过复核的第三批专精特新</w:t>
      </w:r>
      <w:r w:rsidRPr="00DA3766">
        <w:rPr>
          <w:rFonts w:ascii="宋体" w:hAnsi="宋体"/>
        </w:rPr>
        <w:t>“</w:t>
      </w:r>
      <w:r w:rsidRPr="00DA3766">
        <w:t>小巨人</w:t>
      </w:r>
      <w:r w:rsidRPr="00DA3766">
        <w:rPr>
          <w:rFonts w:ascii="宋体" w:hAnsi="宋体"/>
        </w:rPr>
        <w:t>”</w:t>
      </w:r>
      <w:r w:rsidRPr="00DA3766">
        <w:t>企业和新一轮第一批支持的重点</w:t>
      </w:r>
      <w:r w:rsidRPr="00DA3766">
        <w:rPr>
          <w:rFonts w:ascii="宋体" w:hAnsi="宋体"/>
        </w:rPr>
        <w:t>“</w:t>
      </w:r>
      <w:r w:rsidRPr="00DA3766">
        <w:t>小巨人</w:t>
      </w:r>
      <w:r w:rsidRPr="00DA3766">
        <w:rPr>
          <w:rFonts w:ascii="宋体" w:hAnsi="宋体"/>
        </w:rPr>
        <w:t>”</w:t>
      </w:r>
      <w:r w:rsidRPr="00DA3766">
        <w:t>企业名单的通知》，标的公司新一轮第一批支持的重点</w:t>
      </w:r>
      <w:r w:rsidRPr="00DA3766">
        <w:rPr>
          <w:rFonts w:ascii="宋体" w:hAnsi="宋体"/>
        </w:rPr>
        <w:t>“</w:t>
      </w:r>
      <w:r w:rsidRPr="00DA3766">
        <w:t>小巨人</w:t>
      </w:r>
      <w:r w:rsidRPr="00DA3766">
        <w:rPr>
          <w:rFonts w:ascii="宋体" w:hAnsi="宋体"/>
        </w:rPr>
        <w:t>”</w:t>
      </w:r>
      <w:r w:rsidRPr="00DA3766">
        <w:t>企业申请已通过复核，并于</w:t>
      </w:r>
      <w:r w:rsidRPr="00DA3766">
        <w:t>2025</w:t>
      </w:r>
      <w:r w:rsidRPr="00DA3766">
        <w:t>年收到首批奖补资金</w:t>
      </w:r>
      <w:r w:rsidRPr="00DA3766">
        <w:t>285</w:t>
      </w:r>
      <w:r w:rsidRPr="00DA3766">
        <w:t>万元。</w:t>
      </w:r>
      <w:r w:rsidR="002B1BF4" w:rsidRPr="00DA3766">
        <w:t>第二笔奖补资金亦为</w:t>
      </w:r>
      <w:r w:rsidR="002B1BF4" w:rsidRPr="00DA3766">
        <w:t>285</w:t>
      </w:r>
      <w:r w:rsidR="002B1BF4" w:rsidRPr="00DA3766">
        <w:t>万元，</w:t>
      </w:r>
      <w:bookmarkStart w:id="127" w:name="OLE_LINK38"/>
      <w:r w:rsidR="002B1BF4" w:rsidRPr="00DA3766">
        <w:t>实施期末（</w:t>
      </w:r>
      <w:r w:rsidR="002B1BF4" w:rsidRPr="00DA3766">
        <w:t>2027</w:t>
      </w:r>
      <w:r w:rsidR="002B1BF4" w:rsidRPr="00DA3766">
        <w:t>年</w:t>
      </w:r>
      <w:r w:rsidR="002B1BF4" w:rsidRPr="00DA3766">
        <w:t>4</w:t>
      </w:r>
      <w:r w:rsidR="002B1BF4" w:rsidRPr="00DA3766">
        <w:t>月）将由省级财政部门根据绩效评价情况</w:t>
      </w:r>
      <w:bookmarkEnd w:id="127"/>
      <w:r w:rsidR="002B1BF4" w:rsidRPr="00DA3766">
        <w:t>进行考核，是否下发具有不确定性。</w:t>
      </w:r>
    </w:p>
    <w:p w14:paraId="322CF9D8" w14:textId="4894C002" w:rsidR="001E6B3E" w:rsidRPr="00DA3766" w:rsidRDefault="002B1BF4" w:rsidP="001E6B3E">
      <w:pPr>
        <w:pStyle w:val="005"/>
        <w:spacing w:before="120" w:after="120"/>
        <w:ind w:firstLine="480"/>
      </w:pPr>
      <w:r w:rsidRPr="00DA3766">
        <w:t>综上，标的公司业绩承诺包含的政府补助仅包含重点小巨人的第二笔奖补资金</w:t>
      </w:r>
      <w:r w:rsidRPr="00DA3766">
        <w:t>285</w:t>
      </w:r>
      <w:r w:rsidRPr="00DA3766">
        <w:t>万元，</w:t>
      </w:r>
      <w:r w:rsidR="00D915FA" w:rsidRPr="00DA3766">
        <w:t>不具备持续性且具有不确定性，发放与否将取决于相关政府部门对标的公司考核期内的绩效评价情况。若最终考核通过，预计发放时间为</w:t>
      </w:r>
      <w:r w:rsidR="00D915FA" w:rsidRPr="00DA3766">
        <w:t>2027</w:t>
      </w:r>
      <w:r w:rsidR="00D915FA" w:rsidRPr="00DA3766">
        <w:t>年或</w:t>
      </w:r>
      <w:r w:rsidR="00D915FA" w:rsidRPr="00DA3766">
        <w:t>2028</w:t>
      </w:r>
      <w:r w:rsidR="00D915FA" w:rsidRPr="00DA3766">
        <w:t>年。本次交易的业绩承诺期为</w:t>
      </w:r>
      <w:r w:rsidR="00D915FA" w:rsidRPr="00DA3766">
        <w:t>2025</w:t>
      </w:r>
      <w:r w:rsidR="00D915FA" w:rsidRPr="00DA3766">
        <w:t>年度、</w:t>
      </w:r>
      <w:r w:rsidR="00D915FA" w:rsidRPr="00DA3766">
        <w:t>2026</w:t>
      </w:r>
      <w:r w:rsidR="00D915FA" w:rsidRPr="00DA3766">
        <w:t>年度及</w:t>
      </w:r>
      <w:r w:rsidR="00D915FA" w:rsidRPr="00DA3766">
        <w:t>2027</w:t>
      </w:r>
      <w:r w:rsidR="00D915FA" w:rsidRPr="00DA3766">
        <w:t>年度，业绩承诺期内及期满后应纳入承诺净利润的政府补助金额取决于前述奖补资金的具体发放时间，业绩承诺期内相关补助能够明确区分并清晰核算。</w:t>
      </w:r>
    </w:p>
    <w:p w14:paraId="29034B90" w14:textId="2C10A442" w:rsidR="008032F4" w:rsidRPr="00DA3766" w:rsidRDefault="008032F4" w:rsidP="008032F4">
      <w:pPr>
        <w:pStyle w:val="003"/>
        <w:spacing w:before="120" w:after="120"/>
        <w:ind w:firstLine="482"/>
      </w:pPr>
      <w:r w:rsidRPr="00DA3766">
        <w:t>（三）政府补助金额及时点的确认是否存在明确的客观外部证据</w:t>
      </w:r>
    </w:p>
    <w:p w14:paraId="150F248D" w14:textId="77777777" w:rsidR="00D95903" w:rsidRPr="00DA3766" w:rsidRDefault="00B50497" w:rsidP="00B50497">
      <w:pPr>
        <w:pStyle w:val="005"/>
        <w:spacing w:before="120" w:after="120"/>
        <w:ind w:firstLine="480"/>
      </w:pPr>
      <w:r w:rsidRPr="00DA3766">
        <w:t>根据《企业会计准则第</w:t>
      </w:r>
      <w:r w:rsidRPr="00DA3766">
        <w:t>16</w:t>
      </w:r>
      <w:r w:rsidRPr="00DA3766">
        <w:t>号</w:t>
      </w:r>
      <w:r w:rsidRPr="00DA3766">
        <w:t>——</w:t>
      </w:r>
      <w:r w:rsidRPr="00DA3766">
        <w:t>政府补助》的规定，政府补助分为与资产相关的政府补助和与收益相关的政府补助。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与公司日常活动相关的政府补助，按照经济业务的实质，计入其他收益或冲减相关成本费用；与日常活动无关的政</w:t>
      </w:r>
      <w:r w:rsidRPr="00DA3766">
        <w:lastRenderedPageBreak/>
        <w:t>府补助，计入营业外收支</w:t>
      </w:r>
      <w:r w:rsidR="00D95903" w:rsidRPr="00DA3766">
        <w:t>。</w:t>
      </w:r>
    </w:p>
    <w:p w14:paraId="7E769685" w14:textId="0D96E3A6" w:rsidR="008032F4" w:rsidRPr="00DA3766" w:rsidRDefault="00937C6F" w:rsidP="00D95903">
      <w:pPr>
        <w:pStyle w:val="005"/>
        <w:spacing w:before="120" w:after="120"/>
        <w:ind w:firstLine="480"/>
      </w:pPr>
      <w:r w:rsidRPr="00DA3766">
        <w:t>标的公司</w:t>
      </w:r>
      <w:r w:rsidR="00D95903" w:rsidRPr="00DA3766">
        <w:t>依据中央财政支持新一轮第一批重点</w:t>
      </w:r>
      <w:r w:rsidR="00D95903" w:rsidRPr="00DA3766">
        <w:rPr>
          <w:rFonts w:ascii="宋体" w:hAnsi="宋体"/>
        </w:rPr>
        <w:t>“</w:t>
      </w:r>
      <w:r w:rsidR="00D95903" w:rsidRPr="00DA3766">
        <w:t>小巨人</w:t>
      </w:r>
      <w:r w:rsidR="00D95903" w:rsidRPr="00DA3766">
        <w:rPr>
          <w:rFonts w:ascii="宋体" w:hAnsi="宋体"/>
        </w:rPr>
        <w:t>”</w:t>
      </w:r>
      <w:r w:rsidR="00D95903" w:rsidRPr="00DA3766">
        <w:t>企业奖补资金安排计划未来取得的政府补助属于补偿已经发生的相关成本费用或损失的，直接计入当期损益。标的公司将在实际收到政府补助款，并满足相应条件时进行确认。</w:t>
      </w:r>
    </w:p>
    <w:p w14:paraId="267969E6" w14:textId="422EBFEE" w:rsidR="008032F4" w:rsidRPr="00DA3766" w:rsidRDefault="008032F4" w:rsidP="008032F4">
      <w:pPr>
        <w:pStyle w:val="003"/>
        <w:spacing w:before="120" w:after="120"/>
        <w:ind w:firstLine="482"/>
      </w:pPr>
      <w:r w:rsidRPr="00DA3766">
        <w:t>（四）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p>
    <w:p w14:paraId="35020F09" w14:textId="6E828A02" w:rsidR="00B47A58" w:rsidRPr="00DA3766" w:rsidRDefault="00B47A58" w:rsidP="00B47A58">
      <w:pPr>
        <w:pStyle w:val="004"/>
        <w:spacing w:before="120" w:after="120"/>
        <w:ind w:firstLine="482"/>
      </w:pPr>
      <w:r w:rsidRPr="00DA3766">
        <w:t>1</w:t>
      </w:r>
      <w:r w:rsidRPr="00DA3766">
        <w:t>、收益法评估中是否考虑相关政府补助情况</w:t>
      </w:r>
      <w:r w:rsidR="00BE0CD0" w:rsidRPr="00DA3766">
        <w:t xml:space="preserve"> </w:t>
      </w:r>
    </w:p>
    <w:p w14:paraId="13A4C340" w14:textId="58B825A9" w:rsidR="00B47A58" w:rsidRPr="00DA3766" w:rsidRDefault="00EB3B4C" w:rsidP="00B47A58">
      <w:pPr>
        <w:pStyle w:val="005"/>
        <w:spacing w:before="120" w:after="120"/>
        <w:ind w:firstLine="480"/>
      </w:pPr>
      <w:r w:rsidRPr="00DA3766">
        <w:t>基于谨慎性考虑，本次交易的收益法评估中针对标的公司的业绩预测，仅考虑</w:t>
      </w:r>
      <w:r w:rsidRPr="00DA3766">
        <w:t>2025</w:t>
      </w:r>
      <w:r w:rsidRPr="00DA3766">
        <w:t>年上半年已实际发生入表的政府补助金额，对于</w:t>
      </w:r>
      <w:r w:rsidRPr="00DA3766">
        <w:t>2025</w:t>
      </w:r>
      <w:r w:rsidRPr="00DA3766">
        <w:t>年下半年及后续预测期内均未对标的公司的政府补助金额进行测算。</w:t>
      </w:r>
    </w:p>
    <w:p w14:paraId="0E03538E" w14:textId="02CA8639" w:rsidR="00B47A58" w:rsidRPr="00DA3766" w:rsidRDefault="00B47A58" w:rsidP="00B47A58">
      <w:pPr>
        <w:pStyle w:val="004"/>
        <w:spacing w:before="120" w:after="120"/>
        <w:ind w:firstLine="482"/>
      </w:pPr>
      <w:r w:rsidRPr="00DA3766">
        <w:t>2</w:t>
      </w:r>
      <w:r w:rsidRPr="00DA3766">
        <w:t>、</w:t>
      </w:r>
      <w:r w:rsidR="00BE0CD0" w:rsidRPr="00DA3766">
        <w:t>承诺净利润的核算口径同收益法评估存在差异的</w:t>
      </w:r>
      <w:r w:rsidRPr="00DA3766">
        <w:t>原因及合理性</w:t>
      </w:r>
    </w:p>
    <w:p w14:paraId="2E0D611D" w14:textId="2AED29ED" w:rsidR="00B47A58" w:rsidRPr="00DA3766" w:rsidRDefault="00BE0CD0" w:rsidP="00B47A58">
      <w:pPr>
        <w:pStyle w:val="005"/>
        <w:spacing w:before="120" w:after="120"/>
        <w:ind w:firstLine="480"/>
      </w:pPr>
      <w:r w:rsidRPr="00DA3766">
        <w:t>根据上市公司与业绩承诺方签署的《业绩承诺补偿协议书》，本次交易的承诺净利润为合并报表中归属于母公司所有者的净利润（按扣除非经常性损益原则确定）与经上市公司书面认可并与目标公司研发相关的政府补助（即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企业奖补资金安排计划未来取得的政府补助）之和，与收益法评估存在差异，具体原因及合理性如下：</w:t>
      </w:r>
    </w:p>
    <w:p w14:paraId="08EFBDA5" w14:textId="6C8619B5" w:rsidR="00BE0CD0" w:rsidRPr="00DA3766" w:rsidRDefault="00BE0CD0" w:rsidP="001076ED">
      <w:pPr>
        <w:pStyle w:val="005"/>
        <w:keepNext/>
        <w:keepLines/>
        <w:spacing w:before="120" w:after="120"/>
        <w:ind w:firstLine="482"/>
        <w:rPr>
          <w:b/>
          <w:bCs/>
        </w:rPr>
      </w:pPr>
      <w:r w:rsidRPr="00DA3766">
        <w:rPr>
          <w:b/>
          <w:bCs/>
        </w:rPr>
        <w:t>（</w:t>
      </w:r>
      <w:r w:rsidRPr="00DA3766">
        <w:rPr>
          <w:b/>
          <w:bCs/>
        </w:rPr>
        <w:t>1</w:t>
      </w:r>
      <w:r w:rsidRPr="00DA3766">
        <w:rPr>
          <w:b/>
          <w:bCs/>
        </w:rPr>
        <w:t>）差异</w:t>
      </w:r>
      <w:r w:rsidR="00455E1C" w:rsidRPr="00DA3766">
        <w:rPr>
          <w:b/>
          <w:bCs/>
        </w:rPr>
        <w:t>及差异</w:t>
      </w:r>
      <w:r w:rsidRPr="00DA3766">
        <w:rPr>
          <w:b/>
          <w:bCs/>
        </w:rPr>
        <w:t>原因</w:t>
      </w:r>
    </w:p>
    <w:p w14:paraId="2D050D3D" w14:textId="2624986C" w:rsidR="00BE0CD0" w:rsidRPr="00DA3766" w:rsidRDefault="001E393D" w:rsidP="00BE0CD0">
      <w:pPr>
        <w:pStyle w:val="005"/>
        <w:spacing w:before="120" w:after="120"/>
        <w:ind w:firstLine="480"/>
      </w:pPr>
      <w:r w:rsidRPr="00DA3766">
        <w:rPr>
          <w:rFonts w:ascii="宋体" w:hAnsi="宋体" w:cs="宋体" w:hint="eastAsia"/>
        </w:rPr>
        <w:t>①</w:t>
      </w:r>
      <w:r w:rsidR="00BE0CD0" w:rsidRPr="00DA3766">
        <w:t>收益法评估中对少数股权价值的</w:t>
      </w:r>
      <w:r w:rsidR="0087437F" w:rsidRPr="00DA3766">
        <w:t>处理</w:t>
      </w:r>
      <w:r w:rsidR="00BE0CD0" w:rsidRPr="00DA3766">
        <w:t>方式为测算</w:t>
      </w:r>
      <w:r w:rsidR="0087437F" w:rsidRPr="00DA3766">
        <w:t>标的公司</w:t>
      </w:r>
      <w:r w:rsidR="00BE0CD0" w:rsidRPr="00DA3766">
        <w:t>整体股权价值后</w:t>
      </w:r>
      <w:r w:rsidR="0087437F" w:rsidRPr="00DA3766">
        <w:t>扣减下属非全资控股子公司对应的</w:t>
      </w:r>
      <w:r w:rsidR="00BE0CD0" w:rsidRPr="00DA3766">
        <w:t>少数股权权益价值，因此收益法</w:t>
      </w:r>
      <w:r w:rsidR="0087437F" w:rsidRPr="00DA3766">
        <w:t>评估中预测</w:t>
      </w:r>
      <w:r w:rsidR="00BE0CD0" w:rsidRPr="00DA3766">
        <w:t>净利润未</w:t>
      </w:r>
      <w:r w:rsidR="0087437F" w:rsidRPr="00DA3766">
        <w:t>考虑</w:t>
      </w:r>
      <w:r w:rsidR="00BE0CD0" w:rsidRPr="00DA3766">
        <w:t>少数股东损益</w:t>
      </w:r>
      <w:r w:rsidR="0087437F" w:rsidRPr="00DA3766">
        <w:t>的影响。</w:t>
      </w:r>
    </w:p>
    <w:p w14:paraId="31AD4E26" w14:textId="51165DDF" w:rsidR="0087437F" w:rsidRPr="00DA3766" w:rsidRDefault="001E393D" w:rsidP="00BE0CD0">
      <w:pPr>
        <w:pStyle w:val="005"/>
        <w:spacing w:before="120" w:after="120"/>
        <w:ind w:firstLine="480"/>
      </w:pPr>
      <w:r w:rsidRPr="00DA3766">
        <w:rPr>
          <w:rFonts w:ascii="宋体" w:hAnsi="宋体" w:cs="宋体" w:hint="eastAsia"/>
        </w:rPr>
        <w:t>②</w:t>
      </w:r>
      <w:r w:rsidR="0087437F" w:rsidRPr="00DA3766">
        <w:t>基于</w:t>
      </w:r>
      <w:r w:rsidR="00E63C4A" w:rsidRPr="00DA3766">
        <w:t>谨慎性</w:t>
      </w:r>
      <w:r w:rsidR="0087437F" w:rsidRPr="00DA3766">
        <w:t>考虑，收益法评估预测净利润在</w:t>
      </w:r>
      <w:r w:rsidR="0087437F" w:rsidRPr="00DA3766">
        <w:t>2025</w:t>
      </w:r>
      <w:r w:rsidR="0087437F" w:rsidRPr="00DA3766">
        <w:t>年下半年及后续预测期内均未对非经常性损益进行预测。</w:t>
      </w:r>
    </w:p>
    <w:p w14:paraId="449C3886" w14:textId="233AFD13" w:rsidR="00A82FE3" w:rsidRPr="00DA3766" w:rsidRDefault="001E393D" w:rsidP="00BE0CD0">
      <w:pPr>
        <w:pStyle w:val="005"/>
        <w:spacing w:before="120" w:after="120"/>
        <w:ind w:firstLine="480"/>
      </w:pPr>
      <w:r w:rsidRPr="00DA3766">
        <w:rPr>
          <w:rFonts w:ascii="宋体" w:hAnsi="宋体" w:cs="宋体" w:hint="eastAsia"/>
        </w:rPr>
        <w:t>③</w:t>
      </w:r>
      <w:r w:rsidR="00BE0CD0" w:rsidRPr="00DA3766">
        <w:t>收益法</w:t>
      </w:r>
      <w:r w:rsidR="0087437F" w:rsidRPr="00DA3766">
        <w:t>评估</w:t>
      </w:r>
      <w:r w:rsidR="00BE0CD0" w:rsidRPr="00DA3766">
        <w:t>中对于</w:t>
      </w:r>
      <w:r w:rsidR="0087437F" w:rsidRPr="00DA3766">
        <w:t>标的公司</w:t>
      </w:r>
      <w:r w:rsidR="00BE0CD0" w:rsidRPr="00DA3766">
        <w:t>历史年度</w:t>
      </w:r>
      <w:r w:rsidR="0087437F" w:rsidRPr="00DA3766">
        <w:t>形成</w:t>
      </w:r>
      <w:r w:rsidR="00BE0CD0" w:rsidRPr="00DA3766">
        <w:t>可弥补亏损</w:t>
      </w:r>
      <w:r w:rsidR="0087437F" w:rsidRPr="00DA3766">
        <w:t>在应交所得税预测中抵减，可弥补亏损形成的递延所得税资产评估为零</w:t>
      </w:r>
      <w:r w:rsidR="00BE0CD0" w:rsidRPr="00DA3766">
        <w:t>。</w:t>
      </w:r>
      <w:r w:rsidR="00A82FE3" w:rsidRPr="00DA3766">
        <w:t>承诺净利润口径</w:t>
      </w:r>
      <w:r w:rsidR="00BE0CD0" w:rsidRPr="00DA3766">
        <w:t>则</w:t>
      </w:r>
      <w:r w:rsidR="00A82FE3" w:rsidRPr="00DA3766">
        <w:t>因标的公司</w:t>
      </w:r>
      <w:r w:rsidR="00BE0CD0" w:rsidRPr="00DA3766">
        <w:t>可弥补亏损</w:t>
      </w:r>
      <w:r w:rsidR="00A82FE3" w:rsidRPr="00DA3766">
        <w:t>形成</w:t>
      </w:r>
      <w:r w:rsidR="00BE0CD0" w:rsidRPr="00DA3766">
        <w:t>的递延所得税资产</w:t>
      </w:r>
      <w:r w:rsidR="00A82FE3" w:rsidRPr="00DA3766">
        <w:t>在未来实现盈利年度相应递减所得税费</w:t>
      </w:r>
      <w:r w:rsidR="00A82FE3" w:rsidRPr="00DA3766">
        <w:lastRenderedPageBreak/>
        <w:t>用，进而导致收益法口径及承诺净利润口径存在差异。</w:t>
      </w:r>
    </w:p>
    <w:p w14:paraId="0D48FDD7" w14:textId="7AADEAF2" w:rsidR="00BE0CD0" w:rsidRPr="00DA3766" w:rsidRDefault="00BE0CD0" w:rsidP="00B47A58">
      <w:pPr>
        <w:pStyle w:val="005"/>
        <w:spacing w:before="120" w:after="120"/>
        <w:ind w:firstLine="482"/>
        <w:rPr>
          <w:b/>
          <w:bCs/>
        </w:rPr>
      </w:pPr>
      <w:r w:rsidRPr="00DA3766">
        <w:rPr>
          <w:b/>
          <w:bCs/>
        </w:rPr>
        <w:t>（</w:t>
      </w:r>
      <w:r w:rsidRPr="00DA3766">
        <w:rPr>
          <w:b/>
          <w:bCs/>
        </w:rPr>
        <w:t>2</w:t>
      </w:r>
      <w:r w:rsidRPr="00DA3766">
        <w:rPr>
          <w:b/>
          <w:bCs/>
        </w:rPr>
        <w:t>）差异合理性</w:t>
      </w:r>
    </w:p>
    <w:p w14:paraId="02F16A7A" w14:textId="394631B6" w:rsidR="00BE0CD0" w:rsidRPr="00DA3766" w:rsidRDefault="001E393D" w:rsidP="00BE0CD0">
      <w:pPr>
        <w:pStyle w:val="005"/>
        <w:spacing w:before="120" w:after="120"/>
        <w:ind w:firstLine="480"/>
      </w:pPr>
      <w:r w:rsidRPr="00DA3766">
        <w:rPr>
          <w:rFonts w:ascii="宋体" w:hAnsi="宋体" w:cs="宋体" w:hint="eastAsia"/>
        </w:rPr>
        <w:t>①</w:t>
      </w:r>
      <w:r w:rsidR="00A82FE3" w:rsidRPr="00DA3766">
        <w:t>收益法评估</w:t>
      </w:r>
      <w:r w:rsidR="00BE0CD0" w:rsidRPr="00DA3766">
        <w:t>对于标的公司股权价值的测算采用整体股权价值</w:t>
      </w:r>
      <w:r w:rsidR="00A82FE3" w:rsidRPr="00DA3766">
        <w:t>扣减</w:t>
      </w:r>
      <w:r w:rsidR="00BE0CD0" w:rsidRPr="00DA3766">
        <w:t>少数股权价值的</w:t>
      </w:r>
      <w:r w:rsidR="00A82FE3" w:rsidRPr="00DA3766">
        <w:t>方法</w:t>
      </w:r>
      <w:r w:rsidR="007B0B46" w:rsidRPr="00DA3766">
        <w:t>，</w:t>
      </w:r>
      <w:r w:rsidR="00BE0CD0" w:rsidRPr="00DA3766">
        <w:t>较之测算少数股东损益后计算归</w:t>
      </w:r>
      <w:r w:rsidR="00A82FE3" w:rsidRPr="00DA3766">
        <w:t>属于</w:t>
      </w:r>
      <w:r w:rsidR="00BE0CD0" w:rsidRPr="00DA3766">
        <w:t>母</w:t>
      </w:r>
      <w:r w:rsidR="00A82FE3" w:rsidRPr="00DA3766">
        <w:t>公司股东</w:t>
      </w:r>
      <w:r w:rsidR="00BE0CD0" w:rsidRPr="00DA3766">
        <w:t>净利润进行</w:t>
      </w:r>
      <w:r w:rsidR="00A82FE3" w:rsidRPr="00DA3766">
        <w:t>测算</w:t>
      </w:r>
      <w:r w:rsidR="00BE0CD0" w:rsidRPr="00DA3766">
        <w:t>，</w:t>
      </w:r>
      <w:r w:rsidR="00EB3B4C" w:rsidRPr="00DA3766">
        <w:t>在少数股东股权比例相对较大且参与子公司整体经营时对于子公司的价值估算更准确。本次评估中，子公司广州宝点对于合并净利润贡献占比超过</w:t>
      </w:r>
      <w:r w:rsidR="00EB3B4C" w:rsidRPr="00DA3766">
        <w:t>20%</w:t>
      </w:r>
      <w:r w:rsidR="00EB3B4C" w:rsidRPr="00DA3766">
        <w:t>且少数股权比例超过</w:t>
      </w:r>
      <w:r w:rsidR="00EB3B4C" w:rsidRPr="00DA3766">
        <w:t>40%</w:t>
      </w:r>
      <w:r w:rsidR="00EB3B4C" w:rsidRPr="00DA3766">
        <w:t>，因此采用整体股权价值扣减少数股权价值的方法具备合理性</w:t>
      </w:r>
      <w:r w:rsidR="00BE0CD0" w:rsidRPr="00DA3766">
        <w:t>。</w:t>
      </w:r>
    </w:p>
    <w:p w14:paraId="05E9B7BA" w14:textId="5E40DA08" w:rsidR="00455E1C" w:rsidRPr="00DA3766" w:rsidRDefault="001E393D" w:rsidP="00BE0CD0">
      <w:pPr>
        <w:pStyle w:val="005"/>
        <w:spacing w:before="120" w:after="120"/>
        <w:ind w:firstLine="480"/>
      </w:pPr>
      <w:r w:rsidRPr="00DA3766">
        <w:rPr>
          <w:rFonts w:ascii="宋体" w:hAnsi="宋体" w:cs="宋体" w:hint="eastAsia"/>
        </w:rPr>
        <w:t>②</w:t>
      </w:r>
      <w:r w:rsidR="00455E1C" w:rsidRPr="00DA3766">
        <w:t>标的公司报告期内的非经常性损益主要包括处置长期股权投资产生的投资收益、计入当期损益的政府补助和单独进行减值测试的应收及其他应收款项减值准备转回等</w:t>
      </w:r>
      <w:r w:rsidR="00DB2FC5" w:rsidRPr="00DA3766">
        <w:t>，</w:t>
      </w:r>
      <w:r w:rsidR="00455E1C" w:rsidRPr="00DA3766">
        <w:t>未来不确定性</w:t>
      </w:r>
      <w:r w:rsidR="00DB2FC5" w:rsidRPr="00DA3766">
        <w:t>较</w:t>
      </w:r>
      <w:r w:rsidR="00455E1C" w:rsidRPr="00DA3766">
        <w:t>强，无法预计，本次</w:t>
      </w:r>
      <w:r w:rsidR="00DB2FC5" w:rsidRPr="00DA3766">
        <w:t>收益法评估</w:t>
      </w:r>
      <w:r w:rsidR="00455E1C" w:rsidRPr="00DA3766">
        <w:t>均未予考虑</w:t>
      </w:r>
      <w:r w:rsidR="00DB2FC5" w:rsidRPr="00DA3766">
        <w:t>，具备合理性</w:t>
      </w:r>
      <w:r w:rsidR="00455E1C" w:rsidRPr="00DA3766">
        <w:t>。</w:t>
      </w:r>
    </w:p>
    <w:p w14:paraId="094C4E22" w14:textId="77FD7FFC" w:rsidR="00BE0CD0" w:rsidRPr="00DA3766" w:rsidRDefault="001E393D" w:rsidP="00BE0CD0">
      <w:pPr>
        <w:pStyle w:val="005"/>
        <w:spacing w:before="120" w:after="120"/>
        <w:ind w:firstLine="480"/>
      </w:pPr>
      <w:r w:rsidRPr="00DA3766">
        <w:rPr>
          <w:rFonts w:ascii="宋体" w:hAnsi="宋体" w:cs="宋体" w:hint="eastAsia"/>
        </w:rPr>
        <w:t>③</w:t>
      </w:r>
      <w:r w:rsidR="00455E1C" w:rsidRPr="00DA3766">
        <w:t>收益法评估中对于标的公司历史年度形成可弥补亏损在应交所得税预测中抵减以预测未来现金流量，</w:t>
      </w:r>
      <w:r w:rsidR="00A82FE3" w:rsidRPr="00DA3766">
        <w:t>相较于</w:t>
      </w:r>
      <w:r w:rsidR="00455E1C" w:rsidRPr="00DA3766">
        <w:t>将可弥补亏损形成</w:t>
      </w:r>
      <w:r w:rsidR="00BE0CD0" w:rsidRPr="00DA3766">
        <w:t>递延所得税资产纳入非经营性资产</w:t>
      </w:r>
      <w:r w:rsidR="00455E1C" w:rsidRPr="00DA3766">
        <w:t>后</w:t>
      </w:r>
      <w:r w:rsidR="00BE0CD0" w:rsidRPr="00DA3766">
        <w:t>加回</w:t>
      </w:r>
      <w:r w:rsidR="00455E1C" w:rsidRPr="00DA3766">
        <w:t>计算</w:t>
      </w:r>
      <w:r w:rsidR="00BE0CD0" w:rsidRPr="00DA3766">
        <w:t>整体估值并在预测期内计算所得税金额调整</w:t>
      </w:r>
      <w:r w:rsidR="00455E1C" w:rsidRPr="00DA3766">
        <w:t>预测</w:t>
      </w:r>
      <w:r w:rsidR="00BE0CD0" w:rsidRPr="00DA3766">
        <w:t>净利润的方式</w:t>
      </w:r>
      <w:r w:rsidR="00455E1C" w:rsidRPr="00DA3766">
        <w:t>更为谨慎，前者</w:t>
      </w:r>
      <w:r w:rsidR="00BE0CD0" w:rsidRPr="00DA3766">
        <w:t>对可弥补亏损金额考虑了折现的影响</w:t>
      </w:r>
      <w:r w:rsidR="00455E1C" w:rsidRPr="00DA3766">
        <w:t>，</w:t>
      </w:r>
      <w:r w:rsidR="00BE0CD0" w:rsidRPr="00DA3766">
        <w:t>具备合理性</w:t>
      </w:r>
      <w:r w:rsidR="00455E1C" w:rsidRPr="00DA3766">
        <w:t>。</w:t>
      </w:r>
    </w:p>
    <w:p w14:paraId="19085957" w14:textId="77777777" w:rsidR="00B47A58" w:rsidRPr="00DA3766" w:rsidRDefault="00B47A58" w:rsidP="00B47A58">
      <w:pPr>
        <w:pStyle w:val="004"/>
        <w:spacing w:before="120" w:after="120"/>
        <w:ind w:firstLine="482"/>
      </w:pPr>
      <w:r w:rsidRPr="00DA3766">
        <w:t>3</w:t>
      </w:r>
      <w:r w:rsidRPr="00DA3766">
        <w:t>、是否存在利用相关补助帮助实现业绩承诺、逃避补偿业务的情形</w:t>
      </w:r>
    </w:p>
    <w:p w14:paraId="2E88AE13" w14:textId="1426278F" w:rsidR="001E393D" w:rsidRPr="00DA3766" w:rsidRDefault="00B47A58" w:rsidP="00903080">
      <w:pPr>
        <w:pStyle w:val="005"/>
        <w:spacing w:before="120" w:after="120"/>
        <w:ind w:firstLine="480"/>
      </w:pPr>
      <w:r w:rsidRPr="00DA3766">
        <w:t>本次业绩承诺中相关政府补助仅包括依据中央财政支持新一轮第一批重点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企业奖补资金安排计划未来取得的政府补助，是否取得仍存在一定不确定性</w:t>
      </w:r>
      <w:r w:rsidR="00903080" w:rsidRPr="00DA3766">
        <w:t>。此外，根据奖补资金安排计划，标的公司仅于</w:t>
      </w:r>
      <w:r w:rsidR="00903080" w:rsidRPr="00DA3766">
        <w:t>2025</w:t>
      </w:r>
      <w:r w:rsidR="00903080" w:rsidRPr="00DA3766">
        <w:t>年收到第一笔奖补资金</w:t>
      </w:r>
      <w:r w:rsidR="00903080" w:rsidRPr="00DA3766">
        <w:t>285</w:t>
      </w:r>
      <w:r w:rsidR="00903080" w:rsidRPr="00DA3766">
        <w:t>万元，占</w:t>
      </w:r>
      <w:r w:rsidR="00903080" w:rsidRPr="00DA3766">
        <w:t>2025</w:t>
      </w:r>
      <w:r w:rsidR="00903080" w:rsidRPr="00DA3766">
        <w:t>年</w:t>
      </w:r>
      <w:r w:rsidR="00F973A5" w:rsidRPr="00DA3766">
        <w:t>半年度</w:t>
      </w:r>
      <w:r w:rsidR="00903080" w:rsidRPr="00DA3766">
        <w:t>度净利润的比例</w:t>
      </w:r>
      <w:r w:rsidR="00F973A5" w:rsidRPr="00DA3766">
        <w:t>4.72%</w:t>
      </w:r>
      <w:r w:rsidR="00F973A5" w:rsidRPr="00DA3766">
        <w:t>，占比较小</w:t>
      </w:r>
      <w:r w:rsidR="00176D50" w:rsidRPr="00DA3766">
        <w:t>，随着标的公司</w:t>
      </w:r>
      <w:r w:rsidR="00176D50" w:rsidRPr="00DA3766">
        <w:t>2025</w:t>
      </w:r>
      <w:r w:rsidR="00176D50" w:rsidRPr="00DA3766">
        <w:t>年全年业绩实现，上述比例将进一步减小</w:t>
      </w:r>
      <w:r w:rsidR="00F973A5" w:rsidRPr="00DA3766">
        <w:t>。</w:t>
      </w:r>
    </w:p>
    <w:p w14:paraId="78B7E208" w14:textId="2777807B" w:rsidR="00B47A58" w:rsidRPr="00DA3766" w:rsidRDefault="00F973A5" w:rsidP="00903080">
      <w:pPr>
        <w:pStyle w:val="005"/>
        <w:spacing w:before="120" w:after="120"/>
        <w:ind w:firstLine="480"/>
      </w:pPr>
      <w:r w:rsidRPr="00DA3766">
        <w:t>因此，本次交易中关于承诺净利润的设计</w:t>
      </w:r>
      <w:r w:rsidR="00B47A58" w:rsidRPr="00DA3766">
        <w:t>不存在利用相关补助帮助实现业绩承诺、逃避补偿业务的情形。</w:t>
      </w:r>
    </w:p>
    <w:p w14:paraId="380B42FC" w14:textId="7EE853B8" w:rsidR="00B47A58" w:rsidRPr="00DA3766" w:rsidRDefault="00B47A58" w:rsidP="00B47A58">
      <w:pPr>
        <w:pStyle w:val="004"/>
        <w:spacing w:before="120" w:after="120"/>
        <w:ind w:firstLine="482"/>
      </w:pPr>
      <w:r w:rsidRPr="00DA3766">
        <w:t>4</w:t>
      </w:r>
      <w:r w:rsidRPr="00DA3766">
        <w:t>、业绩承诺方案是否有利于</w:t>
      </w:r>
      <w:bookmarkStart w:id="128" w:name="OLE_LINK122"/>
      <w:r w:rsidRPr="00DA3766">
        <w:t>保护上市公司及中小股东利益</w:t>
      </w:r>
      <w:bookmarkEnd w:id="128"/>
    </w:p>
    <w:p w14:paraId="397E5517" w14:textId="31CE9872" w:rsidR="00B47A58" w:rsidRPr="00DA3766" w:rsidRDefault="00B47A58" w:rsidP="00B47A58">
      <w:pPr>
        <w:pStyle w:val="005"/>
        <w:spacing w:before="120" w:after="120"/>
        <w:ind w:firstLine="480"/>
      </w:pPr>
      <w:r w:rsidRPr="00DA3766">
        <w:t>如前所述，</w:t>
      </w:r>
      <w:r w:rsidR="00BE0CD0" w:rsidRPr="00DA3766">
        <w:t>本次交易的交易对方非上市公司控股股东、实际控制人或者其控制关联人，且本次交易未导致上市公司控制权发生变更，不属于法定要求进行业绩承诺的范围。上市公司与交易对方根据市场化原则，充分协商后确定采取业绩</w:t>
      </w:r>
      <w:r w:rsidR="00BE0CD0" w:rsidRPr="00DA3766">
        <w:lastRenderedPageBreak/>
        <w:t>承诺、补偿措施等相关安排，有利于保护上市公司及中小股东利益。</w:t>
      </w:r>
    </w:p>
    <w:p w14:paraId="45B26802" w14:textId="598B976F" w:rsidR="00A97F69" w:rsidRPr="00DA3766" w:rsidRDefault="009402C6" w:rsidP="00A97F69">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Pr="00DA3766">
        <w:t>（八）业绩承诺及补偿安排</w:t>
      </w:r>
      <w:r w:rsidRPr="00DA3766">
        <w:rPr>
          <w:rFonts w:ascii="宋体" w:hAnsi="宋体"/>
        </w:rPr>
        <w:t>”</w:t>
      </w:r>
      <w:r w:rsidRPr="00DA3766">
        <w:t>补充披露。</w:t>
      </w:r>
      <w:bookmarkEnd w:id="121"/>
    </w:p>
    <w:p w14:paraId="7B682511" w14:textId="2B074306" w:rsidR="00347AEF" w:rsidRPr="00DA3766" w:rsidRDefault="00347AEF" w:rsidP="00347AEF">
      <w:pPr>
        <w:pStyle w:val="002"/>
        <w:spacing w:before="120" w:after="120"/>
        <w:ind w:firstLine="482"/>
      </w:pPr>
      <w:r w:rsidRPr="00DA3766">
        <w:t>三、</w:t>
      </w:r>
      <w:bookmarkStart w:id="129" w:name="_Hlk219323331"/>
      <w:r w:rsidRPr="00DA3766">
        <w:t>量</w:t>
      </w:r>
      <w:bookmarkStart w:id="130" w:name="OLE_LINK7"/>
      <w:r w:rsidRPr="00DA3766">
        <w:t>化测算最高业绩补偿额的补充覆盖率</w:t>
      </w:r>
      <w:bookmarkEnd w:id="129"/>
      <w:bookmarkEnd w:id="130"/>
      <w:r w:rsidRPr="00DA3766">
        <w:t>，并进行针对性风险提示。</w:t>
      </w:r>
    </w:p>
    <w:p w14:paraId="1B4DE742" w14:textId="21A4158E" w:rsidR="00BD572F" w:rsidRPr="00DA3766" w:rsidRDefault="00BD572F" w:rsidP="00BD572F">
      <w:pPr>
        <w:pStyle w:val="003"/>
        <w:spacing w:before="120" w:after="120"/>
        <w:ind w:firstLine="482"/>
      </w:pPr>
      <w:r w:rsidRPr="00DA3766">
        <w:t>（一）量化测算最高业绩补偿额的补充覆盖率</w:t>
      </w:r>
    </w:p>
    <w:p w14:paraId="538AE779" w14:textId="73D26DB5" w:rsidR="00396A3E" w:rsidRPr="00DA3766" w:rsidRDefault="00396A3E" w:rsidP="00396A3E">
      <w:pPr>
        <w:pStyle w:val="005"/>
        <w:spacing w:before="120" w:after="120"/>
        <w:ind w:firstLine="480"/>
      </w:pPr>
      <w:bookmarkStart w:id="131" w:name="_Hlk219323346"/>
      <w:r w:rsidRPr="00DA3766">
        <w:t>根据上市公司与业绩承诺方签署的《业绩承诺补偿协议书》，业绩补偿义务方最高业绩补偿额</w:t>
      </w:r>
      <w:r w:rsidRPr="00DA3766">
        <w:t>=12</w:t>
      </w:r>
      <w:r w:rsidRPr="00DA3766">
        <w:t>亿（根据目标公司综合估值</w:t>
      </w:r>
      <w:r w:rsidRPr="00DA3766">
        <w:t>12.0583</w:t>
      </w:r>
      <w:r w:rsidRPr="00DA3766">
        <w:t>亿元取整确定）</w:t>
      </w:r>
      <w:r w:rsidRPr="00DA3766">
        <w:t>*</w:t>
      </w:r>
      <w:r w:rsidRPr="00DA3766">
        <w:t>业绩补偿义务方向甲方转让的股比总数</w:t>
      </w:r>
      <w:r w:rsidRPr="00DA3766">
        <w:t>-</w:t>
      </w:r>
      <w:r w:rsidRPr="00DA3766">
        <w:t>业绩补偿义务方就本次交易取得的现金对价</w:t>
      </w:r>
      <w:r w:rsidRPr="00DA3766">
        <w:t>*20%</w:t>
      </w:r>
      <w:r w:rsidRPr="00DA3766">
        <w:t>（本次交易取得的现金对价的税费）。双方确认，各业绩补偿义务方就本次交易向甲方承担的业绩补偿金额及减值补偿金额之和以前述业绩补偿义务方最高业绩补偿额为限。</w:t>
      </w:r>
      <w:r w:rsidR="00404494" w:rsidRPr="00DA3766">
        <w:t>业绩补偿义务方合计持有标的公司股权比例为</w:t>
      </w:r>
      <w:r w:rsidR="00404494" w:rsidRPr="00DA3766">
        <w:t>46.71%</w:t>
      </w:r>
      <w:r w:rsidR="00404494" w:rsidRPr="00DA3766">
        <w:t>，以上述公式计算本次交易业绩补偿义务方最高业绩补偿额为</w:t>
      </w:r>
      <w:r w:rsidR="00404494" w:rsidRPr="00DA3766">
        <w:t>48,521.91</w:t>
      </w:r>
      <w:r w:rsidR="00404494" w:rsidRPr="00DA3766">
        <w:t>万元，对于交易总对价</w:t>
      </w:r>
      <w:r w:rsidR="00404494" w:rsidRPr="00DA3766">
        <w:t>118,850.53</w:t>
      </w:r>
      <w:r w:rsidR="00404494" w:rsidRPr="00DA3766">
        <w:t>万元的业绩补偿覆盖率为</w:t>
      </w:r>
      <w:r w:rsidR="00404494" w:rsidRPr="00DA3766">
        <w:t>40.83%</w:t>
      </w:r>
      <w:r w:rsidR="00404494" w:rsidRPr="00DA3766">
        <w:t>。</w:t>
      </w:r>
      <w:bookmarkEnd w:id="131"/>
    </w:p>
    <w:p w14:paraId="5E54C258" w14:textId="79B5AA93" w:rsidR="00E22816" w:rsidRPr="00DA3766" w:rsidRDefault="009402C6" w:rsidP="00E22816">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Pr="00DA3766">
        <w:t>（八）业绩承诺及补偿安排</w:t>
      </w:r>
      <w:r w:rsidRPr="00DA3766">
        <w:rPr>
          <w:rFonts w:ascii="宋体" w:hAnsi="宋体"/>
        </w:rPr>
        <w:t>”</w:t>
      </w:r>
      <w:r w:rsidRPr="00DA3766">
        <w:t>补充披露。</w:t>
      </w:r>
    </w:p>
    <w:p w14:paraId="3A85FD68" w14:textId="3B7A9D8B" w:rsidR="00BD572F" w:rsidRPr="00DA3766" w:rsidRDefault="00BD572F" w:rsidP="00BD572F">
      <w:pPr>
        <w:pStyle w:val="003"/>
        <w:spacing w:before="120" w:after="120"/>
        <w:ind w:firstLine="482"/>
      </w:pPr>
      <w:r w:rsidRPr="00DA3766">
        <w:t>（二）针对性风险提示</w:t>
      </w:r>
    </w:p>
    <w:p w14:paraId="11836982" w14:textId="116748DB" w:rsidR="00BD572F" w:rsidRPr="00DA3766" w:rsidRDefault="00BD572F" w:rsidP="00BD572F">
      <w:pPr>
        <w:pStyle w:val="005"/>
        <w:spacing w:before="120" w:after="120"/>
        <w:ind w:firstLine="480"/>
      </w:pPr>
      <w:bookmarkStart w:id="132" w:name="OLE_LINK25"/>
      <w:r w:rsidRPr="00DA3766">
        <w:t>上市公司已在</w:t>
      </w:r>
      <w:r w:rsidR="00F32A32" w:rsidRPr="00DA3766">
        <w:t>《重组报告书》</w:t>
      </w:r>
      <w:r w:rsidRPr="00DA3766">
        <w:rPr>
          <w:rFonts w:ascii="宋体" w:hAnsi="宋体"/>
        </w:rPr>
        <w:t>“</w:t>
      </w:r>
      <w:r w:rsidRPr="00DA3766">
        <w:t>重大风险提示</w:t>
      </w:r>
      <w:r w:rsidRPr="00DA3766">
        <w:rPr>
          <w:rFonts w:ascii="宋体" w:hAnsi="宋体"/>
        </w:rPr>
        <w:t>”</w:t>
      </w:r>
      <w:r w:rsidRPr="00DA3766">
        <w:t>及</w:t>
      </w:r>
      <w:r w:rsidRPr="00DA3766">
        <w:rPr>
          <w:rFonts w:ascii="宋体" w:hAnsi="宋体"/>
        </w:rPr>
        <w:t>“</w:t>
      </w:r>
      <w:r w:rsidRPr="00DA3766">
        <w:t>第十二节</w:t>
      </w:r>
      <w:r w:rsidRPr="00DA3766">
        <w:t xml:space="preserve"> </w:t>
      </w:r>
      <w:r w:rsidRPr="00DA3766">
        <w:t>风险因素</w:t>
      </w:r>
      <w:r w:rsidRPr="00DA3766">
        <w:rPr>
          <w:rFonts w:ascii="宋体" w:hAnsi="宋体"/>
        </w:rPr>
        <w:t>”</w:t>
      </w:r>
      <w:r w:rsidRPr="00DA3766">
        <w:t>补充披露</w:t>
      </w:r>
      <w:bookmarkEnd w:id="132"/>
      <w:r w:rsidRPr="00DA3766">
        <w:t>，内容如下：</w:t>
      </w:r>
    </w:p>
    <w:p w14:paraId="57BEDCBE" w14:textId="159E55AE" w:rsidR="00396A3E" w:rsidRPr="00DA3766" w:rsidRDefault="00396A3E" w:rsidP="00BD572F">
      <w:pPr>
        <w:pStyle w:val="005"/>
        <w:spacing w:before="120" w:after="120"/>
        <w:ind w:firstLine="480"/>
      </w:pPr>
      <w:bookmarkStart w:id="133" w:name="_Hlk219323433"/>
      <w:r w:rsidRPr="00DA3766">
        <w:t>为充分维护上市公司及中小股东的利益，本次交易方案设定了业绩补偿条款。本次交易标的资产的交易价格为</w:t>
      </w:r>
      <w:r w:rsidRPr="00DA3766">
        <w:t>118,850.53</w:t>
      </w:r>
      <w:r w:rsidRPr="00DA3766">
        <w:t>万元，业绩承诺方以其向上市公司转让的股权比例与</w:t>
      </w:r>
      <w:r w:rsidRPr="00DA3766">
        <w:t>12</w:t>
      </w:r>
      <w:r w:rsidRPr="00DA3766">
        <w:t>亿元（根据目标公司综合估值</w:t>
      </w:r>
      <w:r w:rsidRPr="00DA3766">
        <w:t>12.0583</w:t>
      </w:r>
      <w:r w:rsidRPr="00DA3766">
        <w:t>亿元取整确定）的乘积在扣除本次交易取得的现金对价的税费为补偿上限。本次交易的业绩补偿覆盖率为</w:t>
      </w:r>
      <w:r w:rsidRPr="00DA3766">
        <w:t>40.83%</w:t>
      </w:r>
      <w:r w:rsidRPr="00DA3766">
        <w:t>。若业绩承诺期间实现的净利润明显低于承诺净利润，存在业绩补偿金额无法覆盖全部交易对价的风险</w:t>
      </w:r>
      <w:r w:rsidR="00FF65F4" w:rsidRPr="00DA3766">
        <w:t>。</w:t>
      </w:r>
      <w:bookmarkEnd w:id="133"/>
    </w:p>
    <w:p w14:paraId="0D051EAC" w14:textId="3FE2AAF6" w:rsidR="00347AEF" w:rsidRPr="00DA3766" w:rsidRDefault="00347AEF" w:rsidP="00347AEF">
      <w:pPr>
        <w:pStyle w:val="002"/>
        <w:spacing w:before="120" w:after="120"/>
        <w:ind w:firstLine="482"/>
      </w:pPr>
      <w:r w:rsidRPr="00DA3766">
        <w:lastRenderedPageBreak/>
        <w:t>四、</w:t>
      </w:r>
      <w:bookmarkStart w:id="134" w:name="OLE_LINK2"/>
      <w:bookmarkStart w:id="135" w:name="OLE_LINK8"/>
      <w:bookmarkStart w:id="136" w:name="_Hlk219323476"/>
      <w:r w:rsidRPr="00DA3766">
        <w:t>业绩补偿期与过渡期存在重合的具体扣减安排</w:t>
      </w:r>
      <w:bookmarkEnd w:id="134"/>
      <w:r w:rsidRPr="00DA3766">
        <w:t>，并基于回函日时点情况补充披露业绩承诺期、过渡期损益的具</w:t>
      </w:r>
      <w:bookmarkEnd w:id="135"/>
      <w:r w:rsidRPr="00DA3766">
        <w:t>体安排，相关安排是否符合《监管规则适用指引</w:t>
      </w:r>
      <w:r w:rsidRPr="00DA3766">
        <w:t>——</w:t>
      </w:r>
      <w:r w:rsidRPr="00DA3766">
        <w:t>上市类第</w:t>
      </w:r>
      <w:r w:rsidRPr="00DA3766">
        <w:t>1</w:t>
      </w:r>
      <w:r w:rsidRPr="00DA3766">
        <w:t>号》的规定</w:t>
      </w:r>
      <w:bookmarkEnd w:id="136"/>
      <w:r w:rsidRPr="00DA3766">
        <w:t>。</w:t>
      </w:r>
    </w:p>
    <w:p w14:paraId="68624B04" w14:textId="60F0177B" w:rsidR="00BD572F" w:rsidRPr="00DA3766" w:rsidRDefault="00BD572F" w:rsidP="00BD572F">
      <w:pPr>
        <w:pStyle w:val="003"/>
        <w:spacing w:before="120" w:after="120"/>
        <w:ind w:firstLine="482"/>
      </w:pPr>
      <w:bookmarkStart w:id="137" w:name="_Hlk219323501"/>
      <w:r w:rsidRPr="00DA3766">
        <w:t>（一）</w:t>
      </w:r>
      <w:r w:rsidR="00304455" w:rsidRPr="00DA3766">
        <w:t>业绩补偿期与过渡期存在重合的具体扣减安排</w:t>
      </w:r>
      <w:r w:rsidR="00396A3E" w:rsidRPr="00DA3766">
        <w:t>符合《监管规则适用指引</w:t>
      </w:r>
      <w:r w:rsidR="00396A3E" w:rsidRPr="00DA3766">
        <w:t>——</w:t>
      </w:r>
      <w:r w:rsidR="00396A3E" w:rsidRPr="00DA3766">
        <w:t>上市类第</w:t>
      </w:r>
      <w:r w:rsidR="00396A3E" w:rsidRPr="00DA3766">
        <w:t>1</w:t>
      </w:r>
      <w:r w:rsidR="00396A3E" w:rsidRPr="00DA3766">
        <w:t>号》的规定</w:t>
      </w:r>
    </w:p>
    <w:p w14:paraId="002632D1" w14:textId="77777777" w:rsidR="00396A3E" w:rsidRPr="00DA3766" w:rsidRDefault="00396A3E" w:rsidP="00396A3E">
      <w:pPr>
        <w:pStyle w:val="004"/>
        <w:spacing w:before="120" w:after="120"/>
        <w:ind w:firstLine="482"/>
      </w:pPr>
      <w:r w:rsidRPr="00DA3766">
        <w:t>1</w:t>
      </w:r>
      <w:r w:rsidRPr="00DA3766">
        <w:t>、业绩补偿期与过渡期存在重合的具体扣减安排</w:t>
      </w:r>
    </w:p>
    <w:p w14:paraId="55A3B614" w14:textId="4E67AFC0" w:rsidR="00304455" w:rsidRPr="00DA3766" w:rsidRDefault="00304455" w:rsidP="00304455">
      <w:pPr>
        <w:pStyle w:val="005"/>
        <w:spacing w:before="120" w:after="120"/>
        <w:ind w:firstLine="480"/>
      </w:pPr>
      <w:r w:rsidRPr="00DA3766">
        <w:t>根据上市公司与相关方签署的《购买资产协议之补充协议》，本次重组所涉全部标的资产在过渡期内产生的收益由上市公司享有；本次重组所涉全部标的资产在过渡期内产生的亏损部分，由业绩承诺方按照本补充协议其各自转让的目标公司股权占业绩承诺方合计转让的标的公司股权的比例，以现金方式向目标公司补足。具体收益及亏损金额应按收购资产比例计算。若《业绩承诺补偿协议书》约定的业绩承诺期与补充协议约定的过渡期存在重合，且业绩补偿义务方已根据约定对过渡期损益进行补偿的，则在计算业绩补偿金额时应扣减前述已补偿的过渡期损益金额。</w:t>
      </w:r>
    </w:p>
    <w:p w14:paraId="2E2F5DBC" w14:textId="2A0DA666" w:rsidR="00304455" w:rsidRPr="00DA3766" w:rsidRDefault="00304455" w:rsidP="00304455">
      <w:pPr>
        <w:pStyle w:val="005"/>
        <w:spacing w:before="120" w:after="120"/>
        <w:ind w:firstLine="480"/>
      </w:pPr>
      <w:r w:rsidRPr="00DA3766">
        <w:t>根据上市公司与相关方签署的《业绩承诺补偿协议书》，如果业绩承诺补偿期与《购买资产协议》及《购买资产补充协议》约定的过渡期存在重合的，乙方已就过渡期内业绩承诺资产按照《购买资产协议》及《购买资产补充协议》过渡期损益安排进行补偿的，前述重合时间内的业绩补偿金额应当相应扣减</w:t>
      </w:r>
      <w:r w:rsidR="005B6FE9" w:rsidRPr="00DA3766">
        <w:t>。</w:t>
      </w:r>
    </w:p>
    <w:p w14:paraId="66A20A72" w14:textId="6108E6B4" w:rsidR="00304455" w:rsidRPr="00DA3766" w:rsidRDefault="00396A3E" w:rsidP="00396A3E">
      <w:pPr>
        <w:pStyle w:val="004"/>
        <w:spacing w:before="120" w:after="120"/>
        <w:ind w:firstLine="482"/>
      </w:pPr>
      <w:r w:rsidRPr="00DA3766">
        <w:t>2</w:t>
      </w:r>
      <w:r w:rsidRPr="00DA3766">
        <w:t>、业绩补偿期与过渡期存在重合的具体扣减安排</w:t>
      </w:r>
      <w:r w:rsidR="004A1CF9" w:rsidRPr="00DA3766">
        <w:t>符合《监管规则适用指引</w:t>
      </w:r>
      <w:r w:rsidR="004A1CF9" w:rsidRPr="00DA3766">
        <w:t>——</w:t>
      </w:r>
      <w:r w:rsidR="004A1CF9" w:rsidRPr="00DA3766">
        <w:t>上市类第</w:t>
      </w:r>
      <w:r w:rsidR="004A1CF9" w:rsidRPr="00DA3766">
        <w:t>1</w:t>
      </w:r>
      <w:r w:rsidR="004A1CF9" w:rsidRPr="00DA3766">
        <w:t>号》的规定</w:t>
      </w:r>
    </w:p>
    <w:p w14:paraId="0BCCEAC9" w14:textId="25AE0A18" w:rsidR="00396A3E" w:rsidRPr="00DA3766" w:rsidRDefault="00396A3E" w:rsidP="00396A3E">
      <w:pPr>
        <w:pStyle w:val="005"/>
        <w:spacing w:before="120" w:after="120"/>
        <w:ind w:firstLine="480"/>
      </w:pPr>
      <w:r w:rsidRPr="00DA3766">
        <w:t>《监管规则适用指引</w:t>
      </w:r>
      <w:r w:rsidRPr="00DA3766">
        <w:t>——</w:t>
      </w:r>
      <w:r w:rsidRPr="00DA3766">
        <w:t>上市类第</w:t>
      </w:r>
      <w:r w:rsidRPr="00DA3766">
        <w:t>1</w:t>
      </w:r>
      <w:r w:rsidRPr="00DA3766">
        <w:t>号》对业绩补偿的规定如下：</w:t>
      </w:r>
    </w:p>
    <w:p w14:paraId="4F57E55B" w14:textId="77777777" w:rsidR="00396A3E" w:rsidRPr="00DA3766" w:rsidRDefault="00396A3E" w:rsidP="00396A3E">
      <w:pPr>
        <w:pStyle w:val="005"/>
        <w:spacing w:before="120" w:after="120"/>
        <w:ind w:firstLine="480"/>
      </w:pPr>
      <w:r w:rsidRPr="00DA3766">
        <w:rPr>
          <w:rFonts w:ascii="宋体" w:hAnsi="宋体"/>
        </w:rPr>
        <w:t>“</w:t>
      </w:r>
      <w:r w:rsidRPr="00DA3766">
        <w:t xml:space="preserve">1-2 </w:t>
      </w:r>
      <w:r w:rsidRPr="00DA3766">
        <w:t>业绩补偿及奖励</w:t>
      </w:r>
      <w:r w:rsidRPr="00DA3766">
        <w:t>……</w:t>
      </w:r>
    </w:p>
    <w:p w14:paraId="7A06A0B5" w14:textId="77777777" w:rsidR="00396A3E" w:rsidRPr="00DA3766" w:rsidRDefault="00396A3E" w:rsidP="00396A3E">
      <w:pPr>
        <w:pStyle w:val="005"/>
        <w:spacing w:before="120" w:after="120"/>
        <w:ind w:firstLine="480"/>
      </w:pPr>
      <w:r w:rsidRPr="00DA3766">
        <w:t>（二）业绩补偿方式</w:t>
      </w:r>
    </w:p>
    <w:p w14:paraId="6B5038FC" w14:textId="77777777" w:rsidR="00396A3E" w:rsidRPr="00DA3766" w:rsidRDefault="00396A3E" w:rsidP="00396A3E">
      <w:pPr>
        <w:pStyle w:val="005"/>
        <w:spacing w:before="120" w:after="120"/>
        <w:ind w:firstLine="480"/>
      </w:pPr>
      <w:r w:rsidRPr="00DA3766">
        <w:t>交易对方为上市公司控股股东、实际控制人或者其控制的关联人，应当以其获得的股份和现金进行业绩补偿。构成重组上市的，应当以拟购买资产的价格进行业绩补偿计算，且股份补偿不低于本次交易发行股份数量的</w:t>
      </w:r>
      <w:r w:rsidRPr="00DA3766">
        <w:t>90%</w:t>
      </w:r>
      <w:r w:rsidRPr="00DA3766">
        <w:t>。业绩补偿应当先以股份补偿，不足部分以现金补偿。</w:t>
      </w:r>
    </w:p>
    <w:p w14:paraId="7FA717D9" w14:textId="77777777" w:rsidR="00396A3E" w:rsidRPr="00DA3766" w:rsidRDefault="00396A3E" w:rsidP="00396A3E">
      <w:pPr>
        <w:pStyle w:val="005"/>
        <w:spacing w:before="120" w:after="120"/>
        <w:ind w:firstLine="480"/>
      </w:pPr>
      <w:r w:rsidRPr="00DA3766">
        <w:lastRenderedPageBreak/>
        <w:t>交易对方以股份方式进行业绩补偿时，按照下列原则确定应补偿股份的数量及期限：</w:t>
      </w:r>
    </w:p>
    <w:p w14:paraId="484AED39" w14:textId="77777777" w:rsidR="00396A3E" w:rsidRPr="00DA3766" w:rsidRDefault="00396A3E" w:rsidP="00396A3E">
      <w:pPr>
        <w:pStyle w:val="005"/>
        <w:spacing w:before="120" w:after="120"/>
        <w:ind w:firstLine="480"/>
      </w:pPr>
      <w:r w:rsidRPr="00DA3766">
        <w:t>1.</w:t>
      </w:r>
      <w:r w:rsidRPr="00DA3766">
        <w:t>补偿股份数量的计算</w:t>
      </w:r>
    </w:p>
    <w:p w14:paraId="7D7B7440" w14:textId="77777777" w:rsidR="00396A3E" w:rsidRPr="00DA3766" w:rsidRDefault="00396A3E" w:rsidP="00396A3E">
      <w:pPr>
        <w:pStyle w:val="005"/>
        <w:spacing w:before="120" w:after="120"/>
        <w:ind w:firstLine="480"/>
      </w:pPr>
      <w:r w:rsidRPr="00DA3766">
        <w:t>（</w:t>
      </w:r>
      <w:r w:rsidRPr="00DA3766">
        <w:t>1</w:t>
      </w:r>
      <w:r w:rsidRPr="00DA3766">
        <w:t>）基本公式</w:t>
      </w:r>
    </w:p>
    <w:p w14:paraId="0427C592" w14:textId="77777777" w:rsidR="00396A3E" w:rsidRPr="00DA3766" w:rsidRDefault="00396A3E" w:rsidP="00396A3E">
      <w:pPr>
        <w:pStyle w:val="005"/>
        <w:spacing w:before="120" w:after="120"/>
        <w:ind w:firstLine="480"/>
      </w:pPr>
      <w:r w:rsidRPr="00DA3766">
        <w:t>1</w:t>
      </w:r>
      <w:r w:rsidRPr="00DA3766">
        <w:t>）以收益现值法、假设开发法等基于未来收益预期的估值方法对拟购买资产进行评估或估值的，每年补偿的股份数量为：</w:t>
      </w:r>
    </w:p>
    <w:p w14:paraId="04D33182" w14:textId="77777777" w:rsidR="00396A3E" w:rsidRPr="00DA3766" w:rsidRDefault="00396A3E" w:rsidP="00396A3E">
      <w:pPr>
        <w:pStyle w:val="005"/>
        <w:spacing w:before="120" w:after="120"/>
        <w:ind w:firstLine="480"/>
      </w:pPr>
      <w:r w:rsidRPr="00DA3766">
        <w:t>当期补偿金额</w:t>
      </w:r>
      <w:r w:rsidRPr="00DA3766">
        <w:t>=</w:t>
      </w:r>
      <w:r w:rsidRPr="00DA3766">
        <w:t>（截至当期期末累积承诺净利润数－截至当期期末累积实现净利润数）</w:t>
      </w:r>
      <w:r w:rsidRPr="00DA3766">
        <w:t>÷</w:t>
      </w:r>
      <w:r w:rsidRPr="00DA3766">
        <w:t>补偿期限内各年的预测净利润数总和</w:t>
      </w:r>
      <w:r w:rsidRPr="00DA3766">
        <w:t>×</w:t>
      </w:r>
      <w:r w:rsidRPr="00DA3766">
        <w:t>拟购买资产交易作价－累积已补偿金额</w:t>
      </w:r>
    </w:p>
    <w:p w14:paraId="351EF5EF" w14:textId="77777777" w:rsidR="00396A3E" w:rsidRPr="00DA3766" w:rsidRDefault="00396A3E" w:rsidP="00396A3E">
      <w:pPr>
        <w:pStyle w:val="005"/>
        <w:spacing w:before="120" w:after="120"/>
        <w:ind w:firstLine="480"/>
      </w:pPr>
      <w:r w:rsidRPr="00DA3766">
        <w:t>当期应当补偿股份数量</w:t>
      </w:r>
      <w:r w:rsidRPr="00DA3766">
        <w:t>=</w:t>
      </w:r>
      <w:r w:rsidRPr="00DA3766">
        <w:t>当期补偿金额</w:t>
      </w:r>
      <w:r w:rsidRPr="00DA3766">
        <w:t>/</w:t>
      </w:r>
      <w:r w:rsidRPr="00DA3766">
        <w:t>本次股份的发行价格</w:t>
      </w:r>
    </w:p>
    <w:p w14:paraId="7FCDA404" w14:textId="77777777" w:rsidR="00396A3E" w:rsidRPr="00DA3766" w:rsidRDefault="00396A3E" w:rsidP="00396A3E">
      <w:pPr>
        <w:pStyle w:val="005"/>
        <w:spacing w:before="120" w:after="120"/>
        <w:ind w:firstLine="480"/>
      </w:pPr>
      <w:r w:rsidRPr="00DA3766">
        <w:t>当期股份不足补偿的部分，应现金补偿。</w:t>
      </w:r>
    </w:p>
    <w:p w14:paraId="0F1A37A0" w14:textId="77777777" w:rsidR="00396A3E" w:rsidRPr="00DA3766" w:rsidRDefault="00396A3E" w:rsidP="00396A3E">
      <w:pPr>
        <w:pStyle w:val="005"/>
        <w:spacing w:before="120" w:after="120"/>
        <w:ind w:firstLine="480"/>
      </w:pPr>
      <w:r w:rsidRPr="00DA3766">
        <w:t>采用现金流量法对拟购买资产进行评估或估值的，交易对方计算出现金流量对应的税后净利润数，并据此计算补偿股份数量。</w:t>
      </w:r>
    </w:p>
    <w:p w14:paraId="7BD4A680" w14:textId="77777777" w:rsidR="00396A3E" w:rsidRPr="00DA3766" w:rsidRDefault="00396A3E" w:rsidP="00396A3E">
      <w:pPr>
        <w:pStyle w:val="005"/>
        <w:spacing w:before="120" w:after="120"/>
        <w:ind w:firstLine="480"/>
      </w:pPr>
      <w:r w:rsidRPr="00DA3766">
        <w:t>此外，在补偿期限届满时，上市公司应当对拟购买资产进行减值测试，如：期末减值额</w:t>
      </w:r>
      <w:r w:rsidRPr="00DA3766">
        <w:t>/</w:t>
      </w:r>
      <w:r w:rsidRPr="00DA3766">
        <w:t>拟购买资产交易作价</w:t>
      </w:r>
      <w:r w:rsidRPr="00DA3766">
        <w:t>&gt;</w:t>
      </w:r>
      <w:r w:rsidRPr="00DA3766">
        <w:t>补偿期限内已补偿股份总数</w:t>
      </w:r>
      <w:r w:rsidRPr="00DA3766">
        <w:t>/</w:t>
      </w:r>
      <w:r w:rsidRPr="00DA3766">
        <w:t>认购股份总数，则交易对方需另行补偿股份，补偿的股份数量为：</w:t>
      </w:r>
    </w:p>
    <w:p w14:paraId="2804713D" w14:textId="77777777" w:rsidR="00396A3E" w:rsidRPr="00DA3766" w:rsidRDefault="00396A3E" w:rsidP="00396A3E">
      <w:pPr>
        <w:pStyle w:val="005"/>
        <w:spacing w:before="120" w:after="120"/>
        <w:ind w:firstLine="480"/>
      </w:pPr>
      <w:r w:rsidRPr="00DA3766">
        <w:t>期末减值额</w:t>
      </w:r>
      <w:r w:rsidRPr="00DA3766">
        <w:t>/</w:t>
      </w:r>
      <w:r w:rsidRPr="00DA3766">
        <w:t>每股发行价格－补偿期限内已补偿股份总数</w:t>
      </w:r>
    </w:p>
    <w:p w14:paraId="4D790B00" w14:textId="77777777" w:rsidR="00396A3E" w:rsidRPr="00DA3766" w:rsidRDefault="00396A3E" w:rsidP="00396A3E">
      <w:pPr>
        <w:pStyle w:val="005"/>
        <w:spacing w:before="120" w:after="120"/>
        <w:ind w:firstLine="480"/>
      </w:pPr>
      <w:r w:rsidRPr="00DA3766">
        <w:t>2</w:t>
      </w:r>
      <w:r w:rsidRPr="00DA3766">
        <w:t>）以市场法对拟购买资产进行评估或估值的，每年补偿的股份数量为：期末减值额</w:t>
      </w:r>
      <w:r w:rsidRPr="00DA3766">
        <w:t>/</w:t>
      </w:r>
      <w:r w:rsidRPr="00DA3766">
        <w:t>每股发行价格－补偿期限内已补偿股份总数</w:t>
      </w:r>
    </w:p>
    <w:p w14:paraId="37A7D0AC" w14:textId="77777777" w:rsidR="00396A3E" w:rsidRPr="00DA3766" w:rsidRDefault="00396A3E" w:rsidP="00396A3E">
      <w:pPr>
        <w:pStyle w:val="005"/>
        <w:spacing w:before="120" w:after="120"/>
        <w:ind w:firstLine="480"/>
      </w:pPr>
      <w:r w:rsidRPr="00DA3766">
        <w:t>当期股份不足补偿的部分，应现金补偿。</w:t>
      </w:r>
    </w:p>
    <w:p w14:paraId="3BFD2FE0" w14:textId="77777777" w:rsidR="00396A3E" w:rsidRPr="00DA3766" w:rsidRDefault="00396A3E" w:rsidP="00396A3E">
      <w:pPr>
        <w:pStyle w:val="005"/>
        <w:spacing w:before="120" w:after="120"/>
        <w:ind w:firstLine="480"/>
      </w:pPr>
      <w:r w:rsidRPr="00DA3766">
        <w:t>……</w:t>
      </w:r>
    </w:p>
    <w:p w14:paraId="7B227299" w14:textId="77777777" w:rsidR="00396A3E" w:rsidRPr="00DA3766" w:rsidRDefault="00396A3E" w:rsidP="00396A3E">
      <w:pPr>
        <w:pStyle w:val="005"/>
        <w:spacing w:before="120" w:after="120"/>
        <w:ind w:firstLine="480"/>
      </w:pPr>
      <w:r w:rsidRPr="00DA3766">
        <w:t>2.</w:t>
      </w:r>
      <w:r w:rsidRPr="00DA3766">
        <w:t>业绩补偿期限</w:t>
      </w:r>
    </w:p>
    <w:p w14:paraId="739349B2" w14:textId="77777777" w:rsidR="00396A3E" w:rsidRPr="00DA3766" w:rsidRDefault="00396A3E" w:rsidP="00396A3E">
      <w:pPr>
        <w:pStyle w:val="005"/>
        <w:spacing w:before="120" w:after="120"/>
        <w:ind w:firstLine="480"/>
      </w:pPr>
      <w:r w:rsidRPr="00DA3766">
        <w:t>业绩补偿期限不得少于重组实施完毕后的三年。</w:t>
      </w:r>
      <w:r w:rsidRPr="00DA3766">
        <w:rPr>
          <w:rFonts w:ascii="宋体" w:hAnsi="宋体"/>
        </w:rPr>
        <w:t>”</w:t>
      </w:r>
    </w:p>
    <w:p w14:paraId="747F2414" w14:textId="17AB5BC6" w:rsidR="00396A3E" w:rsidRPr="00DA3766" w:rsidRDefault="00396A3E" w:rsidP="00396A3E">
      <w:pPr>
        <w:pStyle w:val="005"/>
        <w:spacing w:before="120" w:after="120"/>
        <w:ind w:firstLine="480"/>
      </w:pPr>
      <w:r w:rsidRPr="00DA3766">
        <w:t>经核查，《监管规则适用指引</w:t>
      </w:r>
      <w:r w:rsidRPr="00DA3766">
        <w:t>——</w:t>
      </w:r>
      <w:r w:rsidRPr="00DA3766">
        <w:t>上市类第</w:t>
      </w:r>
      <w:r w:rsidRPr="00DA3766">
        <w:t>1</w:t>
      </w:r>
      <w:r w:rsidRPr="00DA3766">
        <w:t>号》未明确标的公司存在过渡期补偿和业绩承诺补偿重复时的具体处理方式，经上市公司与相关方从商业角度及保护上市公司利益的角度考量，对过渡期补偿和业绩承诺补偿重合时且业绩补</w:t>
      </w:r>
      <w:r w:rsidRPr="00DA3766">
        <w:lastRenderedPageBreak/>
        <w:t>偿义务方已根据约定对过渡期损益进行补偿的，在计算业绩补偿金额时应扣减前述已补偿的过渡期损益金额。</w:t>
      </w:r>
    </w:p>
    <w:p w14:paraId="2FC09BC8" w14:textId="33BDADB4" w:rsidR="00396A3E" w:rsidRPr="00DA3766" w:rsidRDefault="00396A3E" w:rsidP="00396A3E">
      <w:pPr>
        <w:pStyle w:val="005"/>
        <w:spacing w:before="120" w:after="120"/>
        <w:ind w:firstLine="480"/>
      </w:pPr>
      <w:r w:rsidRPr="00DA3766">
        <w:t>经检索市场案例，相同或相似交易安排的部分案例如下：</w:t>
      </w:r>
    </w:p>
    <w:tbl>
      <w:tblPr>
        <w:tblW w:w="513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57" w:type="dxa"/>
          <w:right w:w="57" w:type="dxa"/>
        </w:tblCellMar>
        <w:tblLook w:val="04A0" w:firstRow="1" w:lastRow="0" w:firstColumn="1" w:lastColumn="0" w:noHBand="0" w:noVBand="1"/>
      </w:tblPr>
      <w:tblGrid>
        <w:gridCol w:w="1213"/>
        <w:gridCol w:w="1182"/>
        <w:gridCol w:w="2185"/>
        <w:gridCol w:w="4138"/>
      </w:tblGrid>
      <w:tr w:rsidR="00871126" w:rsidRPr="00DA3766" w14:paraId="612ACA43" w14:textId="77777777" w:rsidTr="00635015">
        <w:trPr>
          <w:trHeight w:val="397"/>
          <w:jc w:val="center"/>
        </w:trPr>
        <w:tc>
          <w:tcPr>
            <w:tcW w:w="696" w:type="pct"/>
            <w:shd w:val="clear" w:color="auto" w:fill="FFFFFF"/>
            <w:tcMar>
              <w:top w:w="0" w:type="dxa"/>
              <w:left w:w="85" w:type="dxa"/>
              <w:bottom w:w="0" w:type="dxa"/>
              <w:right w:w="85" w:type="dxa"/>
            </w:tcMar>
            <w:vAlign w:val="center"/>
            <w:hideMark/>
          </w:tcPr>
          <w:p w14:paraId="6DCEFDA6" w14:textId="2A92301F"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678" w:type="pct"/>
            <w:shd w:val="clear" w:color="auto" w:fill="FFFFFF"/>
            <w:tcMar>
              <w:top w:w="0" w:type="dxa"/>
              <w:left w:w="85" w:type="dxa"/>
              <w:bottom w:w="0" w:type="dxa"/>
              <w:right w:w="85" w:type="dxa"/>
            </w:tcMar>
            <w:vAlign w:val="center"/>
            <w:hideMark/>
          </w:tcPr>
          <w:p w14:paraId="38E5BF9E" w14:textId="18BD3963"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1253" w:type="pct"/>
            <w:tcMar>
              <w:top w:w="0" w:type="dxa"/>
              <w:left w:w="85" w:type="dxa"/>
              <w:bottom w:w="0" w:type="dxa"/>
              <w:right w:w="85" w:type="dxa"/>
            </w:tcMar>
            <w:vAlign w:val="center"/>
          </w:tcPr>
          <w:p w14:paraId="6240DFDF" w14:textId="4214957B"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标的公司</w:t>
            </w:r>
          </w:p>
        </w:tc>
        <w:tc>
          <w:tcPr>
            <w:tcW w:w="2373" w:type="pct"/>
            <w:shd w:val="clear" w:color="auto" w:fill="FFFFFF"/>
            <w:tcMar>
              <w:top w:w="0" w:type="dxa"/>
              <w:left w:w="85" w:type="dxa"/>
              <w:bottom w:w="0" w:type="dxa"/>
              <w:right w:w="85" w:type="dxa"/>
            </w:tcMar>
            <w:vAlign w:val="center"/>
            <w:hideMark/>
          </w:tcPr>
          <w:p w14:paraId="2DB70440" w14:textId="417C8D2D"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业绩补偿与过渡期间损益重合的处理方式</w:t>
            </w:r>
          </w:p>
        </w:tc>
      </w:tr>
      <w:tr w:rsidR="00871126" w:rsidRPr="00DA3766" w14:paraId="1FF51E89" w14:textId="77777777" w:rsidTr="00635015">
        <w:trPr>
          <w:trHeight w:val="397"/>
          <w:jc w:val="center"/>
        </w:trPr>
        <w:tc>
          <w:tcPr>
            <w:tcW w:w="696" w:type="pct"/>
            <w:shd w:val="clear" w:color="auto" w:fill="FFFFFF"/>
            <w:tcMar>
              <w:top w:w="0" w:type="dxa"/>
              <w:left w:w="85" w:type="dxa"/>
              <w:bottom w:w="0" w:type="dxa"/>
              <w:right w:w="85" w:type="dxa"/>
            </w:tcMar>
            <w:vAlign w:val="center"/>
          </w:tcPr>
          <w:p w14:paraId="419E6354" w14:textId="3C4B51D2"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中成股份</w:t>
            </w:r>
          </w:p>
        </w:tc>
        <w:tc>
          <w:tcPr>
            <w:tcW w:w="678" w:type="pct"/>
            <w:shd w:val="clear" w:color="auto" w:fill="FFFFFF"/>
            <w:tcMar>
              <w:top w:w="0" w:type="dxa"/>
              <w:left w:w="85" w:type="dxa"/>
              <w:bottom w:w="0" w:type="dxa"/>
              <w:right w:w="85" w:type="dxa"/>
            </w:tcMar>
            <w:vAlign w:val="center"/>
          </w:tcPr>
          <w:p w14:paraId="74555212" w14:textId="634EDFB8"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000151.SZ</w:t>
            </w:r>
          </w:p>
        </w:tc>
        <w:tc>
          <w:tcPr>
            <w:tcW w:w="1253" w:type="pct"/>
            <w:tcMar>
              <w:top w:w="0" w:type="dxa"/>
              <w:left w:w="85" w:type="dxa"/>
              <w:bottom w:w="0" w:type="dxa"/>
              <w:right w:w="85" w:type="dxa"/>
            </w:tcMar>
            <w:vAlign w:val="center"/>
          </w:tcPr>
          <w:p w14:paraId="45E24E22" w14:textId="78FDBE3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中技江苏清洁能源有限公司</w:t>
            </w:r>
          </w:p>
        </w:tc>
        <w:tc>
          <w:tcPr>
            <w:tcW w:w="2373" w:type="pct"/>
            <w:shd w:val="clear" w:color="auto" w:fill="FFFFFF"/>
            <w:tcMar>
              <w:top w:w="0" w:type="dxa"/>
              <w:left w:w="85" w:type="dxa"/>
              <w:bottom w:w="0" w:type="dxa"/>
              <w:right w:w="85" w:type="dxa"/>
            </w:tcMar>
            <w:vAlign w:val="center"/>
          </w:tcPr>
          <w:p w14:paraId="47F86986" w14:textId="6DD956C2"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过渡期与《业绩承诺及补偿协议》约定的业绩承诺补偿期重合的，《业绩承诺及补偿协议》所述的补偿义务人按照《业绩承诺及补偿协议》的相关约定执行，无需按照本补充协议约定承担。</w:t>
            </w:r>
          </w:p>
        </w:tc>
      </w:tr>
      <w:tr w:rsidR="00871126" w:rsidRPr="00DA3766" w14:paraId="3E87CD4B" w14:textId="77777777" w:rsidTr="00635015">
        <w:trPr>
          <w:trHeight w:val="397"/>
          <w:jc w:val="center"/>
        </w:trPr>
        <w:tc>
          <w:tcPr>
            <w:tcW w:w="696" w:type="pct"/>
            <w:shd w:val="clear" w:color="auto" w:fill="FFFFFF"/>
            <w:tcMar>
              <w:top w:w="0" w:type="dxa"/>
              <w:left w:w="85" w:type="dxa"/>
              <w:bottom w:w="0" w:type="dxa"/>
              <w:right w:w="85" w:type="dxa"/>
            </w:tcMar>
            <w:vAlign w:val="center"/>
          </w:tcPr>
          <w:p w14:paraId="68D8B02E" w14:textId="739FED98"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新筑股份</w:t>
            </w:r>
          </w:p>
        </w:tc>
        <w:tc>
          <w:tcPr>
            <w:tcW w:w="678" w:type="pct"/>
            <w:shd w:val="clear" w:color="auto" w:fill="FFFFFF"/>
            <w:tcMar>
              <w:top w:w="0" w:type="dxa"/>
              <w:left w:w="85" w:type="dxa"/>
              <w:bottom w:w="0" w:type="dxa"/>
              <w:right w:w="85" w:type="dxa"/>
            </w:tcMar>
            <w:vAlign w:val="center"/>
          </w:tcPr>
          <w:p w14:paraId="5BEBBE82" w14:textId="596ADCAC"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002480.SZ</w:t>
            </w:r>
          </w:p>
        </w:tc>
        <w:tc>
          <w:tcPr>
            <w:tcW w:w="1253" w:type="pct"/>
            <w:tcMar>
              <w:top w:w="0" w:type="dxa"/>
              <w:left w:w="85" w:type="dxa"/>
              <w:bottom w:w="0" w:type="dxa"/>
              <w:right w:w="85" w:type="dxa"/>
            </w:tcMar>
            <w:vAlign w:val="center"/>
          </w:tcPr>
          <w:p w14:paraId="3C912B14" w14:textId="2CBE1EBC"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蜀道清洁能源，川发磁浮，公司对川发磁浮享有的债权、其它与轨道交通业务有关的部分资产，新筑交科、其它与桥梁功能部件业务有关的资产和负债</w:t>
            </w:r>
          </w:p>
        </w:tc>
        <w:tc>
          <w:tcPr>
            <w:tcW w:w="2373" w:type="pct"/>
            <w:shd w:val="clear" w:color="auto" w:fill="FFFFFF"/>
            <w:tcMar>
              <w:top w:w="0" w:type="dxa"/>
              <w:left w:w="85" w:type="dxa"/>
              <w:bottom w:w="0" w:type="dxa"/>
              <w:right w:w="85" w:type="dxa"/>
            </w:tcMar>
            <w:vAlign w:val="center"/>
          </w:tcPr>
          <w:p w14:paraId="7DF86D58" w14:textId="15DC395C"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过渡期与《业绩承诺与补偿协议》约定的业绩承诺期重合的，蜀道集团按照《业绩承诺与补偿协议》相关约定执行，无需按照《发行股份及支付现金购买资产协议》及补充协议过渡期损益安排承担。</w:t>
            </w:r>
          </w:p>
        </w:tc>
      </w:tr>
      <w:tr w:rsidR="00871126" w:rsidRPr="00DA3766" w14:paraId="7BCC00A3" w14:textId="77777777" w:rsidTr="00635015">
        <w:trPr>
          <w:trHeight w:val="397"/>
          <w:jc w:val="center"/>
        </w:trPr>
        <w:tc>
          <w:tcPr>
            <w:tcW w:w="696" w:type="pct"/>
            <w:shd w:val="clear" w:color="auto" w:fill="FFFFFF"/>
            <w:tcMar>
              <w:top w:w="0" w:type="dxa"/>
              <w:left w:w="85" w:type="dxa"/>
              <w:bottom w:w="0" w:type="dxa"/>
              <w:right w:w="85" w:type="dxa"/>
            </w:tcMar>
            <w:vAlign w:val="center"/>
          </w:tcPr>
          <w:p w14:paraId="7A5AA7A2" w14:textId="7A2FAEE7"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远达环保</w:t>
            </w:r>
          </w:p>
        </w:tc>
        <w:tc>
          <w:tcPr>
            <w:tcW w:w="678" w:type="pct"/>
            <w:shd w:val="clear" w:color="auto" w:fill="FFFFFF"/>
            <w:tcMar>
              <w:top w:w="0" w:type="dxa"/>
              <w:left w:w="85" w:type="dxa"/>
              <w:bottom w:w="0" w:type="dxa"/>
              <w:right w:w="85" w:type="dxa"/>
            </w:tcMar>
            <w:vAlign w:val="center"/>
          </w:tcPr>
          <w:p w14:paraId="02DDE937" w14:textId="1255D7DF"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600292.SH</w:t>
            </w:r>
          </w:p>
        </w:tc>
        <w:tc>
          <w:tcPr>
            <w:tcW w:w="1253" w:type="pct"/>
            <w:tcMar>
              <w:top w:w="0" w:type="dxa"/>
              <w:left w:w="85" w:type="dxa"/>
              <w:bottom w:w="0" w:type="dxa"/>
              <w:right w:w="85" w:type="dxa"/>
            </w:tcMar>
            <w:vAlign w:val="center"/>
          </w:tcPr>
          <w:p w14:paraId="628506E4" w14:textId="23B8FE5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五凌电力有限公司、国家电投集团广西长洲水电开发有限公司</w:t>
            </w:r>
          </w:p>
        </w:tc>
        <w:tc>
          <w:tcPr>
            <w:tcW w:w="2373" w:type="pct"/>
            <w:shd w:val="clear" w:color="auto" w:fill="FFFFFF"/>
            <w:tcMar>
              <w:top w:w="0" w:type="dxa"/>
              <w:left w:w="85" w:type="dxa"/>
              <w:bottom w:w="0" w:type="dxa"/>
              <w:right w:w="85" w:type="dxa"/>
            </w:tcMar>
            <w:vAlign w:val="center"/>
          </w:tcPr>
          <w:p w14:paraId="1648A419" w14:textId="307062A4"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过渡期与各方签订的《业绩补偿协议》约定的业绩承诺补偿期重合的，交易对方按照《业绩补偿协议》相关约定执行，无需按照《购买资产协议》过渡期损益安排承担。</w:t>
            </w:r>
          </w:p>
        </w:tc>
      </w:tr>
      <w:tr w:rsidR="00871126" w:rsidRPr="00DA3766" w14:paraId="122918ED" w14:textId="77777777" w:rsidTr="00635015">
        <w:trPr>
          <w:trHeight w:val="397"/>
          <w:jc w:val="center"/>
        </w:trPr>
        <w:tc>
          <w:tcPr>
            <w:tcW w:w="696" w:type="pct"/>
            <w:shd w:val="clear" w:color="auto" w:fill="FFFFFF"/>
            <w:tcMar>
              <w:top w:w="0" w:type="dxa"/>
              <w:left w:w="85" w:type="dxa"/>
              <w:bottom w:w="0" w:type="dxa"/>
              <w:right w:w="85" w:type="dxa"/>
            </w:tcMar>
            <w:vAlign w:val="center"/>
          </w:tcPr>
          <w:p w14:paraId="3869FC11" w14:textId="6B88ECEA"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中船科技</w:t>
            </w:r>
          </w:p>
        </w:tc>
        <w:tc>
          <w:tcPr>
            <w:tcW w:w="678" w:type="pct"/>
            <w:shd w:val="clear" w:color="auto" w:fill="FFFFFF"/>
            <w:tcMar>
              <w:top w:w="0" w:type="dxa"/>
              <w:left w:w="85" w:type="dxa"/>
              <w:bottom w:w="0" w:type="dxa"/>
              <w:right w:w="85" w:type="dxa"/>
            </w:tcMar>
            <w:vAlign w:val="center"/>
          </w:tcPr>
          <w:p w14:paraId="54F7F336" w14:textId="3FB9F1EE"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600072.SH</w:t>
            </w:r>
          </w:p>
        </w:tc>
        <w:tc>
          <w:tcPr>
            <w:tcW w:w="1253" w:type="pct"/>
            <w:tcMar>
              <w:top w:w="0" w:type="dxa"/>
              <w:left w:w="85" w:type="dxa"/>
              <w:bottom w:w="0" w:type="dxa"/>
              <w:right w:w="85" w:type="dxa"/>
            </w:tcMar>
            <w:vAlign w:val="center"/>
          </w:tcPr>
          <w:p w14:paraId="02A979A8" w14:textId="62BAEB32"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中国海装、中船风电、新疆海为、洛阳双瑞、凌久电气</w:t>
            </w:r>
          </w:p>
        </w:tc>
        <w:tc>
          <w:tcPr>
            <w:tcW w:w="2373" w:type="pct"/>
            <w:shd w:val="clear" w:color="auto" w:fill="FFFFFF"/>
            <w:tcMar>
              <w:top w:w="0" w:type="dxa"/>
              <w:left w:w="85" w:type="dxa"/>
              <w:bottom w:w="0" w:type="dxa"/>
              <w:right w:w="85" w:type="dxa"/>
            </w:tcMar>
            <w:vAlign w:val="center"/>
          </w:tcPr>
          <w:p w14:paraId="23912444" w14:textId="2466467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过渡期与业绩承诺补偿期重合的，《盈利预测补偿协议》所述的补偿义务人按照《盈利预测补偿协议》的相关约定执行，无需按照《购买资产协议》承担，其他交易对方按该条约定执行。</w:t>
            </w:r>
          </w:p>
        </w:tc>
      </w:tr>
      <w:tr w:rsidR="00871126" w:rsidRPr="00DA3766" w14:paraId="375FB5B5" w14:textId="77777777" w:rsidTr="00635015">
        <w:trPr>
          <w:trHeight w:val="397"/>
          <w:jc w:val="center"/>
        </w:trPr>
        <w:tc>
          <w:tcPr>
            <w:tcW w:w="696" w:type="pct"/>
            <w:shd w:val="clear" w:color="auto" w:fill="FFFFFF"/>
            <w:tcMar>
              <w:top w:w="0" w:type="dxa"/>
              <w:left w:w="85" w:type="dxa"/>
              <w:bottom w:w="0" w:type="dxa"/>
              <w:right w:w="85" w:type="dxa"/>
            </w:tcMar>
            <w:vAlign w:val="center"/>
          </w:tcPr>
          <w:p w14:paraId="4DADF5DE" w14:textId="15D168AF"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bookmarkStart w:id="138" w:name="OLE_LINK119"/>
            <w:r w:rsidRPr="00DA3766">
              <w:rPr>
                <w:color w:val="333333"/>
                <w:sz w:val="21"/>
                <w:szCs w:val="21"/>
              </w:rPr>
              <w:t>中直股份</w:t>
            </w:r>
            <w:bookmarkEnd w:id="138"/>
          </w:p>
        </w:tc>
        <w:tc>
          <w:tcPr>
            <w:tcW w:w="678" w:type="pct"/>
            <w:shd w:val="clear" w:color="auto" w:fill="FFFFFF"/>
            <w:tcMar>
              <w:top w:w="0" w:type="dxa"/>
              <w:left w:w="85" w:type="dxa"/>
              <w:bottom w:w="0" w:type="dxa"/>
              <w:right w:w="85" w:type="dxa"/>
            </w:tcMar>
            <w:vAlign w:val="center"/>
          </w:tcPr>
          <w:p w14:paraId="25BE2136" w14:textId="2976E6C3"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color w:val="333333"/>
                <w:sz w:val="21"/>
                <w:szCs w:val="21"/>
              </w:rPr>
              <w:t>600038.SH</w:t>
            </w:r>
          </w:p>
        </w:tc>
        <w:tc>
          <w:tcPr>
            <w:tcW w:w="1253" w:type="pct"/>
            <w:tcMar>
              <w:top w:w="0" w:type="dxa"/>
              <w:left w:w="85" w:type="dxa"/>
              <w:bottom w:w="0" w:type="dxa"/>
              <w:right w:w="85" w:type="dxa"/>
            </w:tcMar>
            <w:vAlign w:val="center"/>
          </w:tcPr>
          <w:p w14:paraId="1165867A" w14:textId="6843FA41" w:rsidR="00871126" w:rsidRPr="00DA3766" w:rsidRDefault="00871126" w:rsidP="00DA3766">
            <w:pPr>
              <w:pStyle w:val="005"/>
              <w:adjustRightInd w:val="0"/>
              <w:snapToGrid w:val="0"/>
              <w:spacing w:beforeLines="0" w:before="0" w:afterLines="0" w:after="0" w:line="240" w:lineRule="auto"/>
              <w:ind w:firstLineChars="0" w:firstLine="0"/>
              <w:rPr>
                <w:color w:val="333333"/>
                <w:sz w:val="21"/>
                <w:szCs w:val="21"/>
              </w:rPr>
            </w:pPr>
            <w:r w:rsidRPr="00DA3766">
              <w:rPr>
                <w:color w:val="333333"/>
                <w:sz w:val="21"/>
                <w:szCs w:val="21"/>
              </w:rPr>
              <w:t>昌河飞机工业（集团）有限责任公司</w:t>
            </w:r>
          </w:p>
        </w:tc>
        <w:tc>
          <w:tcPr>
            <w:tcW w:w="2373" w:type="pct"/>
            <w:shd w:val="clear" w:color="auto" w:fill="FFFFFF"/>
            <w:tcMar>
              <w:top w:w="0" w:type="dxa"/>
              <w:left w:w="85" w:type="dxa"/>
              <w:bottom w:w="0" w:type="dxa"/>
              <w:right w:w="85" w:type="dxa"/>
            </w:tcMar>
            <w:vAlign w:val="center"/>
          </w:tcPr>
          <w:p w14:paraId="2CF11281" w14:textId="3AACC745" w:rsidR="00871126" w:rsidRPr="00DA3766" w:rsidRDefault="00871126" w:rsidP="00DA3766">
            <w:pPr>
              <w:pStyle w:val="005"/>
              <w:adjustRightInd w:val="0"/>
              <w:snapToGrid w:val="0"/>
              <w:spacing w:beforeLines="0" w:before="0" w:afterLines="0" w:after="0" w:line="240" w:lineRule="auto"/>
              <w:ind w:firstLineChars="0" w:firstLine="0"/>
              <w:rPr>
                <w:color w:val="333333"/>
                <w:sz w:val="21"/>
                <w:szCs w:val="21"/>
              </w:rPr>
            </w:pPr>
            <w:r w:rsidRPr="00DA3766">
              <w:rPr>
                <w:color w:val="333333"/>
                <w:sz w:val="21"/>
                <w:szCs w:val="21"/>
              </w:rPr>
              <w:t>过渡期与业绩承诺补偿期重合的，《业绩承诺及补偿协议》所述的业绩承诺人按照《业绩承诺及补偿协议》的相关约定执行，无需按照《发行股份购买资产协议的补充协议（二）》约定承担。</w:t>
            </w:r>
          </w:p>
        </w:tc>
      </w:tr>
    </w:tbl>
    <w:p w14:paraId="6A872D08" w14:textId="5CF17BB2" w:rsidR="00396A3E" w:rsidRPr="00DA3766" w:rsidRDefault="00396A3E" w:rsidP="00396A3E">
      <w:pPr>
        <w:pStyle w:val="005"/>
        <w:spacing w:before="120" w:after="120"/>
        <w:ind w:firstLine="480"/>
      </w:pPr>
      <w:r w:rsidRPr="00DA3766">
        <w:t>综上，本次交易中业绩承诺资产过渡期损益的安排系交易各方参考《监管规则适用指引</w:t>
      </w:r>
      <w:r w:rsidRPr="00DA3766">
        <w:t>——</w:t>
      </w:r>
      <w:r w:rsidRPr="00DA3766">
        <w:t>上市类第</w:t>
      </w:r>
      <w:r w:rsidRPr="00DA3766">
        <w:t>1</w:t>
      </w:r>
      <w:r w:rsidRPr="00DA3766">
        <w:t>号》相关规定，并结合相关市场案例与交易各方实际情况，经各方友好协商确定，具有合理性，符合《监管规则适用指引</w:t>
      </w:r>
      <w:r w:rsidRPr="00DA3766">
        <w:t>——</w:t>
      </w:r>
      <w:r w:rsidRPr="00DA3766">
        <w:t>上市类第</w:t>
      </w:r>
      <w:r w:rsidRPr="00DA3766">
        <w:t>1</w:t>
      </w:r>
      <w:r w:rsidRPr="00DA3766">
        <w:t>号》的相关规定。</w:t>
      </w:r>
    </w:p>
    <w:p w14:paraId="621AA53C" w14:textId="0E6DE5A9" w:rsidR="00304455" w:rsidRPr="00DA3766" w:rsidRDefault="00396A3E" w:rsidP="00396A3E">
      <w:pPr>
        <w:pStyle w:val="003"/>
        <w:spacing w:before="120" w:after="120"/>
        <w:ind w:firstLine="482"/>
      </w:pPr>
      <w:r w:rsidRPr="00DA3766">
        <w:t>（二）</w:t>
      </w:r>
      <w:bookmarkStart w:id="139" w:name="_Hlk218021740"/>
      <w:r w:rsidRPr="00DA3766">
        <w:t>业绩承诺期</w:t>
      </w:r>
      <w:r w:rsidR="004A1CF9" w:rsidRPr="00DA3766">
        <w:t>安排</w:t>
      </w:r>
      <w:bookmarkEnd w:id="139"/>
      <w:r w:rsidRPr="00DA3766">
        <w:t>符合《监管规则适用指引</w:t>
      </w:r>
      <w:r w:rsidRPr="00DA3766">
        <w:t>——</w:t>
      </w:r>
      <w:r w:rsidRPr="00DA3766">
        <w:t>上市类第</w:t>
      </w:r>
      <w:r w:rsidRPr="00DA3766">
        <w:t>1</w:t>
      </w:r>
      <w:r w:rsidRPr="00DA3766">
        <w:t>号》的规定</w:t>
      </w:r>
    </w:p>
    <w:p w14:paraId="0028589F" w14:textId="65723E1C" w:rsidR="00396A3E" w:rsidRPr="00DA3766" w:rsidRDefault="00396A3E" w:rsidP="00BF4123">
      <w:pPr>
        <w:pStyle w:val="005"/>
        <w:spacing w:before="120" w:after="120"/>
        <w:ind w:firstLine="480"/>
      </w:pPr>
      <w:r w:rsidRPr="00DA3766">
        <w:t>截至本回复出具之日，根据上市公司与业绩承诺方签署的《业绩承诺补偿协议书》，业绩承诺期安排如下：本次交易的业绩承诺期为</w:t>
      </w:r>
      <w:r w:rsidRPr="00DA3766">
        <w:t>2025</w:t>
      </w:r>
      <w:r w:rsidRPr="00DA3766">
        <w:t>年度、</w:t>
      </w:r>
      <w:r w:rsidRPr="00DA3766">
        <w:t>2026</w:t>
      </w:r>
      <w:r w:rsidRPr="00DA3766">
        <w:t>年度及</w:t>
      </w:r>
      <w:r w:rsidRPr="00DA3766">
        <w:t>2027</w:t>
      </w:r>
      <w:r w:rsidRPr="00DA3766">
        <w:t>年度，业绩承诺方承诺目标公司在</w:t>
      </w:r>
      <w:r w:rsidRPr="00DA3766">
        <w:t>2025</w:t>
      </w:r>
      <w:r w:rsidRPr="00DA3766">
        <w:t>年度、</w:t>
      </w:r>
      <w:r w:rsidRPr="00DA3766">
        <w:t>2026</w:t>
      </w:r>
      <w:r w:rsidRPr="00DA3766">
        <w:t>年度和</w:t>
      </w:r>
      <w:r w:rsidRPr="00DA3766">
        <w:t>2027</w:t>
      </w:r>
      <w:r w:rsidRPr="00DA3766">
        <w:t>年度实现的实际净利润分别不低于人民币</w:t>
      </w:r>
      <w:r w:rsidRPr="00DA3766">
        <w:t>9,000</w:t>
      </w:r>
      <w:r w:rsidRPr="00DA3766">
        <w:t>万元、</w:t>
      </w:r>
      <w:r w:rsidRPr="00DA3766">
        <w:t>9,500</w:t>
      </w:r>
      <w:r w:rsidRPr="00DA3766">
        <w:t>万元和</w:t>
      </w:r>
      <w:r w:rsidRPr="00DA3766">
        <w:t>10,500</w:t>
      </w:r>
      <w:r w:rsidRPr="00DA3766">
        <w:t>万元。</w:t>
      </w:r>
    </w:p>
    <w:p w14:paraId="28B4C777" w14:textId="6BD375E5" w:rsidR="00396A3E" w:rsidRPr="00DA3766" w:rsidRDefault="00A75D60" w:rsidP="00A75D60">
      <w:pPr>
        <w:pStyle w:val="005"/>
        <w:spacing w:before="120" w:after="120"/>
        <w:ind w:firstLine="480"/>
      </w:pPr>
      <w:r w:rsidRPr="00DA3766">
        <w:lastRenderedPageBreak/>
        <w:t>根据</w:t>
      </w:r>
      <w:r w:rsidR="00396A3E" w:rsidRPr="00DA3766">
        <w:t>《监管规则适用指引</w:t>
      </w:r>
      <w:r w:rsidR="00396A3E" w:rsidRPr="00DA3766">
        <w:t>——</w:t>
      </w:r>
      <w:r w:rsidR="00396A3E" w:rsidRPr="00DA3766">
        <w:t>上市类第</w:t>
      </w:r>
      <w:r w:rsidR="00396A3E" w:rsidRPr="00DA3766">
        <w:t>1</w:t>
      </w:r>
      <w:r w:rsidR="00396A3E" w:rsidRPr="00DA3766">
        <w:t>号》</w:t>
      </w:r>
      <w:r w:rsidRPr="00DA3766">
        <w:t>对业绩承诺期</w:t>
      </w:r>
      <w:r w:rsidR="00396A3E" w:rsidRPr="00DA3766">
        <w:t>安排的</w:t>
      </w:r>
      <w:r w:rsidRPr="00DA3766">
        <w:t>相关规定</w:t>
      </w:r>
      <w:r w:rsidR="00A27B0F" w:rsidRPr="00DA3766">
        <w:t>：</w:t>
      </w:r>
      <w:r w:rsidRPr="00DA3766">
        <w:t>（</w:t>
      </w:r>
      <w:r w:rsidRPr="00DA3766">
        <w:t>1</w:t>
      </w:r>
      <w:r w:rsidRPr="00DA3766">
        <w:t>）</w:t>
      </w:r>
      <w:r w:rsidR="00396A3E" w:rsidRPr="00DA3766">
        <w:t>交易对方为上市公司控股股东、实际控制人或者其控制关联人，无论标的资产是否为其所有或控制，也无论其参与此次交易是否基于过桥等暂时性安排，上市公司控股股东、实际控制人或者其控制的关联人均应以其获得的股份和现金进行业绩补偿。</w:t>
      </w:r>
      <w:r w:rsidRPr="00DA3766">
        <w:t>（</w:t>
      </w:r>
      <w:r w:rsidRPr="00DA3766">
        <w:t>2</w:t>
      </w:r>
      <w:r w:rsidRPr="00DA3766">
        <w:t>）</w:t>
      </w:r>
      <w:r w:rsidR="00396A3E" w:rsidRPr="00DA3766">
        <w:t>在交易定价采用资产基础法估值结果的情况下，如果资产基础法中对一项或几项资产采用了基于未来收益预期的方法，上市公司控股股东、实际控制人或者其控制的关联人也应就此部分进行业绩补偿。</w:t>
      </w:r>
      <w:r w:rsidRPr="00DA3766">
        <w:t>（</w:t>
      </w:r>
      <w:r w:rsidRPr="00DA3766">
        <w:t>3</w:t>
      </w:r>
      <w:r w:rsidRPr="00DA3766">
        <w:t>）</w:t>
      </w:r>
      <w:r w:rsidR="00396A3E" w:rsidRPr="00DA3766">
        <w:t>业绩补偿期限不得少于重组实施完毕后的三年。</w:t>
      </w:r>
    </w:p>
    <w:p w14:paraId="1009A164" w14:textId="418C77FA" w:rsidR="00396A3E" w:rsidRPr="00DA3766" w:rsidRDefault="00396A3E" w:rsidP="00396A3E">
      <w:pPr>
        <w:pStyle w:val="005"/>
        <w:spacing w:before="120" w:after="120"/>
        <w:ind w:firstLine="480"/>
      </w:pPr>
      <w:r w:rsidRPr="00DA3766">
        <w:t>本次交易的交易对方非上市公司控股股东、实际控制人或者其控制关联人，且本次交易未导致上市公司控制权发生变更，不属于法定要求进行业绩承诺的范围，故上市公司与交易对方可以根据市场化原则，自主协商是否采取业绩承诺、补偿措施及相关具体安排。</w:t>
      </w:r>
    </w:p>
    <w:p w14:paraId="6A51AE77" w14:textId="51906838" w:rsidR="00396A3E" w:rsidRPr="00DA3766" w:rsidRDefault="00396A3E" w:rsidP="00396A3E">
      <w:pPr>
        <w:pStyle w:val="005"/>
        <w:spacing w:before="120" w:after="120"/>
        <w:ind w:firstLine="480"/>
      </w:pPr>
      <w:r w:rsidRPr="00DA3766">
        <w:t>本次交易约定的交割时间为上市公司支付本次交易现金对价后</w:t>
      </w:r>
      <w:r w:rsidRPr="00DA3766">
        <w:t>15</w:t>
      </w:r>
      <w:r w:rsidRPr="00DA3766">
        <w:t>个工作日内，但本次交易于</w:t>
      </w:r>
      <w:r w:rsidRPr="00DA3766">
        <w:t>2025</w:t>
      </w:r>
      <w:r w:rsidRPr="00DA3766">
        <w:t>年上半年即开始筹划和商业洽谈，并于</w:t>
      </w:r>
      <w:r w:rsidRPr="00DA3766">
        <w:t>2025</w:t>
      </w:r>
      <w:r w:rsidRPr="00DA3766">
        <w:t>年</w:t>
      </w:r>
      <w:r w:rsidRPr="00DA3766">
        <w:t>6</w:t>
      </w:r>
      <w:r w:rsidRPr="00DA3766">
        <w:t>月公开披露对标的公司进行收购事宜，各方在交易谈判期间对于标的公司的估值参考了标的公司</w:t>
      </w:r>
      <w:r w:rsidRPr="00DA3766">
        <w:t>2025</w:t>
      </w:r>
      <w:r w:rsidRPr="00DA3766">
        <w:t>年的预测业绩，具有一定合理性，因此</w:t>
      </w:r>
      <w:r w:rsidRPr="00DA3766">
        <w:t>2025</w:t>
      </w:r>
      <w:r w:rsidRPr="00DA3766">
        <w:t>年作为过渡期虽未交割但纳入业绩承诺的范围，系基于商业合理安排并根据市场化原则买卖双方自主协商且自愿约定，符合《监管规则适用指引</w:t>
      </w:r>
      <w:r w:rsidRPr="00DA3766">
        <w:t>——</w:t>
      </w:r>
      <w:r w:rsidRPr="00DA3766">
        <w:t>上市类第</w:t>
      </w:r>
      <w:r w:rsidRPr="00DA3766">
        <w:t>1</w:t>
      </w:r>
      <w:r w:rsidRPr="00DA3766">
        <w:t>号》的规定。</w:t>
      </w:r>
    </w:p>
    <w:p w14:paraId="35171AC5" w14:textId="2E8192F1" w:rsidR="00396A3E" w:rsidRPr="00DA3766" w:rsidRDefault="00396A3E" w:rsidP="00396A3E">
      <w:pPr>
        <w:pStyle w:val="003"/>
        <w:spacing w:before="120" w:after="120"/>
        <w:ind w:firstLine="482"/>
      </w:pPr>
      <w:r w:rsidRPr="00DA3766">
        <w:t>（三）过渡期损益安排符合《监管规则适用指引</w:t>
      </w:r>
      <w:r w:rsidRPr="00DA3766">
        <w:t>——</w:t>
      </w:r>
      <w:r w:rsidRPr="00DA3766">
        <w:t>上市类第</w:t>
      </w:r>
      <w:r w:rsidRPr="00DA3766">
        <w:t>1</w:t>
      </w:r>
      <w:r w:rsidRPr="00DA3766">
        <w:t>号》的规定</w:t>
      </w:r>
    </w:p>
    <w:p w14:paraId="0C68DD98" w14:textId="77777777" w:rsidR="00396A3E" w:rsidRPr="00DA3766" w:rsidRDefault="00396A3E" w:rsidP="00396A3E">
      <w:pPr>
        <w:pStyle w:val="004"/>
        <w:spacing w:before="120" w:after="120"/>
        <w:ind w:firstLine="482"/>
      </w:pPr>
      <w:r w:rsidRPr="00DA3766">
        <w:t>1</w:t>
      </w:r>
      <w:r w:rsidRPr="00DA3766">
        <w:t>、本次交易的过渡期损益安排</w:t>
      </w:r>
    </w:p>
    <w:p w14:paraId="438DCE44" w14:textId="0F2B0783" w:rsidR="00396A3E" w:rsidRPr="00DA3766" w:rsidRDefault="00396A3E" w:rsidP="00A27B0F">
      <w:pPr>
        <w:pStyle w:val="005"/>
        <w:spacing w:before="120" w:after="120"/>
        <w:ind w:firstLine="480"/>
      </w:pPr>
      <w:r w:rsidRPr="00DA3766">
        <w:t>根据上市公司与相关方签署的《购买资产协议之补充协议》，过渡期安排如下：本次重组所涉全部标的资产在过渡期内产生的收益由上市公司享有；本次重组所涉全部标的资产在过渡期内产生的亏损部分，由业绩承诺方按其各自转让的标的公司股权占业绩承诺方合计转让的标的公司股权的比例，以现金方式向标的公司补足。具体收益及亏损金额应按收购资产比例计算。</w:t>
      </w:r>
    </w:p>
    <w:p w14:paraId="46A860B7" w14:textId="2808CC02" w:rsidR="00396A3E" w:rsidRPr="00DA3766" w:rsidRDefault="00396A3E" w:rsidP="00396A3E">
      <w:pPr>
        <w:pStyle w:val="004"/>
        <w:spacing w:before="120" w:after="120"/>
        <w:ind w:firstLine="482"/>
      </w:pPr>
      <w:r w:rsidRPr="00DA3766">
        <w:t>2</w:t>
      </w:r>
      <w:r w:rsidRPr="00DA3766">
        <w:t>、本次交易的过渡期损益安排符合《监管规则适用指引</w:t>
      </w:r>
      <w:r w:rsidRPr="00DA3766">
        <w:t>——</w:t>
      </w:r>
      <w:r w:rsidRPr="00DA3766">
        <w:t>上市类第</w:t>
      </w:r>
      <w:r w:rsidRPr="00DA3766">
        <w:t>1</w:t>
      </w:r>
      <w:r w:rsidRPr="00DA3766">
        <w:t>号》的相关规定</w:t>
      </w:r>
    </w:p>
    <w:p w14:paraId="66311A32" w14:textId="552F5476" w:rsidR="00396A3E" w:rsidRPr="00DA3766" w:rsidRDefault="00B47A58" w:rsidP="00B47A58">
      <w:pPr>
        <w:pStyle w:val="005"/>
        <w:spacing w:before="120" w:after="120"/>
        <w:ind w:firstLine="480"/>
      </w:pPr>
      <w:r w:rsidRPr="00DA3766">
        <w:t>根据</w:t>
      </w:r>
      <w:r w:rsidR="00396A3E" w:rsidRPr="00DA3766">
        <w:t>《监管规则适用指引</w:t>
      </w:r>
      <w:r w:rsidR="00396A3E" w:rsidRPr="00DA3766">
        <w:t>——</w:t>
      </w:r>
      <w:r w:rsidR="00396A3E" w:rsidRPr="00DA3766">
        <w:t>上市类第</w:t>
      </w:r>
      <w:r w:rsidR="00396A3E" w:rsidRPr="00DA3766">
        <w:t>1</w:t>
      </w:r>
      <w:r w:rsidR="00396A3E" w:rsidRPr="00DA3766">
        <w:t>号》对过渡期损益安排的</w:t>
      </w:r>
      <w:r w:rsidRPr="00DA3766">
        <w:t>相关</w:t>
      </w:r>
      <w:r w:rsidR="00396A3E" w:rsidRPr="00DA3766">
        <w:t>规定</w:t>
      </w:r>
      <w:r w:rsidRPr="00DA3766">
        <w:t>，</w:t>
      </w:r>
      <w:r w:rsidR="00396A3E" w:rsidRPr="00DA3766">
        <w:lastRenderedPageBreak/>
        <w:t>上市公司重大资产重组中，对以收益现值法、假设开发法等基于未来收益预期的估值方法作为主要评估方法的，拟购买资产在过渡期间（自评估基准日至资产交割日）等相关期间的收益应当归上市公司所有，亏损应当由交易对方补足。具体收益及亏损金额应按收购资产比例计算。</w:t>
      </w:r>
    </w:p>
    <w:p w14:paraId="412A1FC9" w14:textId="32171803" w:rsidR="00B47A58" w:rsidRPr="00DA3766" w:rsidRDefault="00B47A58" w:rsidP="00B47A58">
      <w:pPr>
        <w:pStyle w:val="005"/>
        <w:spacing w:before="120" w:after="120"/>
        <w:ind w:firstLine="480"/>
      </w:pPr>
      <w:r w:rsidRPr="00DA3766">
        <w:t>本次交易设置的过渡期安排约定过渡期内收益归上市公司所有，亏损部分由业绩承诺方按其各自转让的标的公司股权占业绩承诺方合计转让的标的公司股权的比例，以现金方式向标的公司补足。虽非全体交易对方作为过渡期内标的公司亏损部分的补偿义务主体，但实质上业绩承诺方已承担全部过渡期内标的公司亏损部分的补偿义务，不会损害上市公司及其中小股东利益</w:t>
      </w:r>
      <w:r w:rsidR="00700DBD" w:rsidRPr="00DA3766">
        <w:t>。</w:t>
      </w:r>
    </w:p>
    <w:p w14:paraId="7C40466E" w14:textId="77777777" w:rsidR="00396A3E" w:rsidRPr="00DA3766" w:rsidRDefault="00396A3E" w:rsidP="00396A3E">
      <w:pPr>
        <w:pStyle w:val="005"/>
        <w:spacing w:before="120" w:after="120"/>
        <w:ind w:firstLine="480"/>
      </w:pPr>
      <w:r w:rsidRPr="00DA3766">
        <w:t>经检索市场案例，相同或相似交易安排的部分案例如下：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16"/>
        <w:gridCol w:w="1121"/>
        <w:gridCol w:w="1196"/>
        <w:gridCol w:w="1405"/>
        <w:gridCol w:w="1569"/>
        <w:gridCol w:w="2575"/>
      </w:tblGrid>
      <w:tr w:rsidR="00737F00" w:rsidRPr="00DA3766" w14:paraId="0ADDE0BE" w14:textId="77777777" w:rsidTr="001076ED">
        <w:trPr>
          <w:trHeight w:val="397"/>
          <w:tblHeader/>
          <w:jc w:val="center"/>
        </w:trPr>
        <w:tc>
          <w:tcPr>
            <w:tcW w:w="363" w:type="pct"/>
            <w:shd w:val="clear" w:color="auto" w:fill="FFFFFF"/>
            <w:tcMar>
              <w:top w:w="0" w:type="dxa"/>
              <w:left w:w="85" w:type="dxa"/>
              <w:bottom w:w="0" w:type="dxa"/>
              <w:right w:w="85" w:type="dxa"/>
            </w:tcMar>
            <w:vAlign w:val="center"/>
            <w:hideMark/>
          </w:tcPr>
          <w:p w14:paraId="48DAE764" w14:textId="5C20141D"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661" w:type="pct"/>
            <w:shd w:val="clear" w:color="auto" w:fill="FFFFFF"/>
            <w:tcMar>
              <w:top w:w="0" w:type="dxa"/>
              <w:left w:w="85" w:type="dxa"/>
              <w:bottom w:w="0" w:type="dxa"/>
              <w:right w:w="85" w:type="dxa"/>
            </w:tcMar>
            <w:vAlign w:val="center"/>
            <w:hideMark/>
          </w:tcPr>
          <w:p w14:paraId="10EBC3DE" w14:textId="3B19B101"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705" w:type="pct"/>
            <w:tcMar>
              <w:top w:w="0" w:type="dxa"/>
              <w:left w:w="85" w:type="dxa"/>
              <w:bottom w:w="0" w:type="dxa"/>
              <w:right w:w="85" w:type="dxa"/>
            </w:tcMar>
            <w:vAlign w:val="center"/>
          </w:tcPr>
          <w:p w14:paraId="7C669CD3" w14:textId="150790C0" w:rsidR="00737F00"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标的公司</w:t>
            </w:r>
          </w:p>
        </w:tc>
        <w:tc>
          <w:tcPr>
            <w:tcW w:w="828" w:type="pct"/>
            <w:tcMar>
              <w:top w:w="0" w:type="dxa"/>
              <w:left w:w="85" w:type="dxa"/>
              <w:bottom w:w="0" w:type="dxa"/>
              <w:right w:w="85" w:type="dxa"/>
            </w:tcMar>
            <w:vAlign w:val="center"/>
          </w:tcPr>
          <w:p w14:paraId="0C31029B" w14:textId="59BA22E0"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交易对方</w:t>
            </w:r>
          </w:p>
        </w:tc>
        <w:tc>
          <w:tcPr>
            <w:tcW w:w="925" w:type="pct"/>
            <w:tcMar>
              <w:top w:w="0" w:type="dxa"/>
              <w:left w:w="85" w:type="dxa"/>
              <w:bottom w:w="0" w:type="dxa"/>
              <w:right w:w="85" w:type="dxa"/>
            </w:tcMar>
            <w:vAlign w:val="center"/>
          </w:tcPr>
          <w:p w14:paraId="7EFC8349" w14:textId="61039E56"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过渡期内亏损补偿义务方</w:t>
            </w:r>
          </w:p>
        </w:tc>
        <w:tc>
          <w:tcPr>
            <w:tcW w:w="1518" w:type="pct"/>
            <w:shd w:val="clear" w:color="auto" w:fill="FFFFFF"/>
            <w:tcMar>
              <w:top w:w="0" w:type="dxa"/>
              <w:left w:w="85" w:type="dxa"/>
              <w:bottom w:w="0" w:type="dxa"/>
              <w:right w:w="85" w:type="dxa"/>
            </w:tcMar>
            <w:vAlign w:val="center"/>
            <w:hideMark/>
          </w:tcPr>
          <w:p w14:paraId="2487DAB4" w14:textId="51888FAB"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过渡期内标的公司亏损部分的补足安排</w:t>
            </w:r>
          </w:p>
        </w:tc>
      </w:tr>
      <w:tr w:rsidR="00737F00" w:rsidRPr="00DA3766" w14:paraId="5C2378E4" w14:textId="77777777" w:rsidTr="00DA3766">
        <w:trPr>
          <w:trHeight w:val="397"/>
          <w:jc w:val="center"/>
        </w:trPr>
        <w:tc>
          <w:tcPr>
            <w:tcW w:w="363" w:type="pct"/>
            <w:shd w:val="clear" w:color="auto" w:fill="FFFFFF"/>
            <w:tcMar>
              <w:top w:w="0" w:type="dxa"/>
              <w:left w:w="85" w:type="dxa"/>
              <w:bottom w:w="0" w:type="dxa"/>
              <w:right w:w="85" w:type="dxa"/>
            </w:tcMar>
            <w:vAlign w:val="center"/>
          </w:tcPr>
          <w:p w14:paraId="3D879031" w14:textId="1D9C9697"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bookmarkStart w:id="140" w:name="OLE_LINK105"/>
            <w:r w:rsidRPr="00DA3766">
              <w:rPr>
                <w:sz w:val="21"/>
                <w:szCs w:val="21"/>
              </w:rPr>
              <w:t>分众传媒</w:t>
            </w:r>
            <w:bookmarkEnd w:id="140"/>
          </w:p>
        </w:tc>
        <w:tc>
          <w:tcPr>
            <w:tcW w:w="661" w:type="pct"/>
            <w:shd w:val="clear" w:color="auto" w:fill="FFFFFF"/>
            <w:tcMar>
              <w:top w:w="0" w:type="dxa"/>
              <w:left w:w="85" w:type="dxa"/>
              <w:bottom w:w="0" w:type="dxa"/>
              <w:right w:w="85" w:type="dxa"/>
            </w:tcMar>
            <w:vAlign w:val="center"/>
          </w:tcPr>
          <w:p w14:paraId="14B3896F" w14:textId="4C6DAE0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002027.SZ</w:t>
            </w:r>
          </w:p>
        </w:tc>
        <w:tc>
          <w:tcPr>
            <w:tcW w:w="705" w:type="pct"/>
            <w:tcMar>
              <w:top w:w="0" w:type="dxa"/>
              <w:left w:w="85" w:type="dxa"/>
              <w:bottom w:w="0" w:type="dxa"/>
              <w:right w:w="85" w:type="dxa"/>
            </w:tcMar>
            <w:vAlign w:val="center"/>
          </w:tcPr>
          <w:p w14:paraId="37CE7107" w14:textId="59420C63"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成都新潮传媒集团股份有限公司</w:t>
            </w:r>
          </w:p>
        </w:tc>
        <w:tc>
          <w:tcPr>
            <w:tcW w:w="828" w:type="pct"/>
            <w:tcMar>
              <w:top w:w="0" w:type="dxa"/>
              <w:left w:w="85" w:type="dxa"/>
              <w:bottom w:w="0" w:type="dxa"/>
              <w:right w:w="85" w:type="dxa"/>
            </w:tcMar>
            <w:vAlign w:val="center"/>
          </w:tcPr>
          <w:p w14:paraId="0AFE9FD5" w14:textId="14888C99"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重庆京东、张继学、百度在线、盈峰集团、丽水双潮、等</w:t>
            </w:r>
            <w:r w:rsidRPr="00DA3766">
              <w:rPr>
                <w:sz w:val="21"/>
                <w:szCs w:val="21"/>
              </w:rPr>
              <w:t>45</w:t>
            </w:r>
            <w:r w:rsidRPr="00DA3766">
              <w:rPr>
                <w:sz w:val="21"/>
                <w:szCs w:val="21"/>
              </w:rPr>
              <w:t>名交易对方</w:t>
            </w:r>
          </w:p>
        </w:tc>
        <w:tc>
          <w:tcPr>
            <w:tcW w:w="925" w:type="pct"/>
            <w:tcMar>
              <w:top w:w="0" w:type="dxa"/>
              <w:left w:w="85" w:type="dxa"/>
              <w:bottom w:w="0" w:type="dxa"/>
              <w:right w:w="85" w:type="dxa"/>
            </w:tcMar>
            <w:vAlign w:val="center"/>
          </w:tcPr>
          <w:p w14:paraId="5DF8FB70" w14:textId="24B21CD4"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张继学及朋锦睿恒</w:t>
            </w:r>
          </w:p>
        </w:tc>
        <w:tc>
          <w:tcPr>
            <w:tcW w:w="1518" w:type="pct"/>
            <w:shd w:val="clear" w:color="auto" w:fill="FFFFFF"/>
            <w:tcMar>
              <w:top w:w="0" w:type="dxa"/>
              <w:left w:w="85" w:type="dxa"/>
              <w:bottom w:w="0" w:type="dxa"/>
              <w:right w:w="85" w:type="dxa"/>
            </w:tcMar>
            <w:vAlign w:val="center"/>
          </w:tcPr>
          <w:p w14:paraId="57726F44" w14:textId="38458480"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过渡期内标的资产亏损由张继学及朋锦睿恒应在专项审计报告出具之日起</w:t>
            </w:r>
            <w:r w:rsidRPr="00DA3766">
              <w:rPr>
                <w:sz w:val="21"/>
                <w:szCs w:val="21"/>
              </w:rPr>
              <w:t>10</w:t>
            </w:r>
            <w:r w:rsidRPr="00DA3766">
              <w:rPr>
                <w:sz w:val="21"/>
                <w:szCs w:val="21"/>
              </w:rPr>
              <w:t>个工作日内以现金方式向上市公司补足。</w:t>
            </w:r>
          </w:p>
        </w:tc>
      </w:tr>
      <w:tr w:rsidR="00737F00" w:rsidRPr="00DA3766" w14:paraId="646F41F0" w14:textId="77777777" w:rsidTr="00DA3766">
        <w:trPr>
          <w:trHeight w:val="397"/>
          <w:jc w:val="center"/>
        </w:trPr>
        <w:tc>
          <w:tcPr>
            <w:tcW w:w="363" w:type="pct"/>
            <w:shd w:val="clear" w:color="auto" w:fill="FFFFFF"/>
            <w:tcMar>
              <w:top w:w="0" w:type="dxa"/>
              <w:left w:w="85" w:type="dxa"/>
              <w:bottom w:w="0" w:type="dxa"/>
              <w:right w:w="85" w:type="dxa"/>
            </w:tcMar>
            <w:vAlign w:val="center"/>
          </w:tcPr>
          <w:p w14:paraId="1001B18E" w14:textId="2764D138"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菱电电控</w:t>
            </w:r>
          </w:p>
        </w:tc>
        <w:tc>
          <w:tcPr>
            <w:tcW w:w="661" w:type="pct"/>
            <w:shd w:val="clear" w:color="auto" w:fill="FFFFFF"/>
            <w:tcMar>
              <w:top w:w="0" w:type="dxa"/>
              <w:left w:w="85" w:type="dxa"/>
              <w:bottom w:w="0" w:type="dxa"/>
              <w:right w:w="85" w:type="dxa"/>
            </w:tcMar>
            <w:vAlign w:val="center"/>
          </w:tcPr>
          <w:p w14:paraId="2C055912" w14:textId="7F5DD1B6"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688667.SH</w:t>
            </w:r>
          </w:p>
        </w:tc>
        <w:tc>
          <w:tcPr>
            <w:tcW w:w="705" w:type="pct"/>
            <w:tcMar>
              <w:top w:w="0" w:type="dxa"/>
              <w:left w:w="85" w:type="dxa"/>
              <w:bottom w:w="0" w:type="dxa"/>
              <w:right w:w="85" w:type="dxa"/>
            </w:tcMar>
            <w:vAlign w:val="center"/>
          </w:tcPr>
          <w:p w14:paraId="6436E220" w14:textId="592797F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江苏奥易克斯汽车电子科技股份有限公司</w:t>
            </w:r>
          </w:p>
        </w:tc>
        <w:tc>
          <w:tcPr>
            <w:tcW w:w="828" w:type="pct"/>
            <w:tcMar>
              <w:top w:w="0" w:type="dxa"/>
              <w:left w:w="85" w:type="dxa"/>
              <w:bottom w:w="0" w:type="dxa"/>
              <w:right w:w="85" w:type="dxa"/>
            </w:tcMar>
            <w:vAlign w:val="center"/>
          </w:tcPr>
          <w:p w14:paraId="5A978409" w14:textId="254D050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北京兰之穹、</w:t>
            </w:r>
            <w:r w:rsidRPr="00DA3766">
              <w:rPr>
                <w:sz w:val="21"/>
                <w:szCs w:val="21"/>
              </w:rPr>
              <w:t>Astrend</w:t>
            </w:r>
            <w:r w:rsidRPr="00DA3766">
              <w:rPr>
                <w:sz w:val="21"/>
                <w:szCs w:val="21"/>
              </w:rPr>
              <w:t>、清控银杏、远翼开元、奥易克斯（天津）</w:t>
            </w:r>
            <w:r w:rsidRPr="00DA3766">
              <w:rPr>
                <w:sz w:val="21"/>
                <w:szCs w:val="21"/>
              </w:rPr>
              <w:t>27</w:t>
            </w:r>
            <w:r w:rsidRPr="00DA3766">
              <w:rPr>
                <w:sz w:val="21"/>
                <w:szCs w:val="21"/>
              </w:rPr>
              <w:t>名交易对方</w:t>
            </w:r>
          </w:p>
        </w:tc>
        <w:tc>
          <w:tcPr>
            <w:tcW w:w="925" w:type="pct"/>
            <w:tcMar>
              <w:top w:w="0" w:type="dxa"/>
              <w:left w:w="85" w:type="dxa"/>
              <w:bottom w:w="0" w:type="dxa"/>
              <w:right w:w="85" w:type="dxa"/>
            </w:tcMar>
            <w:vAlign w:val="center"/>
          </w:tcPr>
          <w:p w14:paraId="3D3AF17F" w14:textId="4875E338"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北京兰之穹、奥易克斯（天津）、长鸿明越、宣雅欣越</w:t>
            </w:r>
          </w:p>
        </w:tc>
        <w:tc>
          <w:tcPr>
            <w:tcW w:w="1518" w:type="pct"/>
            <w:shd w:val="clear" w:color="auto" w:fill="FFFFFF"/>
            <w:tcMar>
              <w:top w:w="0" w:type="dxa"/>
              <w:left w:w="85" w:type="dxa"/>
              <w:bottom w:w="0" w:type="dxa"/>
              <w:right w:w="85" w:type="dxa"/>
            </w:tcMar>
            <w:vAlign w:val="center"/>
          </w:tcPr>
          <w:p w14:paraId="288DD69E" w14:textId="33D2E8D5"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如标的公司在过渡期间产生的累积利润为负数，则由业绩承诺方按照亏损额一次性向上市公司补偿，各业绩承诺方承担的亏损补偿金额</w:t>
            </w:r>
            <w:r w:rsidRPr="00DA3766">
              <w:rPr>
                <w:sz w:val="21"/>
                <w:szCs w:val="21"/>
              </w:rPr>
              <w:t>=</w:t>
            </w:r>
            <w:r w:rsidRPr="00DA3766">
              <w:rPr>
                <w:sz w:val="21"/>
                <w:szCs w:val="21"/>
              </w:rPr>
              <w:t>过渡期间亏损额</w:t>
            </w:r>
            <w:r w:rsidRPr="00DA3766">
              <w:rPr>
                <w:sz w:val="21"/>
                <w:szCs w:val="21"/>
              </w:rPr>
              <w:t>*</w:t>
            </w:r>
            <w:r w:rsidRPr="00DA3766">
              <w:rPr>
                <w:sz w:val="21"/>
                <w:szCs w:val="21"/>
              </w:rPr>
              <w:t>（各业绩承诺方本次交易前所持有的标的公司的股份数</w:t>
            </w:r>
            <w:r w:rsidRPr="00DA3766">
              <w:rPr>
                <w:sz w:val="21"/>
                <w:szCs w:val="21"/>
              </w:rPr>
              <w:t>÷</w:t>
            </w:r>
            <w:r w:rsidRPr="00DA3766">
              <w:rPr>
                <w:sz w:val="21"/>
                <w:szCs w:val="21"/>
              </w:rPr>
              <w:t>各业绩承诺方本次交易前所持有的标的公司的股份数之和）</w:t>
            </w:r>
          </w:p>
        </w:tc>
      </w:tr>
      <w:tr w:rsidR="00737F00" w:rsidRPr="00DA3766" w14:paraId="57E5D203" w14:textId="77777777" w:rsidTr="00DA3766">
        <w:trPr>
          <w:trHeight w:val="397"/>
          <w:jc w:val="center"/>
        </w:trPr>
        <w:tc>
          <w:tcPr>
            <w:tcW w:w="363" w:type="pct"/>
            <w:shd w:val="clear" w:color="auto" w:fill="FFFFFF"/>
            <w:tcMar>
              <w:top w:w="0" w:type="dxa"/>
              <w:left w:w="85" w:type="dxa"/>
              <w:bottom w:w="0" w:type="dxa"/>
              <w:right w:w="85" w:type="dxa"/>
            </w:tcMar>
            <w:vAlign w:val="center"/>
          </w:tcPr>
          <w:p w14:paraId="5404ACDC" w14:textId="33451B6E" w:rsidR="00737F00" w:rsidRPr="00DA3766" w:rsidRDefault="00737F00"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至纯科技</w:t>
            </w:r>
          </w:p>
        </w:tc>
        <w:tc>
          <w:tcPr>
            <w:tcW w:w="661" w:type="pct"/>
            <w:shd w:val="clear" w:color="auto" w:fill="FFFFFF"/>
            <w:tcMar>
              <w:top w:w="0" w:type="dxa"/>
              <w:left w:w="85" w:type="dxa"/>
              <w:bottom w:w="0" w:type="dxa"/>
              <w:right w:w="85" w:type="dxa"/>
            </w:tcMar>
            <w:vAlign w:val="center"/>
          </w:tcPr>
          <w:p w14:paraId="526868F6" w14:textId="3A27CDFE" w:rsidR="00737F00" w:rsidRPr="00DA3766" w:rsidRDefault="00737F00"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603690.SH</w:t>
            </w:r>
          </w:p>
        </w:tc>
        <w:tc>
          <w:tcPr>
            <w:tcW w:w="705" w:type="pct"/>
            <w:tcMar>
              <w:top w:w="0" w:type="dxa"/>
              <w:left w:w="85" w:type="dxa"/>
              <w:bottom w:w="0" w:type="dxa"/>
              <w:right w:w="85" w:type="dxa"/>
            </w:tcMar>
            <w:vAlign w:val="center"/>
          </w:tcPr>
          <w:p w14:paraId="0A8F7492" w14:textId="0DACA08C" w:rsidR="00737F00" w:rsidRPr="00DA3766" w:rsidRDefault="00737F00"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上海波汇科技股份有限公司</w:t>
            </w:r>
          </w:p>
        </w:tc>
        <w:tc>
          <w:tcPr>
            <w:tcW w:w="828" w:type="pct"/>
            <w:tcMar>
              <w:top w:w="0" w:type="dxa"/>
              <w:left w:w="85" w:type="dxa"/>
              <w:bottom w:w="0" w:type="dxa"/>
              <w:right w:w="85" w:type="dxa"/>
            </w:tcMar>
            <w:vAlign w:val="center"/>
          </w:tcPr>
          <w:p w14:paraId="077D8916" w14:textId="356A078C" w:rsidR="00737F00" w:rsidRPr="00DA3766" w:rsidRDefault="00737F00"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赵浩、人保远望、平湖波威、青岛海丝、平湖合波等</w:t>
            </w:r>
            <w:r w:rsidRPr="00DA3766">
              <w:rPr>
                <w:sz w:val="21"/>
                <w:szCs w:val="21"/>
              </w:rPr>
              <w:t>11</w:t>
            </w:r>
            <w:r w:rsidRPr="00DA3766">
              <w:rPr>
                <w:sz w:val="21"/>
                <w:szCs w:val="21"/>
              </w:rPr>
              <w:t>名交易对方</w:t>
            </w:r>
          </w:p>
        </w:tc>
        <w:tc>
          <w:tcPr>
            <w:tcW w:w="925" w:type="pct"/>
            <w:tcMar>
              <w:top w:w="0" w:type="dxa"/>
              <w:left w:w="85" w:type="dxa"/>
              <w:bottom w:w="0" w:type="dxa"/>
              <w:right w:w="85" w:type="dxa"/>
            </w:tcMar>
            <w:vAlign w:val="center"/>
          </w:tcPr>
          <w:p w14:paraId="14F73A4D" w14:textId="17A62575" w:rsidR="00737F00" w:rsidRPr="00DA3766" w:rsidRDefault="00871126"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赵浩、高菁、平湖波威、平湖合波、上海蒲锐迪、上海颀瑞</w:t>
            </w:r>
          </w:p>
        </w:tc>
        <w:tc>
          <w:tcPr>
            <w:tcW w:w="1518" w:type="pct"/>
            <w:shd w:val="clear" w:color="auto" w:fill="FFFFFF"/>
            <w:tcMar>
              <w:top w:w="0" w:type="dxa"/>
              <w:left w:w="85" w:type="dxa"/>
              <w:bottom w:w="0" w:type="dxa"/>
              <w:right w:w="85" w:type="dxa"/>
            </w:tcMar>
            <w:vAlign w:val="center"/>
          </w:tcPr>
          <w:p w14:paraId="3C77B84A" w14:textId="16C73CD5" w:rsidR="00737F00" w:rsidRPr="00DA3766" w:rsidRDefault="00737F00" w:rsidP="001076ED">
            <w:pPr>
              <w:pStyle w:val="005"/>
              <w:keepNext/>
              <w:adjustRightInd w:val="0"/>
              <w:snapToGrid w:val="0"/>
              <w:spacing w:beforeLines="0" w:before="0" w:afterLines="0" w:after="0" w:line="240" w:lineRule="auto"/>
              <w:ind w:firstLineChars="0" w:firstLine="0"/>
              <w:rPr>
                <w:sz w:val="21"/>
                <w:szCs w:val="21"/>
              </w:rPr>
            </w:pPr>
            <w:r w:rsidRPr="00DA3766">
              <w:rPr>
                <w:sz w:val="21"/>
                <w:szCs w:val="21"/>
              </w:rPr>
              <w:t>标的资产在过渡期间运营过程中所产生的收益由至纯科技享有；亏损由业绩承诺方以现金方式向至纯科技承担连带补足责任</w:t>
            </w:r>
          </w:p>
        </w:tc>
      </w:tr>
    </w:tbl>
    <w:p w14:paraId="0668AF5F" w14:textId="77595C81" w:rsidR="005B6FE9" w:rsidRPr="00DA3766" w:rsidRDefault="00396A3E" w:rsidP="00396A3E">
      <w:pPr>
        <w:pStyle w:val="005"/>
        <w:spacing w:before="120" w:after="120"/>
        <w:ind w:firstLine="480"/>
      </w:pPr>
      <w:r w:rsidRPr="00DA3766">
        <w:t>综上，本次交易中业绩承诺资产过渡期损益的安排系交易各方参考《监管规则适用指引</w:t>
      </w:r>
      <w:r w:rsidRPr="00DA3766">
        <w:t>——</w:t>
      </w:r>
      <w:r w:rsidRPr="00DA3766">
        <w:t>上市类第</w:t>
      </w:r>
      <w:r w:rsidRPr="00DA3766">
        <w:t>1</w:t>
      </w:r>
      <w:r w:rsidRPr="00DA3766">
        <w:t>号》相关规定，并结合相关市场案例与交易各方实际情况，经各方友好协商确定，具有合理性。</w:t>
      </w:r>
    </w:p>
    <w:p w14:paraId="56328683" w14:textId="2EB13459" w:rsidR="00A27B0F" w:rsidRPr="00DA3766" w:rsidRDefault="00A27B0F" w:rsidP="00A27B0F">
      <w:pPr>
        <w:pStyle w:val="005"/>
        <w:spacing w:before="120" w:after="120"/>
        <w:ind w:firstLineChars="0" w:firstLine="480"/>
      </w:pPr>
      <w:r w:rsidRPr="00DA3766">
        <w:lastRenderedPageBreak/>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十五、本次交易业绩补偿期与过渡期存在重合的具体扣减安排及业绩承诺期和过渡期损益的具体安排符合《监管规则适用指引</w:t>
      </w:r>
      <w:r w:rsidRPr="00DA3766">
        <w:t>——</w:t>
      </w:r>
      <w:r w:rsidRPr="00DA3766">
        <w:t>上市类第</w:t>
      </w:r>
      <w:r w:rsidRPr="00DA3766">
        <w:t>1</w:t>
      </w:r>
      <w:r w:rsidRPr="00DA3766">
        <w:t>号》的规定</w:t>
      </w:r>
      <w:r w:rsidRPr="00DA3766">
        <w:rPr>
          <w:rFonts w:ascii="宋体" w:hAnsi="宋体"/>
        </w:rPr>
        <w:t>”</w:t>
      </w:r>
      <w:r w:rsidRPr="00DA3766">
        <w:t>补充披露。</w:t>
      </w:r>
    </w:p>
    <w:bookmarkEnd w:id="137"/>
    <w:p w14:paraId="18765B9E" w14:textId="28799633" w:rsidR="00347AEF" w:rsidRPr="00DA3766" w:rsidRDefault="00347AEF" w:rsidP="00347AEF">
      <w:pPr>
        <w:pStyle w:val="002"/>
        <w:spacing w:before="120" w:after="120"/>
        <w:ind w:firstLine="482"/>
      </w:pPr>
      <w:r w:rsidRPr="00DA3766">
        <w:t>五、</w:t>
      </w:r>
      <w:bookmarkStart w:id="141" w:name="_Hlk219326877"/>
      <w:bookmarkStart w:id="142" w:name="_Hlk219324003"/>
      <w:r w:rsidRPr="00DA3766">
        <w:t>按照《监管规则适用指引</w:t>
      </w:r>
      <w:r w:rsidRPr="00DA3766">
        <w:t>——</w:t>
      </w:r>
      <w:r w:rsidRPr="00DA3766">
        <w:t>上市类第</w:t>
      </w:r>
      <w:r w:rsidRPr="00DA3766">
        <w:t>1</w:t>
      </w:r>
      <w:r w:rsidRPr="00DA3766">
        <w:t>号》的要求补充披露</w:t>
      </w:r>
      <w:bookmarkStart w:id="143" w:name="OLE_LINK27"/>
      <w:r w:rsidRPr="00DA3766">
        <w:t>业绩奖励的原因、依据及合理性，</w:t>
      </w:r>
      <w:bookmarkStart w:id="144" w:name="OLE_LINK3"/>
      <w:r w:rsidRPr="00DA3766">
        <w:t>不同业绩奖励方式相关会计处理及对上市公司可能造成的影响</w:t>
      </w:r>
      <w:bookmarkEnd w:id="144"/>
      <w:r w:rsidRPr="00DA3766">
        <w:t>，</w:t>
      </w:r>
      <w:bookmarkStart w:id="145" w:name="OLE_LINK17"/>
      <w:r w:rsidRPr="00DA3766">
        <w:t>并明确业绩奖励的范围和确定方式，是否包含上市公司控股股东、实际控制人或其控制的关联人，超额业绩奖励安排是否符合《监管规则适用指引</w:t>
      </w:r>
      <w:r w:rsidRPr="00DA3766">
        <w:t>——</w:t>
      </w:r>
      <w:r w:rsidRPr="00DA3766">
        <w:t>上市类第</w:t>
      </w:r>
      <w:r w:rsidRPr="00DA3766">
        <w:t>1</w:t>
      </w:r>
      <w:r w:rsidRPr="00DA3766">
        <w:t>号》的规定</w:t>
      </w:r>
      <w:bookmarkEnd w:id="141"/>
      <w:bookmarkEnd w:id="143"/>
      <w:bookmarkEnd w:id="145"/>
      <w:r w:rsidRPr="00DA3766">
        <w:t>。</w:t>
      </w:r>
    </w:p>
    <w:p w14:paraId="3E36F904" w14:textId="0A9AC040" w:rsidR="00396A3E" w:rsidRPr="00DA3766" w:rsidRDefault="00EC1BF0" w:rsidP="00EC1BF0">
      <w:pPr>
        <w:pStyle w:val="003"/>
        <w:spacing w:before="120" w:after="120"/>
        <w:ind w:firstLine="482"/>
      </w:pPr>
      <w:bookmarkStart w:id="146" w:name="_Hlk219332072"/>
      <w:r w:rsidRPr="00DA3766">
        <w:t>（一）</w:t>
      </w:r>
      <w:bookmarkStart w:id="147" w:name="_Hlk219324142"/>
      <w:r w:rsidR="00396A3E" w:rsidRPr="00DA3766">
        <w:t>《监管规则适用指引</w:t>
      </w:r>
      <w:r w:rsidR="00396A3E" w:rsidRPr="00DA3766">
        <w:t>——</w:t>
      </w:r>
      <w:r w:rsidR="00396A3E" w:rsidRPr="00DA3766">
        <w:t>上市类第</w:t>
      </w:r>
      <w:r w:rsidR="00396A3E" w:rsidRPr="00DA3766">
        <w:t>1</w:t>
      </w:r>
      <w:r w:rsidR="00396A3E" w:rsidRPr="00DA3766">
        <w:t>号》的相关规定</w:t>
      </w:r>
      <w:bookmarkEnd w:id="147"/>
    </w:p>
    <w:p w14:paraId="1B568C44" w14:textId="796386DA" w:rsidR="00396A3E" w:rsidRPr="00DA3766" w:rsidRDefault="00396A3E" w:rsidP="00396A3E">
      <w:pPr>
        <w:pStyle w:val="005"/>
        <w:spacing w:before="120" w:after="120"/>
        <w:ind w:firstLine="480"/>
      </w:pPr>
      <w:bookmarkStart w:id="148" w:name="_Hlk219324155"/>
      <w:r w:rsidRPr="00DA3766">
        <w:t>根据《监管规则适用指引</w:t>
      </w:r>
      <w:r w:rsidRPr="00DA3766">
        <w:t>——</w:t>
      </w:r>
      <w:r w:rsidRPr="00DA3766">
        <w:t>上市类第</w:t>
      </w:r>
      <w:r w:rsidRPr="00DA3766">
        <w:t>1</w:t>
      </w:r>
      <w:r w:rsidRPr="00DA3766">
        <w:t>号》之</w:t>
      </w:r>
      <w:r w:rsidRPr="00DA3766">
        <w:rPr>
          <w:rFonts w:ascii="宋体" w:hAnsi="宋体"/>
        </w:rPr>
        <w:t>“</w:t>
      </w:r>
      <w:r w:rsidRPr="00DA3766">
        <w:t>1-2</w:t>
      </w:r>
      <w:r w:rsidRPr="00DA3766">
        <w:t>业绩补偿及奖励</w:t>
      </w:r>
      <w:r w:rsidRPr="00DA3766">
        <w:rPr>
          <w:rFonts w:ascii="宋体" w:hAnsi="宋体"/>
        </w:rPr>
        <w:t>”</w:t>
      </w:r>
      <w:r w:rsidR="00176D50" w:rsidRPr="00DA3766">
        <w:t>相关</w:t>
      </w:r>
      <w:r w:rsidRPr="00DA3766">
        <w:t>规定：</w:t>
      </w:r>
    </w:p>
    <w:p w14:paraId="624FCFC3" w14:textId="77777777" w:rsidR="00396A3E" w:rsidRPr="00DA3766" w:rsidRDefault="00396A3E" w:rsidP="00396A3E">
      <w:pPr>
        <w:pStyle w:val="005"/>
        <w:spacing w:before="120" w:after="120"/>
        <w:ind w:firstLine="480"/>
      </w:pPr>
      <w:r w:rsidRPr="00DA3766">
        <w:rPr>
          <w:rFonts w:ascii="宋体" w:hAnsi="宋体"/>
        </w:rPr>
        <w:t>“</w:t>
      </w:r>
      <w:r w:rsidRPr="00DA3766">
        <w:t>四、业绩奖励</w:t>
      </w:r>
    </w:p>
    <w:p w14:paraId="2AE25B7C" w14:textId="77777777" w:rsidR="00396A3E" w:rsidRPr="00DA3766" w:rsidRDefault="00396A3E" w:rsidP="00396A3E">
      <w:pPr>
        <w:pStyle w:val="005"/>
        <w:spacing w:before="120" w:after="120"/>
        <w:ind w:firstLine="480"/>
      </w:pPr>
      <w:r w:rsidRPr="00DA3766">
        <w:t>（一）上市公司重大资产重组方案中，对标的资产交易对方、管理层或核心技术人员设置业绩奖励安排时，应基于标的资产实际盈利数大于预测数的超额部分，奖励总额不应超过其超额业绩部分的</w:t>
      </w:r>
      <w:r w:rsidRPr="00DA3766">
        <w:t>100%</w:t>
      </w:r>
      <w:r w:rsidRPr="00DA3766">
        <w:t>，且不超过其交易作价的</w:t>
      </w:r>
      <w:r w:rsidRPr="00DA3766">
        <w:t>20%</w:t>
      </w:r>
      <w:r w:rsidRPr="00DA3766">
        <w:t>。</w:t>
      </w:r>
    </w:p>
    <w:p w14:paraId="48DC7040" w14:textId="77777777" w:rsidR="00396A3E" w:rsidRPr="00DA3766" w:rsidRDefault="00396A3E" w:rsidP="00396A3E">
      <w:pPr>
        <w:pStyle w:val="005"/>
        <w:spacing w:before="120" w:after="120"/>
        <w:ind w:firstLine="480"/>
      </w:pPr>
      <w:r w:rsidRPr="00DA3766">
        <w:t>（二）上市公司应在重组报告书中充分披露设置业绩奖励的原因、依据及合理性，相关会计处理及对上市公司可能造成的影响。</w:t>
      </w:r>
    </w:p>
    <w:p w14:paraId="4BCB16AC" w14:textId="77777777" w:rsidR="00396A3E" w:rsidRPr="00DA3766" w:rsidRDefault="00396A3E" w:rsidP="00396A3E">
      <w:pPr>
        <w:pStyle w:val="005"/>
        <w:spacing w:before="120" w:after="120"/>
        <w:ind w:firstLine="480"/>
      </w:pPr>
      <w:r w:rsidRPr="00DA3766">
        <w:t>（三）上市公司应在重组报告书中明确业绩奖励对象的范围、确定方式。交易对方为上市公司控股股东、实际控制人或者其控制的关联人的，不得对上述对象做出奖励安排。</w:t>
      </w:r>
    </w:p>
    <w:p w14:paraId="7885A32E" w14:textId="77777777" w:rsidR="00396A3E" w:rsidRPr="00DA3766" w:rsidRDefault="00396A3E" w:rsidP="00396A3E">
      <w:pPr>
        <w:pStyle w:val="005"/>
        <w:spacing w:before="120" w:after="120"/>
        <w:ind w:firstLine="480"/>
      </w:pPr>
      <w:r w:rsidRPr="00DA3766">
        <w:t>（四）涉及国有资产的，应同时符合国有资产管理部门的规定。</w:t>
      </w:r>
    </w:p>
    <w:p w14:paraId="0203A242" w14:textId="77777777" w:rsidR="00396A3E" w:rsidRPr="00DA3766" w:rsidRDefault="00396A3E" w:rsidP="00396A3E">
      <w:pPr>
        <w:pStyle w:val="005"/>
        <w:spacing w:before="120" w:after="120"/>
        <w:ind w:firstLine="480"/>
      </w:pPr>
      <w:r w:rsidRPr="00DA3766">
        <w:t>五、业绩补偿、奖励相关会计政策</w:t>
      </w:r>
    </w:p>
    <w:p w14:paraId="6B4E820D" w14:textId="77777777" w:rsidR="00396A3E" w:rsidRPr="00DA3766" w:rsidRDefault="00396A3E" w:rsidP="00396A3E">
      <w:pPr>
        <w:pStyle w:val="005"/>
        <w:spacing w:before="120" w:after="120"/>
        <w:ind w:firstLine="480"/>
      </w:pPr>
      <w:r w:rsidRPr="00DA3766">
        <w:t>并购重组中交易双方有业绩承诺、业绩奖励等安排的，如标的资产业绩承诺、业绩奖励期适用的收入准则等会计准则发生变更，交易双方应当充分考虑标的资产业绩承诺、业绩奖励期适用不同会计准则的影响，就标的资产业绩承诺、业绩奖励的计算基础以及调整方式做出明确约定，并对争议解决作出明确安排。上述安排应当在重组报告书中或是以其他规定方式予以披露。</w:t>
      </w:r>
    </w:p>
    <w:p w14:paraId="25A9444C" w14:textId="57880720" w:rsidR="00396A3E" w:rsidRPr="00DA3766" w:rsidRDefault="00396A3E" w:rsidP="00396A3E">
      <w:pPr>
        <w:pStyle w:val="005"/>
        <w:spacing w:before="120" w:after="120"/>
        <w:ind w:firstLine="480"/>
      </w:pPr>
      <w:r w:rsidRPr="00DA3766">
        <w:lastRenderedPageBreak/>
        <w:t>业绩承诺期内上市公司还应当在每年《收购资产业绩承诺实现情况的专项说明》中明确披露标的资产当年实现业绩计算是否受会计政策变更影响；如有，需详细说明具体影响情况。财务顾问、会计师等相关中介机构应当就业绩完成情况发表明确意见。业绩承诺未完成的，相关方应履行承诺予以补偿。</w:t>
      </w:r>
      <w:r w:rsidRPr="00DA3766">
        <w:rPr>
          <w:rFonts w:ascii="宋体" w:hAnsi="宋体"/>
        </w:rPr>
        <w:t>”</w:t>
      </w:r>
      <w:bookmarkEnd w:id="148"/>
    </w:p>
    <w:p w14:paraId="32EC90D3" w14:textId="700A0BC3" w:rsidR="004A1CF9" w:rsidRPr="00DA3766" w:rsidRDefault="00396A3E" w:rsidP="00396A3E">
      <w:pPr>
        <w:pStyle w:val="003"/>
        <w:spacing w:before="120" w:after="120"/>
        <w:ind w:firstLine="482"/>
      </w:pPr>
      <w:r w:rsidRPr="00DA3766">
        <w:t>（二）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sidRPr="00DA3766">
        <w:t>——</w:t>
      </w:r>
      <w:r w:rsidRPr="00DA3766">
        <w:t>上市类第</w:t>
      </w:r>
      <w:r w:rsidRPr="00DA3766">
        <w:t>1</w:t>
      </w:r>
      <w:r w:rsidRPr="00DA3766">
        <w:t>号》的规定</w:t>
      </w:r>
    </w:p>
    <w:p w14:paraId="2DD3B645" w14:textId="1C60BCA0" w:rsidR="00EC1BF0" w:rsidRPr="00DA3766" w:rsidRDefault="00EC1BF0" w:rsidP="003101C1">
      <w:pPr>
        <w:pStyle w:val="004"/>
        <w:spacing w:before="120" w:after="120"/>
        <w:ind w:firstLine="482"/>
      </w:pPr>
      <w:r w:rsidRPr="00DA3766">
        <w:t>1</w:t>
      </w:r>
      <w:r w:rsidRPr="00DA3766">
        <w:t>、</w:t>
      </w:r>
      <w:bookmarkStart w:id="149" w:name="_Hlk219324107"/>
      <w:r w:rsidRPr="00DA3766">
        <w:t>设置超额业绩奖励的原因</w:t>
      </w:r>
      <w:r w:rsidR="00396A3E" w:rsidRPr="00DA3766">
        <w:t>、依据及合理性</w:t>
      </w:r>
      <w:bookmarkEnd w:id="149"/>
    </w:p>
    <w:p w14:paraId="57ABCF8F" w14:textId="775E4F1A" w:rsidR="00396A3E" w:rsidRPr="00DA3766" w:rsidRDefault="00396A3E" w:rsidP="00396A3E">
      <w:pPr>
        <w:pStyle w:val="005"/>
        <w:spacing w:before="120" w:after="120"/>
        <w:ind w:firstLine="482"/>
        <w:rPr>
          <w:b/>
          <w:bCs/>
        </w:rPr>
      </w:pPr>
      <w:r w:rsidRPr="00DA3766">
        <w:rPr>
          <w:b/>
          <w:bCs/>
        </w:rPr>
        <w:t>（</w:t>
      </w:r>
      <w:r w:rsidRPr="00DA3766">
        <w:rPr>
          <w:b/>
          <w:bCs/>
        </w:rPr>
        <w:t>1</w:t>
      </w:r>
      <w:r w:rsidRPr="00DA3766">
        <w:rPr>
          <w:b/>
          <w:bCs/>
        </w:rPr>
        <w:t>）设置超额业绩奖励的原因</w:t>
      </w:r>
    </w:p>
    <w:p w14:paraId="3640D0DA" w14:textId="2EB0D5CD" w:rsidR="00EC1BF0" w:rsidRPr="00DA3766" w:rsidRDefault="00EC1BF0" w:rsidP="00EC1BF0">
      <w:pPr>
        <w:pStyle w:val="005"/>
        <w:spacing w:before="120" w:after="120"/>
        <w:ind w:firstLine="480"/>
      </w:pPr>
      <w:r w:rsidRPr="00DA3766">
        <w:t>为保障标的公司业绩承诺净利润的实现，以及激发标的公司经营管理团队在达到业绩承诺净利润之后继续提升标的公司盈利水平的主动性，本次交易方案中设置了超额业绩奖励条款。该等安排既可以调动标的公司经营管理团队发展标的公司业务的动力和积极性，同时也能有效控制标的公司管理层及核心员工的流失，为上市公司创造更多的价值，进而有利于维护上市公司及中小股东的利益。</w:t>
      </w:r>
    </w:p>
    <w:p w14:paraId="041E04C0" w14:textId="510CE128" w:rsidR="00EC1BF0" w:rsidRPr="00DA3766" w:rsidRDefault="00396A3E" w:rsidP="00396A3E">
      <w:pPr>
        <w:pStyle w:val="005"/>
        <w:spacing w:before="120" w:after="120"/>
        <w:ind w:firstLine="482"/>
        <w:rPr>
          <w:b/>
          <w:bCs/>
        </w:rPr>
      </w:pPr>
      <w:r w:rsidRPr="00DA3766">
        <w:rPr>
          <w:b/>
          <w:bCs/>
        </w:rPr>
        <w:t>（</w:t>
      </w:r>
      <w:r w:rsidRPr="00DA3766">
        <w:rPr>
          <w:b/>
          <w:bCs/>
        </w:rPr>
        <w:t>2</w:t>
      </w:r>
      <w:r w:rsidRPr="00DA3766">
        <w:rPr>
          <w:b/>
          <w:bCs/>
        </w:rPr>
        <w:t>）</w:t>
      </w:r>
      <w:r w:rsidR="00EC1BF0" w:rsidRPr="00DA3766">
        <w:rPr>
          <w:b/>
          <w:bCs/>
        </w:rPr>
        <w:t>设置超额业绩奖励的依据</w:t>
      </w:r>
    </w:p>
    <w:p w14:paraId="0325AA4A" w14:textId="0CFE2599" w:rsidR="00EC1BF0" w:rsidRPr="00DA3766" w:rsidRDefault="00EC1BF0" w:rsidP="00EC1BF0">
      <w:pPr>
        <w:pStyle w:val="005"/>
        <w:spacing w:before="120" w:after="120"/>
        <w:ind w:firstLine="480"/>
      </w:pPr>
      <w:r w:rsidRPr="00DA3766">
        <w:t>根据《监管规则适用指引</w:t>
      </w:r>
      <w:r w:rsidRPr="00DA3766">
        <w:t>——</w:t>
      </w:r>
      <w:r w:rsidRPr="00DA3766">
        <w:t>上市类第</w:t>
      </w:r>
      <w:r w:rsidRPr="00DA3766">
        <w:t>1</w:t>
      </w:r>
      <w:r w:rsidRPr="00DA3766">
        <w:t>号》</w:t>
      </w:r>
      <w:r w:rsidRPr="00DA3766">
        <w:t>1-2</w:t>
      </w:r>
      <w:r w:rsidRPr="00DA3766">
        <w:t>的有关规定，上市公司重大资产重组方案中，对标的资产交易对方、管理层或核心技术人员设置业绩奖励安排时，应基于标的资产实际盈利数大于预测数的超额部分，奖励总额不应超过其超额业绩部分的</w:t>
      </w:r>
      <w:r w:rsidRPr="00DA3766">
        <w:t>100%</w:t>
      </w:r>
      <w:r w:rsidRPr="00DA3766">
        <w:t>，且不超过其交易作价的</w:t>
      </w:r>
      <w:r w:rsidRPr="00DA3766">
        <w:t>20%</w:t>
      </w:r>
      <w:r w:rsidRPr="00DA3766">
        <w:t>。</w:t>
      </w:r>
    </w:p>
    <w:p w14:paraId="034B3EE0" w14:textId="28861373" w:rsidR="00EC1BF0" w:rsidRPr="00DA3766" w:rsidRDefault="00EC1BF0" w:rsidP="00EC1BF0">
      <w:pPr>
        <w:pStyle w:val="005"/>
        <w:spacing w:before="120" w:after="120"/>
        <w:ind w:firstLine="480"/>
      </w:pPr>
      <w:r w:rsidRPr="00DA3766">
        <w:t>本次交易中，超额业绩奖励总额不超过标的公司超额业绩部分的</w:t>
      </w:r>
      <w:r w:rsidRPr="00DA3766">
        <w:t>50%</w:t>
      </w:r>
      <w:r w:rsidRPr="00DA3766">
        <w:t>，且不超过该次交易作价总额的</w:t>
      </w:r>
      <w:r w:rsidRPr="00DA3766">
        <w:t>20%</w:t>
      </w:r>
      <w:r w:rsidRPr="00DA3766">
        <w:t>，符合上述规定。</w:t>
      </w:r>
    </w:p>
    <w:p w14:paraId="33E2436C" w14:textId="75559FD1" w:rsidR="00EC1BF0" w:rsidRPr="00DA3766" w:rsidRDefault="00396A3E" w:rsidP="00396A3E">
      <w:pPr>
        <w:pStyle w:val="005"/>
        <w:spacing w:before="120" w:after="120"/>
        <w:ind w:firstLine="482"/>
        <w:rPr>
          <w:b/>
          <w:bCs/>
        </w:rPr>
      </w:pPr>
      <w:r w:rsidRPr="00DA3766">
        <w:rPr>
          <w:b/>
          <w:bCs/>
        </w:rPr>
        <w:t>（</w:t>
      </w:r>
      <w:r w:rsidRPr="00DA3766">
        <w:rPr>
          <w:b/>
          <w:bCs/>
        </w:rPr>
        <w:t>3</w:t>
      </w:r>
      <w:r w:rsidRPr="00DA3766">
        <w:rPr>
          <w:b/>
          <w:bCs/>
        </w:rPr>
        <w:t>）</w:t>
      </w:r>
      <w:r w:rsidR="00EC1BF0" w:rsidRPr="00DA3766">
        <w:rPr>
          <w:b/>
          <w:bCs/>
        </w:rPr>
        <w:t>设置超额业绩奖励的合理性</w:t>
      </w:r>
    </w:p>
    <w:p w14:paraId="26C1EC5E" w14:textId="69454AAB" w:rsidR="00EC1BF0" w:rsidRPr="00DA3766" w:rsidRDefault="00EC1BF0" w:rsidP="00EC1BF0">
      <w:pPr>
        <w:pStyle w:val="005"/>
        <w:spacing w:before="120" w:after="120"/>
        <w:ind w:firstLine="480"/>
      </w:pPr>
      <w:r w:rsidRPr="00DA3766">
        <w:t>本次业绩奖励是以标的公司实现超额业绩为前提，是在标的公司完成承诺业绩后对超额净利润进行分配的机制。在奖励标的公司经营管理团队的同时，上市公司也获得了标的公司带来的超额回报。因此，本次交易设置的超额业绩奖励方案充分考虑了上市公司及全体股东的利益、对标的公司经营管理团队的激励效果、</w:t>
      </w:r>
      <w:r w:rsidRPr="00DA3766">
        <w:lastRenderedPageBreak/>
        <w:t>超额业绩贡献等多项因素，经上市公司与交易各方基于自愿、公平交易的原则协商一致后达成，符合相关法律法规的要求，亦符合上市公司并购重组的交易惯例，具有合理性。</w:t>
      </w:r>
    </w:p>
    <w:p w14:paraId="321E01DA" w14:textId="433A5E71" w:rsidR="00EC1BF0" w:rsidRPr="00DA3766" w:rsidRDefault="00396A3E" w:rsidP="003101C1">
      <w:pPr>
        <w:pStyle w:val="004"/>
        <w:spacing w:before="120" w:after="120"/>
        <w:ind w:firstLine="482"/>
      </w:pPr>
      <w:r w:rsidRPr="00DA3766">
        <w:t>2</w:t>
      </w:r>
      <w:r w:rsidRPr="00DA3766">
        <w:t>、</w:t>
      </w:r>
      <w:r w:rsidR="00EC1BF0" w:rsidRPr="00DA3766">
        <w:t>不同业绩奖励方式相关会计处理及对上市公司可能造成的影响</w:t>
      </w:r>
    </w:p>
    <w:p w14:paraId="2D3D590F" w14:textId="0C2FD41F" w:rsidR="00EC1BF0" w:rsidRPr="00DA3766" w:rsidRDefault="00396A3E" w:rsidP="00396A3E">
      <w:pPr>
        <w:pStyle w:val="005"/>
        <w:spacing w:before="120" w:after="120"/>
        <w:ind w:firstLine="482"/>
        <w:rPr>
          <w:b/>
          <w:bCs/>
        </w:rPr>
      </w:pPr>
      <w:r w:rsidRPr="00DA3766">
        <w:rPr>
          <w:b/>
          <w:bCs/>
        </w:rPr>
        <w:t>（</w:t>
      </w:r>
      <w:r w:rsidRPr="00DA3766">
        <w:rPr>
          <w:b/>
          <w:bCs/>
        </w:rPr>
        <w:t>1</w:t>
      </w:r>
      <w:r w:rsidRPr="00DA3766">
        <w:rPr>
          <w:b/>
          <w:bCs/>
        </w:rPr>
        <w:t>）不同业绩奖励方式的相关会计处理</w:t>
      </w:r>
    </w:p>
    <w:p w14:paraId="57FCB08B" w14:textId="5BB5EB77" w:rsidR="00396A3E" w:rsidRPr="00DA3766" w:rsidRDefault="00396A3E" w:rsidP="00396A3E">
      <w:pPr>
        <w:pStyle w:val="005"/>
        <w:spacing w:before="120" w:after="120"/>
        <w:ind w:firstLine="480"/>
      </w:pPr>
      <w:bookmarkStart w:id="150" w:name="OLE_LINK130"/>
      <w:r w:rsidRPr="00DA3766">
        <w:t>根据《上市公司执行企业会计准则案例解析》《企业会计准则第</w:t>
      </w:r>
      <w:r w:rsidRPr="00DA3766">
        <w:t>9</w:t>
      </w:r>
      <w:r w:rsidRPr="00DA3766">
        <w:t>号</w:t>
      </w:r>
      <w:r w:rsidRPr="00DA3766">
        <w:t>——</w:t>
      </w:r>
      <w:r w:rsidRPr="00DA3766">
        <w:t>职工薪酬》，本次超额业绩奖励对象为标的公司管理团队及核心人员，该项支付安排实质上是为了获取员工服务而给予的激励和报酬，故列入职工薪酬核算。本次超额业绩奖励在业绩承诺期内按年计入标的公司当期费用，并于业绩承诺期满后，由标的公司统一结算、发放</w:t>
      </w:r>
      <w:bookmarkEnd w:id="150"/>
      <w:r w:rsidRPr="00DA3766">
        <w:t>。</w:t>
      </w:r>
    </w:p>
    <w:p w14:paraId="7AB62BC9" w14:textId="0717FE13" w:rsidR="00396A3E" w:rsidRPr="00DA3766" w:rsidRDefault="00396A3E" w:rsidP="00D46CC7">
      <w:pPr>
        <w:pStyle w:val="005"/>
        <w:spacing w:before="120" w:after="120"/>
        <w:ind w:firstLine="480"/>
      </w:pPr>
      <w:r w:rsidRPr="00DA3766">
        <w:t>现金形式的超额业绩奖励和限制性股票激励形式的超额业绩奖励于业绩承诺期内的会计处理不存在差异，</w:t>
      </w:r>
      <w:r w:rsidR="00F26269" w:rsidRPr="00DA3766">
        <w:t>会计处理方法为：标的公司应于业绩承诺期内标的公司每年达到超额业绩奖励条件且预计未来期间很可能实现承诺净利润数时按约定公式计提应付职工薪酬，计入标的公司对应年度的成本费用，并于业绩承诺期最后一个会计年度的专项审计报告及减值测试专项审核意见披露后，由标的公司以现金或上市公司以股权支付给业绩奖励对象。</w:t>
      </w:r>
      <w:r w:rsidR="00D46CC7" w:rsidRPr="00DA3766">
        <w:t>因此，对于采用现金形式进行的超额业绩奖励，标的公司在业绩承诺期内达到超额业绩奖励条件时计提应付职工薪酬，确认为当期费用，在业绩承诺期届满之后发放；对于以限制性股票形式实施的超额业绩奖励，在业绩承诺期届满之后，由上市公司统一按照股份支付进行</w:t>
      </w:r>
      <w:r w:rsidR="00176D50" w:rsidRPr="00DA3766">
        <w:t>。</w:t>
      </w:r>
    </w:p>
    <w:p w14:paraId="7D0AF20D" w14:textId="397A4C74" w:rsidR="00EC1BF0" w:rsidRPr="00DA3766" w:rsidRDefault="00396A3E" w:rsidP="00396A3E">
      <w:pPr>
        <w:pStyle w:val="005"/>
        <w:spacing w:before="120" w:after="120"/>
        <w:ind w:firstLine="482"/>
        <w:rPr>
          <w:b/>
          <w:bCs/>
        </w:rPr>
      </w:pPr>
      <w:r w:rsidRPr="00DA3766">
        <w:rPr>
          <w:b/>
          <w:bCs/>
        </w:rPr>
        <w:t>（</w:t>
      </w:r>
      <w:r w:rsidRPr="00DA3766">
        <w:rPr>
          <w:b/>
          <w:bCs/>
        </w:rPr>
        <w:t>2</w:t>
      </w:r>
      <w:r w:rsidRPr="00DA3766">
        <w:rPr>
          <w:b/>
          <w:bCs/>
        </w:rPr>
        <w:t>）</w:t>
      </w:r>
      <w:r w:rsidR="00EC1BF0" w:rsidRPr="00DA3766">
        <w:rPr>
          <w:b/>
          <w:bCs/>
        </w:rPr>
        <w:t>对上市公司造成的影响</w:t>
      </w:r>
    </w:p>
    <w:p w14:paraId="396C3720" w14:textId="51EEA364" w:rsidR="00F65F3E" w:rsidRPr="00DA3766" w:rsidRDefault="00F65F3E" w:rsidP="00F65F3E">
      <w:pPr>
        <w:pStyle w:val="005"/>
        <w:spacing w:before="120" w:after="120"/>
        <w:ind w:firstLine="480"/>
      </w:pPr>
      <w:r w:rsidRPr="00DA3766">
        <w:t>根据超额业绩奖励安排，标的公司逐年计提业绩奖励，将增加标的公司的相应成本、费用，进而对上市公司合并报表净利润产生一定影响。但上述业绩奖励是以标的公司实现超额业绩为前提，奖励金额是在完成既定承诺值的基础上对超额净利润的分配约定，业绩奖励总金额不会超过超额业绩部分的</w:t>
      </w:r>
      <w:r w:rsidRPr="00DA3766">
        <w:t>50%</w:t>
      </w:r>
      <w:r w:rsidRPr="00DA3766">
        <w:t>。因此，在奖励标的公司经营管理团队的同时，上市公司也获得了标的公司带来的超额回报。</w:t>
      </w:r>
    </w:p>
    <w:p w14:paraId="354DAEF2" w14:textId="7E7390E4" w:rsidR="00EC1BF0" w:rsidRPr="00DA3766" w:rsidRDefault="00F65F3E" w:rsidP="00F65F3E">
      <w:pPr>
        <w:pStyle w:val="005"/>
        <w:spacing w:before="120" w:after="120"/>
        <w:ind w:firstLine="480"/>
      </w:pPr>
      <w:r w:rsidRPr="00DA3766">
        <w:t>本次业绩奖励的设置，有助于调动标的公司经营管理团队的积极性，进一步提高标的公司的盈利能力，因此，不会对标的公司、上市公司未来生产经营造成</w:t>
      </w:r>
      <w:r w:rsidRPr="00DA3766">
        <w:lastRenderedPageBreak/>
        <w:t>重大不利影响。</w:t>
      </w:r>
    </w:p>
    <w:p w14:paraId="38E38942" w14:textId="4EF3C445" w:rsidR="00396A3E" w:rsidRPr="00DA3766" w:rsidRDefault="00396A3E" w:rsidP="003101C1">
      <w:pPr>
        <w:pStyle w:val="004"/>
        <w:spacing w:before="120" w:after="120"/>
        <w:ind w:firstLine="482"/>
      </w:pPr>
      <w:bookmarkStart w:id="151" w:name="OLE_LINK19"/>
      <w:r w:rsidRPr="00DA3766">
        <w:t>3</w:t>
      </w:r>
      <w:r w:rsidRPr="00DA3766">
        <w:t>、业绩奖励</w:t>
      </w:r>
      <w:bookmarkEnd w:id="151"/>
      <w:r w:rsidRPr="00DA3766">
        <w:t>的范围和确定方式，不包含上市公司控股股东、实际控制人或其控制的关联人，</w:t>
      </w:r>
      <w:bookmarkStart w:id="152" w:name="OLE_LINK18"/>
      <w:r w:rsidRPr="00DA3766">
        <w:t>超额业绩奖励安排符合《监管规则适用指引</w:t>
      </w:r>
      <w:r w:rsidRPr="00DA3766">
        <w:t>——</w:t>
      </w:r>
      <w:r w:rsidRPr="00DA3766">
        <w:t>上市类第</w:t>
      </w:r>
      <w:r w:rsidRPr="00DA3766">
        <w:t>1</w:t>
      </w:r>
      <w:r w:rsidRPr="00DA3766">
        <w:t>号》的规定</w:t>
      </w:r>
      <w:bookmarkEnd w:id="152"/>
    </w:p>
    <w:p w14:paraId="356CD704" w14:textId="77777777" w:rsidR="00396A3E" w:rsidRPr="00DA3766" w:rsidRDefault="00396A3E" w:rsidP="00396A3E">
      <w:pPr>
        <w:pStyle w:val="005"/>
        <w:spacing w:before="120" w:after="120"/>
        <w:ind w:firstLine="480"/>
      </w:pPr>
      <w:r w:rsidRPr="00DA3766">
        <w:t>根据上市公司和业绩承诺方签署的《业绩承诺补偿协议书》，超额业绩奖励的对象为目标公司管理团队及核心人员，具体对象及分配方案由陈耿豪在符合相关规则的前提下另行决定，因超额业绩奖励所产生的税费由被奖励对象自行承担。同时，陈耿豪已出具《关于业绩奖励对象范围的承诺函》，作出以下承诺：</w:t>
      </w:r>
    </w:p>
    <w:p w14:paraId="2B817D0F" w14:textId="3EB6E6BB" w:rsidR="00396A3E" w:rsidRPr="00DA3766" w:rsidRDefault="00A74EFB" w:rsidP="00396A3E">
      <w:pPr>
        <w:pStyle w:val="005"/>
        <w:spacing w:before="120" w:after="120"/>
        <w:ind w:firstLine="480"/>
      </w:pPr>
      <w:r>
        <w:rPr>
          <w:rFonts w:hint="eastAsia"/>
        </w:rPr>
        <w:t>（</w:t>
      </w:r>
      <w:r>
        <w:rPr>
          <w:rFonts w:hint="eastAsia"/>
        </w:rPr>
        <w:t>1</w:t>
      </w:r>
      <w:r>
        <w:rPr>
          <w:rFonts w:hint="eastAsia"/>
        </w:rPr>
        <w:t>）</w:t>
      </w:r>
      <w:r w:rsidR="00396A3E" w:rsidRPr="00DA3766">
        <w:t>如触发超额业绩奖励，本人将在符合相关规则的前提下严格《业绩承诺补偿协议书》约定决定超额业绩奖励的具体对象及分配方案，业绩奖励对象为标的公司管理团队及核心人员。</w:t>
      </w:r>
    </w:p>
    <w:p w14:paraId="21A782AA" w14:textId="4013320B" w:rsidR="00396A3E" w:rsidRPr="00DA3766" w:rsidRDefault="00A74EFB" w:rsidP="00396A3E">
      <w:pPr>
        <w:pStyle w:val="005"/>
        <w:spacing w:before="120" w:after="120"/>
        <w:ind w:firstLine="480"/>
      </w:pPr>
      <w:r>
        <w:rPr>
          <w:rFonts w:hint="eastAsia"/>
        </w:rPr>
        <w:t>（</w:t>
      </w:r>
      <w:r>
        <w:rPr>
          <w:rFonts w:hint="eastAsia"/>
        </w:rPr>
        <w:t>2</w:t>
      </w:r>
      <w:r>
        <w:rPr>
          <w:rFonts w:hint="eastAsia"/>
        </w:rPr>
        <w:t>）</w:t>
      </w:r>
      <w:r w:rsidR="00396A3E" w:rsidRPr="00DA3766">
        <w:t>如触发超额业绩奖励，本人承诺未来决定超额业绩奖励的具体对象将不包括上市公司控股股东、实际控制人或者其控制的关联人。</w:t>
      </w:r>
    </w:p>
    <w:p w14:paraId="324C81E9" w14:textId="29F5ADED" w:rsidR="00396A3E" w:rsidRPr="00DA3766" w:rsidRDefault="00396A3E" w:rsidP="00396A3E">
      <w:pPr>
        <w:pStyle w:val="005"/>
        <w:spacing w:before="120" w:after="120"/>
        <w:ind w:firstLine="480"/>
      </w:pPr>
      <w:r w:rsidRPr="00DA3766">
        <w:t>综上，本次交易设置的超额业绩奖励安排符合《监管规则适用指引</w:t>
      </w:r>
      <w:r w:rsidRPr="00DA3766">
        <w:t>——</w:t>
      </w:r>
      <w:r w:rsidRPr="00DA3766">
        <w:t>上市类第</w:t>
      </w:r>
      <w:r w:rsidRPr="00DA3766">
        <w:t>1</w:t>
      </w:r>
      <w:r w:rsidRPr="00DA3766">
        <w:t>号》的规定。</w:t>
      </w:r>
      <w:bookmarkEnd w:id="142"/>
    </w:p>
    <w:p w14:paraId="4910B8A6" w14:textId="72C16AB9" w:rsidR="00A27B0F" w:rsidRPr="00DA3766" w:rsidRDefault="00A27B0F" w:rsidP="00A27B0F">
      <w:pPr>
        <w:pStyle w:val="005"/>
        <w:spacing w:before="120" w:after="120"/>
        <w:ind w:firstLineChars="0"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十六、本次交易的超额业绩奖励安排符合《监管规则适用指引</w:t>
      </w:r>
      <w:r w:rsidRPr="00DA3766">
        <w:t>——</w:t>
      </w:r>
      <w:r w:rsidRPr="00DA3766">
        <w:t>上市类第</w:t>
      </w:r>
      <w:r w:rsidRPr="00DA3766">
        <w:t>1</w:t>
      </w:r>
      <w:r w:rsidRPr="00DA3766">
        <w:t>号》的规定</w:t>
      </w:r>
      <w:r w:rsidRPr="00DA3766">
        <w:rPr>
          <w:rFonts w:ascii="宋体" w:hAnsi="宋体"/>
        </w:rPr>
        <w:t>”</w:t>
      </w:r>
      <w:r w:rsidRPr="00DA3766">
        <w:t>补充披露。</w:t>
      </w:r>
    </w:p>
    <w:bookmarkEnd w:id="146"/>
    <w:p w14:paraId="0FA5798B" w14:textId="308AFA66" w:rsidR="00347AEF" w:rsidRPr="00DA3766" w:rsidRDefault="00347AEF" w:rsidP="00347AEF">
      <w:pPr>
        <w:pStyle w:val="002"/>
        <w:spacing w:before="120" w:after="120"/>
        <w:ind w:firstLine="482"/>
      </w:pPr>
      <w:r w:rsidRPr="00DA3766">
        <w:t>六、</w:t>
      </w:r>
      <w:bookmarkStart w:id="153" w:name="OLE_LINK20"/>
      <w:bookmarkStart w:id="154" w:name="_Hlk219327318"/>
      <w:r w:rsidRPr="00DA3766">
        <w:t>在标的资产变更至有限责任公司后过户给上市公司的原因及商业逻辑</w:t>
      </w:r>
      <w:bookmarkEnd w:id="153"/>
      <w:r w:rsidRPr="00DA3766">
        <w:t>，</w:t>
      </w:r>
      <w:bookmarkStart w:id="155" w:name="OLE_LINK9"/>
      <w:r w:rsidRPr="00DA3766">
        <w:t>完成相关工商变更登记预计需要的程序</w:t>
      </w:r>
      <w:bookmarkStart w:id="156" w:name="OLE_LINK10"/>
      <w:bookmarkEnd w:id="155"/>
      <w:r w:rsidRPr="00DA3766">
        <w:t>及</w:t>
      </w:r>
      <w:bookmarkStart w:id="157" w:name="OLE_LINK11"/>
      <w:r w:rsidRPr="00DA3766">
        <w:t>产生的税费</w:t>
      </w:r>
      <w:bookmarkEnd w:id="156"/>
      <w:bookmarkEnd w:id="157"/>
      <w:r w:rsidRPr="00DA3766">
        <w:t>，是否存在不确定性，</w:t>
      </w:r>
      <w:bookmarkStart w:id="158" w:name="OLE_LINK12"/>
      <w:r w:rsidRPr="00DA3766">
        <w:t>对本次交易或估值是否存在影响</w:t>
      </w:r>
      <w:bookmarkEnd w:id="154"/>
      <w:r w:rsidRPr="00DA3766">
        <w:t>。</w:t>
      </w:r>
      <w:bookmarkEnd w:id="158"/>
    </w:p>
    <w:p w14:paraId="5E26D23E" w14:textId="617DA551" w:rsidR="00B32770" w:rsidRPr="00DA3766" w:rsidRDefault="00B32770" w:rsidP="00B32770">
      <w:pPr>
        <w:pStyle w:val="003"/>
        <w:spacing w:before="120" w:after="120"/>
        <w:ind w:firstLine="482"/>
      </w:pPr>
      <w:r w:rsidRPr="00DA3766">
        <w:t>（一）</w:t>
      </w:r>
      <w:bookmarkStart w:id="159" w:name="_Hlk219324479"/>
      <w:r w:rsidRPr="00DA3766">
        <w:t>标的资产变更至有限责任公司后过户给上市公司的原因及商业逻辑</w:t>
      </w:r>
      <w:bookmarkEnd w:id="159"/>
    </w:p>
    <w:p w14:paraId="3AC52CF5" w14:textId="5245F39B" w:rsidR="00015073" w:rsidRPr="00DA3766" w:rsidRDefault="00C651C8" w:rsidP="00F02ABD">
      <w:pPr>
        <w:pStyle w:val="005"/>
        <w:spacing w:before="120" w:after="120"/>
        <w:ind w:firstLine="480"/>
      </w:pPr>
      <w:bookmarkStart w:id="160" w:name="_Hlk219324506"/>
      <w:r w:rsidRPr="00DA3766">
        <w:t>根据</w:t>
      </w:r>
      <w:r w:rsidR="00F02ABD" w:rsidRPr="00DA3766">
        <w:t>《公司法》第一百六十条规定：</w:t>
      </w:r>
      <w:r w:rsidR="00F02ABD" w:rsidRPr="00DA3766">
        <w:rPr>
          <w:rFonts w:ascii="宋体" w:hAnsi="宋体"/>
        </w:rPr>
        <w:t>“</w:t>
      </w:r>
      <w:r w:rsidR="00F02ABD" w:rsidRPr="00DA3766">
        <w:t>公司</w:t>
      </w:r>
      <w:bookmarkStart w:id="161" w:name="OLE_LINK36"/>
      <w:r w:rsidR="00F02ABD" w:rsidRPr="00DA3766">
        <w:t>董事、监事、高级管理人员</w:t>
      </w:r>
      <w:bookmarkEnd w:id="161"/>
      <w:r w:rsidR="00F02ABD" w:rsidRPr="00DA3766">
        <w:t>应当向公司申报所持有的本公司的股份及其变动情况，在就任时确定的任职期间每年转让的股份不得超过其所持有本公司股份总数的百分之二十五。</w:t>
      </w:r>
      <w:r w:rsidR="00F02ABD" w:rsidRPr="00DA3766">
        <w:rPr>
          <w:rFonts w:ascii="宋体" w:hAnsi="宋体"/>
        </w:rPr>
        <w:t>”</w:t>
      </w:r>
    </w:p>
    <w:p w14:paraId="0F4E9D0C" w14:textId="286A05B7" w:rsidR="00C651C8" w:rsidRPr="00DA3766" w:rsidRDefault="00C651C8" w:rsidP="00F02ABD">
      <w:pPr>
        <w:pStyle w:val="005"/>
        <w:spacing w:before="120" w:after="120"/>
        <w:ind w:firstLine="480"/>
      </w:pPr>
      <w:r w:rsidRPr="00DA3766">
        <w:t>因此，股份有限公司的董事、监事、高级管理人员每年转让股份的数量存在限制</w:t>
      </w:r>
      <w:r w:rsidR="00FC554A" w:rsidRPr="00DA3766">
        <w:t>，不利于一次性完成股份交割</w:t>
      </w:r>
      <w:r w:rsidRPr="00DA3766">
        <w:t>。</w:t>
      </w:r>
    </w:p>
    <w:p w14:paraId="2C95621E" w14:textId="77777777" w:rsidR="00C651C8" w:rsidRPr="00DA3766" w:rsidRDefault="00C651C8" w:rsidP="00C651C8">
      <w:pPr>
        <w:pStyle w:val="005"/>
        <w:spacing w:before="120" w:after="120"/>
        <w:ind w:firstLine="480"/>
      </w:pPr>
      <w:r w:rsidRPr="00DA3766">
        <w:lastRenderedPageBreak/>
        <w:t>经检索市场案例，相同或相似交易安排的部分案例如下：</w:t>
      </w:r>
    </w:p>
    <w:tbl>
      <w:tblPr>
        <w:tblW w:w="510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57" w:type="dxa"/>
          <w:right w:w="57" w:type="dxa"/>
        </w:tblCellMar>
        <w:tblLook w:val="04A0" w:firstRow="1" w:lastRow="0" w:firstColumn="1" w:lastColumn="0" w:noHBand="0" w:noVBand="1"/>
      </w:tblPr>
      <w:tblGrid>
        <w:gridCol w:w="1211"/>
        <w:gridCol w:w="1139"/>
        <w:gridCol w:w="1740"/>
        <w:gridCol w:w="4567"/>
      </w:tblGrid>
      <w:tr w:rsidR="007A66CC" w:rsidRPr="00DA3766" w14:paraId="3B5C7C04" w14:textId="77777777" w:rsidTr="00635015">
        <w:trPr>
          <w:trHeight w:val="397"/>
          <w:jc w:val="center"/>
        </w:trPr>
        <w:tc>
          <w:tcPr>
            <w:tcW w:w="699" w:type="pct"/>
            <w:shd w:val="clear" w:color="auto" w:fill="FFFFFF"/>
            <w:tcMar>
              <w:top w:w="0" w:type="dxa"/>
              <w:left w:w="85" w:type="dxa"/>
              <w:bottom w:w="0" w:type="dxa"/>
              <w:right w:w="85" w:type="dxa"/>
            </w:tcMar>
            <w:vAlign w:val="center"/>
            <w:hideMark/>
          </w:tcPr>
          <w:p w14:paraId="7050B86E"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股票名称</w:t>
            </w:r>
          </w:p>
        </w:tc>
        <w:tc>
          <w:tcPr>
            <w:tcW w:w="658" w:type="pct"/>
            <w:shd w:val="clear" w:color="auto" w:fill="FFFFFF"/>
            <w:tcMar>
              <w:top w:w="0" w:type="dxa"/>
              <w:left w:w="85" w:type="dxa"/>
              <w:bottom w:w="0" w:type="dxa"/>
              <w:right w:w="85" w:type="dxa"/>
            </w:tcMar>
            <w:vAlign w:val="center"/>
            <w:hideMark/>
          </w:tcPr>
          <w:p w14:paraId="63C057FC"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1005" w:type="pct"/>
            <w:tcMar>
              <w:top w:w="0" w:type="dxa"/>
              <w:left w:w="85" w:type="dxa"/>
              <w:bottom w:w="0" w:type="dxa"/>
              <w:right w:w="85" w:type="dxa"/>
            </w:tcMar>
            <w:vAlign w:val="center"/>
          </w:tcPr>
          <w:p w14:paraId="388B5D6A" w14:textId="69094B15"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交易标的</w:t>
            </w:r>
          </w:p>
        </w:tc>
        <w:tc>
          <w:tcPr>
            <w:tcW w:w="2638" w:type="pct"/>
            <w:shd w:val="clear" w:color="auto" w:fill="FFFFFF"/>
            <w:tcMar>
              <w:top w:w="0" w:type="dxa"/>
              <w:left w:w="85" w:type="dxa"/>
              <w:bottom w:w="0" w:type="dxa"/>
              <w:right w:w="85" w:type="dxa"/>
            </w:tcMar>
            <w:vAlign w:val="center"/>
            <w:hideMark/>
          </w:tcPr>
          <w:p w14:paraId="64FC3A7B" w14:textId="30F16A64"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交割前提条件约定</w:t>
            </w:r>
          </w:p>
        </w:tc>
      </w:tr>
      <w:tr w:rsidR="007A66CC" w:rsidRPr="00DA3766" w14:paraId="75BE2E09" w14:textId="77777777" w:rsidTr="00635015">
        <w:trPr>
          <w:trHeight w:val="397"/>
          <w:jc w:val="center"/>
        </w:trPr>
        <w:tc>
          <w:tcPr>
            <w:tcW w:w="699" w:type="pct"/>
            <w:shd w:val="clear" w:color="auto" w:fill="FFFFFF"/>
            <w:tcMar>
              <w:top w:w="0" w:type="dxa"/>
              <w:left w:w="85" w:type="dxa"/>
              <w:bottom w:w="0" w:type="dxa"/>
              <w:right w:w="85" w:type="dxa"/>
            </w:tcMar>
            <w:vAlign w:val="center"/>
          </w:tcPr>
          <w:p w14:paraId="660E7E8A"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恒丰纸业</w:t>
            </w:r>
          </w:p>
        </w:tc>
        <w:tc>
          <w:tcPr>
            <w:tcW w:w="658" w:type="pct"/>
            <w:shd w:val="clear" w:color="auto" w:fill="FFFFFF"/>
            <w:tcMar>
              <w:top w:w="0" w:type="dxa"/>
              <w:left w:w="85" w:type="dxa"/>
              <w:bottom w:w="0" w:type="dxa"/>
              <w:right w:w="85" w:type="dxa"/>
            </w:tcMar>
            <w:vAlign w:val="center"/>
          </w:tcPr>
          <w:p w14:paraId="55197336"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600356.SH</w:t>
            </w:r>
          </w:p>
        </w:tc>
        <w:tc>
          <w:tcPr>
            <w:tcW w:w="1005" w:type="pct"/>
            <w:tcMar>
              <w:top w:w="0" w:type="dxa"/>
              <w:left w:w="85" w:type="dxa"/>
              <w:bottom w:w="0" w:type="dxa"/>
              <w:right w:w="85" w:type="dxa"/>
            </w:tcMar>
            <w:vAlign w:val="center"/>
          </w:tcPr>
          <w:p w14:paraId="61AA79FB" w14:textId="78C821F7"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四川锦丰纸业股份有限公司</w:t>
            </w:r>
          </w:p>
        </w:tc>
        <w:tc>
          <w:tcPr>
            <w:tcW w:w="2638" w:type="pct"/>
            <w:shd w:val="clear" w:color="auto" w:fill="FFFFFF"/>
            <w:tcMar>
              <w:top w:w="0" w:type="dxa"/>
              <w:left w:w="85" w:type="dxa"/>
              <w:bottom w:w="0" w:type="dxa"/>
              <w:right w:w="85" w:type="dxa"/>
            </w:tcMar>
            <w:vAlign w:val="center"/>
          </w:tcPr>
          <w:p w14:paraId="4C65BADA" w14:textId="558B723D"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标的公司变更为有限责任公司后</w:t>
            </w:r>
            <w:r w:rsidRPr="00DA3766">
              <w:rPr>
                <w:sz w:val="21"/>
                <w:szCs w:val="21"/>
              </w:rPr>
              <w:t>20</w:t>
            </w:r>
            <w:r w:rsidRPr="00DA3766">
              <w:rPr>
                <w:sz w:val="21"/>
                <w:szCs w:val="21"/>
              </w:rPr>
              <w:t>个工作日内，或各方另行约定的其他日期进行交割，标的公司就股东变更向主管登记机关办理变更登记。</w:t>
            </w:r>
          </w:p>
        </w:tc>
      </w:tr>
      <w:tr w:rsidR="007A66CC" w:rsidRPr="00DA3766" w14:paraId="5A926C37" w14:textId="77777777" w:rsidTr="00635015">
        <w:trPr>
          <w:trHeight w:val="397"/>
          <w:jc w:val="center"/>
        </w:trPr>
        <w:tc>
          <w:tcPr>
            <w:tcW w:w="699" w:type="pct"/>
            <w:shd w:val="clear" w:color="auto" w:fill="FFFFFF"/>
            <w:tcMar>
              <w:top w:w="0" w:type="dxa"/>
              <w:left w:w="85" w:type="dxa"/>
              <w:bottom w:w="0" w:type="dxa"/>
              <w:right w:w="85" w:type="dxa"/>
            </w:tcMar>
            <w:vAlign w:val="center"/>
          </w:tcPr>
          <w:p w14:paraId="1BF8FE3E"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元力股份</w:t>
            </w:r>
          </w:p>
        </w:tc>
        <w:tc>
          <w:tcPr>
            <w:tcW w:w="658" w:type="pct"/>
            <w:shd w:val="clear" w:color="auto" w:fill="FFFFFF"/>
            <w:tcMar>
              <w:top w:w="0" w:type="dxa"/>
              <w:left w:w="85" w:type="dxa"/>
              <w:bottom w:w="0" w:type="dxa"/>
              <w:right w:w="85" w:type="dxa"/>
            </w:tcMar>
            <w:vAlign w:val="center"/>
          </w:tcPr>
          <w:p w14:paraId="3A3E4473"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300174.SZ</w:t>
            </w:r>
          </w:p>
        </w:tc>
        <w:tc>
          <w:tcPr>
            <w:tcW w:w="1005" w:type="pct"/>
            <w:tcMar>
              <w:top w:w="0" w:type="dxa"/>
              <w:left w:w="85" w:type="dxa"/>
              <w:bottom w:w="0" w:type="dxa"/>
              <w:right w:w="85" w:type="dxa"/>
            </w:tcMar>
            <w:vAlign w:val="center"/>
          </w:tcPr>
          <w:p w14:paraId="4D6B7AA2" w14:textId="17180FD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福建同晟新材料科技股份公司</w:t>
            </w:r>
          </w:p>
        </w:tc>
        <w:tc>
          <w:tcPr>
            <w:tcW w:w="2638" w:type="pct"/>
            <w:shd w:val="clear" w:color="auto" w:fill="FFFFFF"/>
            <w:tcMar>
              <w:top w:w="0" w:type="dxa"/>
              <w:left w:w="85" w:type="dxa"/>
              <w:bottom w:w="0" w:type="dxa"/>
              <w:right w:w="85" w:type="dxa"/>
            </w:tcMar>
            <w:vAlign w:val="center"/>
          </w:tcPr>
          <w:p w14:paraId="01D4C4E6" w14:textId="64167AA2"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标的公司在中国证监会就本次交易出具予以注册文件之日起</w:t>
            </w:r>
            <w:r w:rsidRPr="00DA3766">
              <w:rPr>
                <w:sz w:val="21"/>
                <w:szCs w:val="21"/>
              </w:rPr>
              <w:t>60</w:t>
            </w:r>
            <w:r w:rsidRPr="00DA3766">
              <w:rPr>
                <w:sz w:val="21"/>
                <w:szCs w:val="21"/>
              </w:rPr>
              <w:t>个工作日内，完成股票在全国股转系统终止挂牌的相关事项，并将标的公司变更为有限责任公司。标的资产应在标的公司变更为有限责任公司后的</w:t>
            </w:r>
            <w:r w:rsidRPr="00DA3766">
              <w:rPr>
                <w:sz w:val="21"/>
                <w:szCs w:val="21"/>
              </w:rPr>
              <w:t>10</w:t>
            </w:r>
            <w:r w:rsidRPr="00DA3766">
              <w:rPr>
                <w:sz w:val="21"/>
                <w:szCs w:val="21"/>
              </w:rPr>
              <w:t>个工作日内完成交割。</w:t>
            </w:r>
          </w:p>
        </w:tc>
      </w:tr>
      <w:tr w:rsidR="007A66CC" w:rsidRPr="00DA3766" w14:paraId="6815299B" w14:textId="77777777" w:rsidTr="00635015">
        <w:trPr>
          <w:trHeight w:val="397"/>
          <w:jc w:val="center"/>
        </w:trPr>
        <w:tc>
          <w:tcPr>
            <w:tcW w:w="699" w:type="pct"/>
            <w:shd w:val="clear" w:color="auto" w:fill="FFFFFF"/>
            <w:tcMar>
              <w:top w:w="0" w:type="dxa"/>
              <w:left w:w="85" w:type="dxa"/>
              <w:bottom w:w="0" w:type="dxa"/>
              <w:right w:w="85" w:type="dxa"/>
            </w:tcMar>
            <w:vAlign w:val="center"/>
          </w:tcPr>
          <w:p w14:paraId="3E4E70D2"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道恩股份</w:t>
            </w:r>
          </w:p>
        </w:tc>
        <w:tc>
          <w:tcPr>
            <w:tcW w:w="658" w:type="pct"/>
            <w:shd w:val="clear" w:color="auto" w:fill="FFFFFF"/>
            <w:tcMar>
              <w:top w:w="0" w:type="dxa"/>
              <w:left w:w="85" w:type="dxa"/>
              <w:bottom w:w="0" w:type="dxa"/>
              <w:right w:w="85" w:type="dxa"/>
            </w:tcMar>
            <w:vAlign w:val="center"/>
          </w:tcPr>
          <w:p w14:paraId="624AF5EA"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002838.SZ</w:t>
            </w:r>
          </w:p>
        </w:tc>
        <w:tc>
          <w:tcPr>
            <w:tcW w:w="1005" w:type="pct"/>
            <w:tcMar>
              <w:top w:w="0" w:type="dxa"/>
              <w:left w:w="85" w:type="dxa"/>
              <w:bottom w:w="0" w:type="dxa"/>
              <w:right w:w="85" w:type="dxa"/>
            </w:tcMar>
            <w:vAlign w:val="center"/>
          </w:tcPr>
          <w:p w14:paraId="23151F42" w14:textId="6F51180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山东道恩钛业股份有限公司</w:t>
            </w:r>
          </w:p>
        </w:tc>
        <w:tc>
          <w:tcPr>
            <w:tcW w:w="2638" w:type="pct"/>
            <w:shd w:val="clear" w:color="auto" w:fill="FFFFFF"/>
            <w:tcMar>
              <w:top w:w="0" w:type="dxa"/>
              <w:left w:w="85" w:type="dxa"/>
              <w:bottom w:w="0" w:type="dxa"/>
              <w:right w:w="85" w:type="dxa"/>
            </w:tcMar>
            <w:vAlign w:val="center"/>
          </w:tcPr>
          <w:p w14:paraId="70C8F2BD" w14:textId="2F4C744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本次交易新增交割条件：</w:t>
            </w:r>
            <w:r w:rsidRPr="00DA3766">
              <w:rPr>
                <w:rFonts w:ascii="宋体" w:hAnsi="宋体"/>
                <w:sz w:val="21"/>
                <w:szCs w:val="21"/>
              </w:rPr>
              <w:t>“</w:t>
            </w:r>
            <w:r w:rsidRPr="00DA3766">
              <w:rPr>
                <w:sz w:val="21"/>
                <w:szCs w:val="21"/>
              </w:rPr>
              <w:t>标的公司已整体变更为有限责任公司，且全体交易对方均已有效放弃针对其他交易对方转让标的资产时其享有的优先购买权等优先权利。</w:t>
            </w:r>
            <w:r w:rsidRPr="00DA3766">
              <w:rPr>
                <w:rFonts w:ascii="宋体" w:hAnsi="宋体"/>
                <w:sz w:val="21"/>
                <w:szCs w:val="21"/>
              </w:rPr>
              <w:t>”</w:t>
            </w:r>
          </w:p>
        </w:tc>
      </w:tr>
      <w:tr w:rsidR="007A66CC" w:rsidRPr="00DA3766" w14:paraId="466854B2" w14:textId="77777777" w:rsidTr="00635015">
        <w:trPr>
          <w:trHeight w:val="397"/>
          <w:jc w:val="center"/>
        </w:trPr>
        <w:tc>
          <w:tcPr>
            <w:tcW w:w="699" w:type="pct"/>
            <w:shd w:val="clear" w:color="auto" w:fill="FFFFFF"/>
            <w:tcMar>
              <w:top w:w="0" w:type="dxa"/>
              <w:left w:w="85" w:type="dxa"/>
              <w:bottom w:w="0" w:type="dxa"/>
              <w:right w:w="85" w:type="dxa"/>
            </w:tcMar>
            <w:vAlign w:val="center"/>
          </w:tcPr>
          <w:p w14:paraId="0EE9FD59"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友阿股份</w:t>
            </w:r>
          </w:p>
        </w:tc>
        <w:tc>
          <w:tcPr>
            <w:tcW w:w="658" w:type="pct"/>
            <w:shd w:val="clear" w:color="auto" w:fill="FFFFFF"/>
            <w:tcMar>
              <w:top w:w="0" w:type="dxa"/>
              <w:left w:w="85" w:type="dxa"/>
              <w:bottom w:w="0" w:type="dxa"/>
              <w:right w:w="85" w:type="dxa"/>
            </w:tcMar>
            <w:vAlign w:val="center"/>
          </w:tcPr>
          <w:p w14:paraId="41A8F13C"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002277.SZ</w:t>
            </w:r>
          </w:p>
        </w:tc>
        <w:tc>
          <w:tcPr>
            <w:tcW w:w="1005" w:type="pct"/>
            <w:tcMar>
              <w:top w:w="0" w:type="dxa"/>
              <w:left w:w="85" w:type="dxa"/>
              <w:bottom w:w="0" w:type="dxa"/>
              <w:right w:w="85" w:type="dxa"/>
            </w:tcMar>
            <w:vAlign w:val="center"/>
          </w:tcPr>
          <w:p w14:paraId="156B5551" w14:textId="0D9805B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深圳尚阳通科技股份有限公司</w:t>
            </w:r>
          </w:p>
        </w:tc>
        <w:tc>
          <w:tcPr>
            <w:tcW w:w="2638" w:type="pct"/>
            <w:shd w:val="clear" w:color="auto" w:fill="FFFFFF"/>
            <w:tcMar>
              <w:top w:w="0" w:type="dxa"/>
              <w:left w:w="85" w:type="dxa"/>
              <w:bottom w:w="0" w:type="dxa"/>
              <w:right w:w="85" w:type="dxa"/>
            </w:tcMar>
            <w:vAlign w:val="center"/>
          </w:tcPr>
          <w:p w14:paraId="093B6397" w14:textId="7C5CF68C"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各方同意，以目标公司就本次交易事宜完成有限责任公司状态下股权转让的工商变更登记手续为标的资产交割日。</w:t>
            </w:r>
          </w:p>
        </w:tc>
      </w:tr>
      <w:tr w:rsidR="007A66CC" w:rsidRPr="00DA3766" w14:paraId="5B722B37" w14:textId="77777777" w:rsidTr="00635015">
        <w:trPr>
          <w:trHeight w:val="397"/>
          <w:jc w:val="center"/>
        </w:trPr>
        <w:tc>
          <w:tcPr>
            <w:tcW w:w="699" w:type="pct"/>
            <w:shd w:val="clear" w:color="auto" w:fill="FFFFFF"/>
            <w:tcMar>
              <w:top w:w="0" w:type="dxa"/>
              <w:left w:w="85" w:type="dxa"/>
              <w:bottom w:w="0" w:type="dxa"/>
              <w:right w:w="85" w:type="dxa"/>
            </w:tcMar>
            <w:vAlign w:val="center"/>
          </w:tcPr>
          <w:p w14:paraId="2B861D63"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梦网科技</w:t>
            </w:r>
          </w:p>
        </w:tc>
        <w:tc>
          <w:tcPr>
            <w:tcW w:w="658" w:type="pct"/>
            <w:shd w:val="clear" w:color="auto" w:fill="FFFFFF"/>
            <w:tcMar>
              <w:top w:w="0" w:type="dxa"/>
              <w:left w:w="85" w:type="dxa"/>
              <w:bottom w:w="0" w:type="dxa"/>
              <w:right w:w="85" w:type="dxa"/>
            </w:tcMar>
            <w:vAlign w:val="center"/>
          </w:tcPr>
          <w:p w14:paraId="532227F2"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002123.SZ</w:t>
            </w:r>
          </w:p>
        </w:tc>
        <w:tc>
          <w:tcPr>
            <w:tcW w:w="1005" w:type="pct"/>
            <w:tcMar>
              <w:top w:w="0" w:type="dxa"/>
              <w:left w:w="85" w:type="dxa"/>
              <w:bottom w:w="0" w:type="dxa"/>
              <w:right w:w="85" w:type="dxa"/>
            </w:tcMar>
            <w:vAlign w:val="center"/>
          </w:tcPr>
          <w:p w14:paraId="21107BC7" w14:textId="7F356E4D"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杭州碧橙数字技术股份有限公司</w:t>
            </w:r>
          </w:p>
        </w:tc>
        <w:tc>
          <w:tcPr>
            <w:tcW w:w="2638" w:type="pct"/>
            <w:shd w:val="clear" w:color="auto" w:fill="FFFFFF"/>
            <w:tcMar>
              <w:top w:w="0" w:type="dxa"/>
              <w:left w:w="85" w:type="dxa"/>
              <w:bottom w:w="0" w:type="dxa"/>
              <w:right w:w="85" w:type="dxa"/>
            </w:tcMar>
            <w:vAlign w:val="center"/>
          </w:tcPr>
          <w:p w14:paraId="6063459B" w14:textId="51B4D306"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各方同意，在中国证监会核准本次交易后，甲方向乙方发出交割通知书之日起</w:t>
            </w:r>
            <w:r w:rsidRPr="00DA3766">
              <w:rPr>
                <w:sz w:val="21"/>
                <w:szCs w:val="21"/>
              </w:rPr>
              <w:t>20</w:t>
            </w:r>
            <w:r w:rsidRPr="00DA3766">
              <w:rPr>
                <w:sz w:val="21"/>
                <w:szCs w:val="21"/>
              </w:rPr>
              <w:t>个工作日内，标的公司的企业类型应变更为有限责任公司，同时，办理完毕标的资产转让涉及的工商变更登记手续。</w:t>
            </w:r>
          </w:p>
        </w:tc>
      </w:tr>
    </w:tbl>
    <w:p w14:paraId="2FD424EF" w14:textId="62087CE2" w:rsidR="00F02ABD" w:rsidRPr="00DA3766" w:rsidRDefault="00C651C8" w:rsidP="00F02ABD">
      <w:pPr>
        <w:pStyle w:val="005"/>
        <w:spacing w:before="120" w:after="120"/>
        <w:ind w:firstLine="480"/>
      </w:pPr>
      <w:r w:rsidRPr="00DA3766">
        <w:t>因此，鉴于</w:t>
      </w:r>
      <w:r w:rsidR="00F02ABD" w:rsidRPr="00DA3766">
        <w:t>本次交易的交易对方中陈耿豪、杨凯然、张杰波、胡俊</w:t>
      </w:r>
      <w:r w:rsidRPr="00DA3766">
        <w:t>及</w:t>
      </w:r>
      <w:r w:rsidR="00F02ABD" w:rsidRPr="00DA3766">
        <w:t>王佳担任标的公司董事，在标的公司为股份有限公司的情况下，上述人员在转让所持标的公司股份时必须遵守《公司法》第一百六十条相关规定，在就任时确定的任职期间每年转让的股份不得超过其所持有本公司股份总数的百分之二十五，无法一次性完成标的资产交割。本次交易拟在标的公司整体变更为有限责任公司后实施交割，</w:t>
      </w:r>
      <w:r w:rsidRPr="00DA3766">
        <w:t>系在参考市场案例前提下由交易各方协商确定，</w:t>
      </w:r>
      <w:r w:rsidR="00F02ABD" w:rsidRPr="00DA3766">
        <w:t>具有商业合理性。</w:t>
      </w:r>
    </w:p>
    <w:p w14:paraId="2CC1C639" w14:textId="49EC30F0" w:rsidR="00B32770" w:rsidRPr="00DA3766" w:rsidRDefault="00B32770" w:rsidP="00B32770">
      <w:pPr>
        <w:pStyle w:val="003"/>
        <w:spacing w:before="120" w:after="120"/>
        <w:ind w:firstLine="482"/>
      </w:pPr>
      <w:r w:rsidRPr="00DA3766">
        <w:t>（二）</w:t>
      </w:r>
      <w:r w:rsidR="00015073" w:rsidRPr="00DA3766">
        <w:t>标的资产</w:t>
      </w:r>
      <w:r w:rsidRPr="00DA3766">
        <w:t>完成相关工商变更登记预计需要的程序及产生的税费，不确定性</w:t>
      </w:r>
      <w:r w:rsidR="00A74EFB">
        <w:rPr>
          <w:rFonts w:hint="eastAsia"/>
        </w:rPr>
        <w:t>较小</w:t>
      </w:r>
      <w:r w:rsidRPr="00DA3766">
        <w:t>，</w:t>
      </w:r>
      <w:r w:rsidR="00A74EFB">
        <w:rPr>
          <w:rFonts w:hint="eastAsia"/>
        </w:rPr>
        <w:t>不会</w:t>
      </w:r>
      <w:r w:rsidRPr="00DA3766">
        <w:t>对本次交易或估值</w:t>
      </w:r>
      <w:r w:rsidR="00A74EFB">
        <w:rPr>
          <w:rFonts w:hint="eastAsia"/>
        </w:rPr>
        <w:t>产生重大不利</w:t>
      </w:r>
      <w:r w:rsidRPr="00DA3766">
        <w:t>影响</w:t>
      </w:r>
    </w:p>
    <w:p w14:paraId="652543C6" w14:textId="77777777" w:rsidR="00DC6EFC" w:rsidRPr="00DA3766" w:rsidRDefault="00DC6EFC" w:rsidP="00DC6EFC">
      <w:pPr>
        <w:pStyle w:val="004"/>
        <w:spacing w:before="120" w:after="120"/>
        <w:ind w:firstLine="482"/>
      </w:pPr>
      <w:r w:rsidRPr="00DA3766">
        <w:t>1</w:t>
      </w:r>
      <w:r w:rsidRPr="00DA3766">
        <w:t>、标的资产完成相关工商变更登记预计需要的程序及产生的税费</w:t>
      </w:r>
    </w:p>
    <w:p w14:paraId="25BAF10B" w14:textId="27AB1D5A" w:rsidR="00DC6EFC" w:rsidRPr="00DA3766" w:rsidRDefault="00DC6EFC" w:rsidP="00B32770">
      <w:pPr>
        <w:pStyle w:val="005"/>
        <w:spacing w:before="120" w:after="120"/>
        <w:ind w:firstLine="482"/>
        <w:rPr>
          <w:b/>
          <w:bCs/>
        </w:rPr>
      </w:pPr>
      <w:r w:rsidRPr="00DA3766">
        <w:rPr>
          <w:b/>
          <w:bCs/>
        </w:rPr>
        <w:t>（</w:t>
      </w:r>
      <w:r w:rsidRPr="00DA3766">
        <w:rPr>
          <w:b/>
          <w:bCs/>
        </w:rPr>
        <w:t>1</w:t>
      </w:r>
      <w:r w:rsidRPr="00DA3766">
        <w:rPr>
          <w:b/>
          <w:bCs/>
        </w:rPr>
        <w:t>）</w:t>
      </w:r>
      <w:r w:rsidR="00D158F2" w:rsidRPr="00DA3766">
        <w:rPr>
          <w:b/>
          <w:bCs/>
        </w:rPr>
        <w:t>标的资产完成相关工商变更登记预计需要的程序</w:t>
      </w:r>
    </w:p>
    <w:p w14:paraId="75C2057A" w14:textId="7A7CEDC7" w:rsidR="00015073" w:rsidRPr="00DA3766" w:rsidRDefault="00F02ABD" w:rsidP="00B32770">
      <w:pPr>
        <w:pStyle w:val="005"/>
        <w:spacing w:before="120" w:after="120"/>
        <w:ind w:firstLine="480"/>
      </w:pPr>
      <w:r w:rsidRPr="00DA3766">
        <w:t>根据上市公司与相关方签署的《购买资产协议之补充协议》，标的公司于本次交易获得中国证监会注册批文后，完成将标的公司由股份有限公司变更为有限责任公司的有关工商变更登记手续</w:t>
      </w:r>
      <w:r w:rsidR="00DC6EFC" w:rsidRPr="00DA3766">
        <w:t>。</w:t>
      </w:r>
    </w:p>
    <w:p w14:paraId="01A896E3" w14:textId="6FB4FDED" w:rsidR="00DC6EFC" w:rsidRPr="00DA3766" w:rsidRDefault="00DC6EFC" w:rsidP="00B32770">
      <w:pPr>
        <w:pStyle w:val="005"/>
        <w:spacing w:before="120" w:after="120"/>
        <w:ind w:firstLine="480"/>
      </w:pPr>
      <w:r w:rsidRPr="00DA3766">
        <w:t>根据相关法律法规及星云开物公司章程的相关规定，本次交易中标的资产完</w:t>
      </w:r>
      <w:r w:rsidRPr="00DA3766">
        <w:lastRenderedPageBreak/>
        <w:t>成相关工商变更登记预计需要的具体程序如下：</w:t>
      </w:r>
    </w:p>
    <w:tbl>
      <w:tblPr>
        <w:tblW w:w="514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80"/>
        <w:gridCol w:w="3414"/>
        <w:gridCol w:w="4537"/>
      </w:tblGrid>
      <w:tr w:rsidR="00DC6EFC" w:rsidRPr="00DA3766" w14:paraId="50C05CC7" w14:textId="77777777" w:rsidTr="00635015">
        <w:trPr>
          <w:trHeight w:val="397"/>
          <w:tblHeader/>
          <w:jc w:val="center"/>
        </w:trPr>
        <w:tc>
          <w:tcPr>
            <w:tcW w:w="447" w:type="pct"/>
            <w:shd w:val="clear" w:color="auto" w:fill="FFFFFF"/>
            <w:tcMar>
              <w:top w:w="0" w:type="dxa"/>
              <w:left w:w="85" w:type="dxa"/>
              <w:bottom w:w="0" w:type="dxa"/>
              <w:right w:w="85" w:type="dxa"/>
            </w:tcMar>
            <w:vAlign w:val="center"/>
            <w:hideMark/>
          </w:tcPr>
          <w:p w14:paraId="1EC34E3A"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序号</w:t>
            </w:r>
          </w:p>
        </w:tc>
        <w:tc>
          <w:tcPr>
            <w:tcW w:w="1955" w:type="pct"/>
            <w:shd w:val="clear" w:color="auto" w:fill="FFFFFF"/>
            <w:tcMar>
              <w:top w:w="0" w:type="dxa"/>
              <w:left w:w="85" w:type="dxa"/>
              <w:bottom w:w="0" w:type="dxa"/>
              <w:right w:w="85" w:type="dxa"/>
            </w:tcMar>
            <w:vAlign w:val="center"/>
            <w:hideMark/>
          </w:tcPr>
          <w:p w14:paraId="459CD6CB"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事项</w:t>
            </w:r>
          </w:p>
        </w:tc>
        <w:tc>
          <w:tcPr>
            <w:tcW w:w="2598" w:type="pct"/>
            <w:shd w:val="clear" w:color="auto" w:fill="FFFFFF"/>
            <w:tcMar>
              <w:top w:w="0" w:type="dxa"/>
              <w:left w:w="85" w:type="dxa"/>
              <w:bottom w:w="0" w:type="dxa"/>
              <w:right w:w="85" w:type="dxa"/>
            </w:tcMar>
            <w:vAlign w:val="center"/>
            <w:hideMark/>
          </w:tcPr>
          <w:p w14:paraId="03C25194"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相关依据</w:t>
            </w:r>
          </w:p>
        </w:tc>
      </w:tr>
      <w:tr w:rsidR="00DC6EFC" w:rsidRPr="00DA3766" w14:paraId="4C915C75" w14:textId="77777777" w:rsidTr="00635015">
        <w:trPr>
          <w:trHeight w:val="397"/>
          <w:jc w:val="center"/>
        </w:trPr>
        <w:tc>
          <w:tcPr>
            <w:tcW w:w="447" w:type="pct"/>
            <w:shd w:val="clear" w:color="auto" w:fill="FFFFFF"/>
            <w:tcMar>
              <w:top w:w="0" w:type="dxa"/>
              <w:left w:w="85" w:type="dxa"/>
              <w:bottom w:w="0" w:type="dxa"/>
              <w:right w:w="85" w:type="dxa"/>
            </w:tcMar>
            <w:vAlign w:val="center"/>
            <w:hideMark/>
          </w:tcPr>
          <w:p w14:paraId="2568FA78" w14:textId="6CCCCC4E"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1</w:t>
            </w:r>
          </w:p>
        </w:tc>
        <w:tc>
          <w:tcPr>
            <w:tcW w:w="1955" w:type="pct"/>
            <w:shd w:val="clear" w:color="auto" w:fill="FFFFFF"/>
            <w:tcMar>
              <w:top w:w="0" w:type="dxa"/>
              <w:left w:w="85" w:type="dxa"/>
              <w:bottom w:w="0" w:type="dxa"/>
              <w:right w:w="85" w:type="dxa"/>
            </w:tcMar>
            <w:vAlign w:val="center"/>
            <w:hideMark/>
          </w:tcPr>
          <w:p w14:paraId="475D9CF1" w14:textId="77777777"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bookmarkStart w:id="162" w:name="OLE_LINK118"/>
            <w:r w:rsidRPr="00DA3766">
              <w:rPr>
                <w:sz w:val="21"/>
                <w:szCs w:val="21"/>
              </w:rPr>
              <w:t>标的公司董事会拟订公司形式变更方案</w:t>
            </w:r>
            <w:bookmarkEnd w:id="162"/>
          </w:p>
        </w:tc>
        <w:tc>
          <w:tcPr>
            <w:tcW w:w="2598" w:type="pct"/>
            <w:shd w:val="clear" w:color="auto" w:fill="FFFFFF"/>
            <w:tcMar>
              <w:top w:w="0" w:type="dxa"/>
              <w:left w:w="85" w:type="dxa"/>
              <w:bottom w:w="0" w:type="dxa"/>
              <w:right w:w="85" w:type="dxa"/>
            </w:tcMar>
            <w:vAlign w:val="center"/>
            <w:hideMark/>
          </w:tcPr>
          <w:p w14:paraId="4B490D55" w14:textId="6DC46112"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《标的公司章程》第</w:t>
            </w:r>
            <w:r w:rsidR="00F26269" w:rsidRPr="00DA3766">
              <w:rPr>
                <w:sz w:val="21"/>
                <w:szCs w:val="21"/>
              </w:rPr>
              <w:t>九十五</w:t>
            </w:r>
            <w:r w:rsidRPr="00DA3766">
              <w:rPr>
                <w:sz w:val="21"/>
                <w:szCs w:val="21"/>
              </w:rPr>
              <w:t>条：董事会行使下列职权：</w:t>
            </w:r>
            <w:r w:rsidRPr="00DA3766">
              <w:rPr>
                <w:sz w:val="21"/>
                <w:szCs w:val="21"/>
              </w:rPr>
              <w:t>……</w:t>
            </w:r>
            <w:r w:rsidRPr="00DA3766">
              <w:rPr>
                <w:sz w:val="21"/>
                <w:szCs w:val="21"/>
              </w:rPr>
              <w:t>（七）拟订公司重大收购、</w:t>
            </w:r>
            <w:r w:rsidR="00F26269" w:rsidRPr="00DA3766">
              <w:rPr>
                <w:sz w:val="21"/>
                <w:szCs w:val="21"/>
              </w:rPr>
              <w:t>因本章程第二十二条第（一）项至第（三）项规定的情形收购公司股票</w:t>
            </w:r>
            <w:r w:rsidRPr="00DA3766">
              <w:rPr>
                <w:sz w:val="21"/>
                <w:szCs w:val="21"/>
              </w:rPr>
              <w:t>或者合并、分立、解散及变更公司形式的方案</w:t>
            </w:r>
            <w:r w:rsidRPr="00DA3766">
              <w:rPr>
                <w:sz w:val="21"/>
                <w:szCs w:val="21"/>
              </w:rPr>
              <w:t>……</w:t>
            </w:r>
          </w:p>
        </w:tc>
      </w:tr>
      <w:tr w:rsidR="00DC6EFC" w:rsidRPr="00DA3766" w14:paraId="5FACBA55" w14:textId="77777777" w:rsidTr="00635015">
        <w:trPr>
          <w:trHeight w:val="397"/>
          <w:jc w:val="center"/>
        </w:trPr>
        <w:tc>
          <w:tcPr>
            <w:tcW w:w="447" w:type="pct"/>
            <w:shd w:val="clear" w:color="auto" w:fill="FFFFFF"/>
            <w:tcMar>
              <w:top w:w="0" w:type="dxa"/>
              <w:left w:w="85" w:type="dxa"/>
              <w:bottom w:w="0" w:type="dxa"/>
              <w:right w:w="85" w:type="dxa"/>
            </w:tcMar>
            <w:vAlign w:val="center"/>
            <w:hideMark/>
          </w:tcPr>
          <w:p w14:paraId="7F94C187" w14:textId="07C6CBB8"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w:t>
            </w:r>
          </w:p>
        </w:tc>
        <w:tc>
          <w:tcPr>
            <w:tcW w:w="1955" w:type="pct"/>
            <w:shd w:val="clear" w:color="auto" w:fill="FFFFFF"/>
            <w:tcMar>
              <w:top w:w="0" w:type="dxa"/>
              <w:left w:w="85" w:type="dxa"/>
              <w:bottom w:w="0" w:type="dxa"/>
              <w:right w:w="85" w:type="dxa"/>
            </w:tcMar>
            <w:vAlign w:val="center"/>
            <w:hideMark/>
          </w:tcPr>
          <w:p w14:paraId="08D14DC2" w14:textId="49E41C48"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标的公司召开股东</w:t>
            </w:r>
            <w:r w:rsidR="00F26269" w:rsidRPr="00DA3766">
              <w:rPr>
                <w:sz w:val="21"/>
                <w:szCs w:val="21"/>
              </w:rPr>
              <w:t>大</w:t>
            </w:r>
            <w:r w:rsidRPr="00DA3766">
              <w:rPr>
                <w:sz w:val="21"/>
                <w:szCs w:val="21"/>
              </w:rPr>
              <w:t>会，对公司形式变更事宜进行审议</w:t>
            </w:r>
          </w:p>
        </w:tc>
        <w:tc>
          <w:tcPr>
            <w:tcW w:w="2598" w:type="pct"/>
            <w:shd w:val="clear" w:color="auto" w:fill="FFFFFF"/>
            <w:tcMar>
              <w:top w:w="0" w:type="dxa"/>
              <w:left w:w="85" w:type="dxa"/>
              <w:bottom w:w="0" w:type="dxa"/>
              <w:right w:w="85" w:type="dxa"/>
            </w:tcMar>
            <w:vAlign w:val="center"/>
            <w:hideMark/>
          </w:tcPr>
          <w:p w14:paraId="7D349D22" w14:textId="0CB99617" w:rsidR="00F26269" w:rsidRPr="00DA3766" w:rsidRDefault="00F2626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《公司法》第五十九条：股东会行使下列职权：</w:t>
            </w:r>
          </w:p>
          <w:p w14:paraId="6871C26F" w14:textId="03BDE22F" w:rsidR="00F26269" w:rsidRPr="00DA3766" w:rsidRDefault="00F2626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w:t>
            </w:r>
            <w:r w:rsidRPr="00DA3766">
              <w:rPr>
                <w:sz w:val="21"/>
                <w:szCs w:val="21"/>
              </w:rPr>
              <w:t>（七）对公司合并、分立、解散、清算或者变更公司形式作出决议；（八）修改公司章程；</w:t>
            </w:r>
            <w:r w:rsidRPr="00DA3766">
              <w:rPr>
                <w:sz w:val="21"/>
                <w:szCs w:val="21"/>
              </w:rPr>
              <w:t>……</w:t>
            </w:r>
            <w:r w:rsidRPr="00DA3766">
              <w:rPr>
                <w:sz w:val="21"/>
                <w:szCs w:val="21"/>
              </w:rPr>
              <w:t>；《公司法》第六十六条：股东会的议事方式和表决程序，除本法有规定的外，由公司章程规定。股东会作出决议，应当经代表过半数表决权的股东通过。股东会作出修改公司章程、增加或者减少注册资本的决议，以及公司合并、分立、解散或者变更公司形式的决议，应当经代表三分之二以上表决权的股东通过。</w:t>
            </w:r>
          </w:p>
          <w:p w14:paraId="13DB5085" w14:textId="0E459472"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《标的公司章程》第</w:t>
            </w:r>
            <w:r w:rsidR="00F26269" w:rsidRPr="00DA3766">
              <w:rPr>
                <w:sz w:val="21"/>
                <w:szCs w:val="21"/>
              </w:rPr>
              <w:t>七十一</w:t>
            </w:r>
            <w:r w:rsidRPr="00DA3766">
              <w:rPr>
                <w:sz w:val="21"/>
                <w:szCs w:val="21"/>
              </w:rPr>
              <w:t>条：</w:t>
            </w:r>
            <w:r w:rsidR="00F26269" w:rsidRPr="00DA3766">
              <w:rPr>
                <w:sz w:val="21"/>
                <w:szCs w:val="21"/>
              </w:rPr>
              <w:t>下列事项由股东大会以特别决议通过：</w:t>
            </w:r>
            <w:r w:rsidR="00F26269" w:rsidRPr="00DA3766">
              <w:rPr>
                <w:sz w:val="21"/>
                <w:szCs w:val="21"/>
              </w:rPr>
              <w:t>……</w:t>
            </w:r>
            <w:r w:rsidR="00F26269" w:rsidRPr="00DA3766">
              <w:rPr>
                <w:sz w:val="21"/>
                <w:szCs w:val="21"/>
              </w:rPr>
              <w:t>（三）本章程的修改；</w:t>
            </w:r>
            <w:r w:rsidR="00F26269" w:rsidRPr="00DA3766">
              <w:rPr>
                <w:sz w:val="21"/>
                <w:szCs w:val="21"/>
              </w:rPr>
              <w:t>……</w:t>
            </w:r>
            <w:r w:rsidR="00F26269" w:rsidRPr="00DA3766">
              <w:rPr>
                <w:sz w:val="21"/>
                <w:szCs w:val="21"/>
              </w:rPr>
              <w:t>（六）法律、行政法规或本章程规定的，以及股东大会以普通决议认定对公司产生重大影响的、需要以特别决议通过的其他事项</w:t>
            </w:r>
            <w:r w:rsidRPr="00DA3766">
              <w:rPr>
                <w:sz w:val="21"/>
                <w:szCs w:val="21"/>
              </w:rPr>
              <w:t>。</w:t>
            </w:r>
          </w:p>
        </w:tc>
      </w:tr>
      <w:tr w:rsidR="00DC6EFC" w:rsidRPr="00DA3766" w14:paraId="650AA96B" w14:textId="77777777" w:rsidTr="00635015">
        <w:trPr>
          <w:trHeight w:val="397"/>
          <w:jc w:val="center"/>
        </w:trPr>
        <w:tc>
          <w:tcPr>
            <w:tcW w:w="447" w:type="pct"/>
            <w:shd w:val="clear" w:color="auto" w:fill="FFFFFF"/>
            <w:tcMar>
              <w:top w:w="0" w:type="dxa"/>
              <w:left w:w="85" w:type="dxa"/>
              <w:bottom w:w="0" w:type="dxa"/>
              <w:right w:w="85" w:type="dxa"/>
            </w:tcMar>
            <w:vAlign w:val="center"/>
            <w:hideMark/>
          </w:tcPr>
          <w:p w14:paraId="00753BAE" w14:textId="7081FD39"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w:t>
            </w:r>
          </w:p>
        </w:tc>
        <w:tc>
          <w:tcPr>
            <w:tcW w:w="1955" w:type="pct"/>
            <w:shd w:val="clear" w:color="auto" w:fill="FFFFFF"/>
            <w:tcMar>
              <w:top w:w="0" w:type="dxa"/>
              <w:left w:w="85" w:type="dxa"/>
              <w:bottom w:w="0" w:type="dxa"/>
              <w:right w:w="85" w:type="dxa"/>
            </w:tcMar>
            <w:vAlign w:val="center"/>
            <w:hideMark/>
          </w:tcPr>
          <w:p w14:paraId="2C7F2BCC" w14:textId="77777777"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标的公司就形式变更为有限责任公司办理工商变更登记</w:t>
            </w:r>
          </w:p>
        </w:tc>
        <w:tc>
          <w:tcPr>
            <w:tcW w:w="2598" w:type="pct"/>
            <w:shd w:val="clear" w:color="auto" w:fill="FFFFFF"/>
            <w:tcMar>
              <w:top w:w="0" w:type="dxa"/>
              <w:left w:w="85" w:type="dxa"/>
              <w:bottom w:w="0" w:type="dxa"/>
              <w:right w:w="85" w:type="dxa"/>
            </w:tcMar>
            <w:vAlign w:val="center"/>
            <w:hideMark/>
          </w:tcPr>
          <w:p w14:paraId="525A15FF" w14:textId="77777777" w:rsidR="00DC6EFC" w:rsidRPr="00DA3766" w:rsidRDefault="00DC6EFC" w:rsidP="00DA3766">
            <w:pPr>
              <w:pStyle w:val="005"/>
              <w:adjustRightInd w:val="0"/>
              <w:snapToGrid w:val="0"/>
              <w:spacing w:beforeLines="0" w:before="0" w:afterLines="0" w:after="0" w:line="240" w:lineRule="auto"/>
              <w:ind w:firstLineChars="0" w:firstLine="0"/>
              <w:jc w:val="right"/>
              <w:rPr>
                <w:sz w:val="21"/>
                <w:szCs w:val="21"/>
              </w:rPr>
            </w:pPr>
            <w:r w:rsidRPr="00DA3766">
              <w:rPr>
                <w:sz w:val="21"/>
                <w:szCs w:val="21"/>
              </w:rPr>
              <w:t>-</w:t>
            </w:r>
          </w:p>
        </w:tc>
      </w:tr>
      <w:tr w:rsidR="00DC6EFC" w:rsidRPr="00DA3766" w14:paraId="734256D2" w14:textId="77777777" w:rsidTr="00635015">
        <w:trPr>
          <w:trHeight w:val="397"/>
          <w:jc w:val="center"/>
        </w:trPr>
        <w:tc>
          <w:tcPr>
            <w:tcW w:w="447" w:type="pct"/>
            <w:shd w:val="clear" w:color="auto" w:fill="FFFFFF"/>
            <w:tcMar>
              <w:top w:w="0" w:type="dxa"/>
              <w:left w:w="85" w:type="dxa"/>
              <w:bottom w:w="0" w:type="dxa"/>
              <w:right w:w="85" w:type="dxa"/>
            </w:tcMar>
            <w:vAlign w:val="center"/>
            <w:hideMark/>
          </w:tcPr>
          <w:p w14:paraId="651264DB" w14:textId="45DC7A6E"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4</w:t>
            </w:r>
          </w:p>
        </w:tc>
        <w:tc>
          <w:tcPr>
            <w:tcW w:w="1955" w:type="pct"/>
            <w:shd w:val="clear" w:color="auto" w:fill="FFFFFF"/>
            <w:tcMar>
              <w:top w:w="0" w:type="dxa"/>
              <w:left w:w="85" w:type="dxa"/>
              <w:bottom w:w="0" w:type="dxa"/>
              <w:right w:w="85" w:type="dxa"/>
            </w:tcMar>
            <w:vAlign w:val="center"/>
            <w:hideMark/>
          </w:tcPr>
          <w:p w14:paraId="0DB4107C" w14:textId="1CF8215A"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交易对方向上市公司转让所持标的公司股权，办理股权过户工商登</w:t>
            </w:r>
            <w:r w:rsidR="007B0B46" w:rsidRPr="00DA3766">
              <w:rPr>
                <w:sz w:val="21"/>
                <w:szCs w:val="21"/>
              </w:rPr>
              <w:t>记</w:t>
            </w:r>
          </w:p>
        </w:tc>
        <w:tc>
          <w:tcPr>
            <w:tcW w:w="2598" w:type="pct"/>
            <w:shd w:val="clear" w:color="auto" w:fill="FFFFFF"/>
            <w:tcMar>
              <w:top w:w="0" w:type="dxa"/>
              <w:left w:w="85" w:type="dxa"/>
              <w:bottom w:w="0" w:type="dxa"/>
              <w:right w:w="85" w:type="dxa"/>
            </w:tcMar>
            <w:vAlign w:val="center"/>
            <w:hideMark/>
          </w:tcPr>
          <w:p w14:paraId="3D86B108" w14:textId="77777777" w:rsidR="00DC6EFC" w:rsidRPr="00DA3766" w:rsidRDefault="00DC6EFC" w:rsidP="00DA3766">
            <w:pPr>
              <w:pStyle w:val="005"/>
              <w:adjustRightInd w:val="0"/>
              <w:snapToGrid w:val="0"/>
              <w:spacing w:beforeLines="0" w:before="0" w:afterLines="0" w:after="0" w:line="240" w:lineRule="auto"/>
              <w:ind w:firstLineChars="0" w:firstLine="0"/>
              <w:jc w:val="right"/>
              <w:rPr>
                <w:sz w:val="21"/>
                <w:szCs w:val="21"/>
              </w:rPr>
            </w:pPr>
            <w:r w:rsidRPr="00DA3766">
              <w:rPr>
                <w:sz w:val="21"/>
                <w:szCs w:val="21"/>
              </w:rPr>
              <w:t>-</w:t>
            </w:r>
          </w:p>
        </w:tc>
      </w:tr>
    </w:tbl>
    <w:p w14:paraId="77E90B92" w14:textId="3C7F164C" w:rsidR="00D158F2" w:rsidRPr="00DA3766" w:rsidRDefault="00D158F2" w:rsidP="001076ED">
      <w:pPr>
        <w:pStyle w:val="005"/>
        <w:keepNext/>
        <w:spacing w:before="120" w:after="120"/>
        <w:ind w:firstLine="482"/>
        <w:rPr>
          <w:b/>
          <w:bCs/>
        </w:rPr>
      </w:pPr>
      <w:r w:rsidRPr="00DA3766">
        <w:rPr>
          <w:b/>
          <w:bCs/>
        </w:rPr>
        <w:t>（</w:t>
      </w:r>
      <w:r w:rsidRPr="00DA3766">
        <w:rPr>
          <w:b/>
          <w:bCs/>
        </w:rPr>
        <w:t>2</w:t>
      </w:r>
      <w:r w:rsidRPr="00DA3766">
        <w:rPr>
          <w:b/>
          <w:bCs/>
        </w:rPr>
        <w:t>）标的资产变更为有限责任公司涉及的的相关税费</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848"/>
        <w:gridCol w:w="5782"/>
        <w:gridCol w:w="1898"/>
      </w:tblGrid>
      <w:tr w:rsidR="00D158F2" w:rsidRPr="00DA3766" w14:paraId="530FB5A1" w14:textId="77777777" w:rsidTr="00DA3766">
        <w:trPr>
          <w:trHeight w:val="397"/>
          <w:tblHeader/>
          <w:jc w:val="center"/>
        </w:trPr>
        <w:tc>
          <w:tcPr>
            <w:tcW w:w="497" w:type="pct"/>
            <w:tcMar>
              <w:top w:w="0" w:type="dxa"/>
              <w:bottom w:w="0" w:type="dxa"/>
            </w:tcMar>
            <w:vAlign w:val="center"/>
          </w:tcPr>
          <w:p w14:paraId="6CEB191E" w14:textId="6E600A50" w:rsidR="00D158F2" w:rsidRPr="00DA3766" w:rsidRDefault="00D158F2"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税费类型</w:t>
            </w:r>
          </w:p>
        </w:tc>
        <w:tc>
          <w:tcPr>
            <w:tcW w:w="3389" w:type="pct"/>
            <w:tcMar>
              <w:top w:w="0" w:type="dxa"/>
              <w:bottom w:w="0" w:type="dxa"/>
            </w:tcMar>
            <w:vAlign w:val="center"/>
          </w:tcPr>
          <w:p w14:paraId="72AC79D7" w14:textId="71292011" w:rsidR="00D158F2" w:rsidRPr="00DA3766" w:rsidRDefault="00D158F2"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法律法规规定</w:t>
            </w:r>
          </w:p>
        </w:tc>
        <w:tc>
          <w:tcPr>
            <w:tcW w:w="1113" w:type="pct"/>
            <w:tcMar>
              <w:top w:w="0" w:type="dxa"/>
              <w:bottom w:w="0" w:type="dxa"/>
            </w:tcMar>
            <w:vAlign w:val="center"/>
          </w:tcPr>
          <w:p w14:paraId="43CAB85E" w14:textId="5034A5C1" w:rsidR="00D158F2" w:rsidRPr="00DA3766" w:rsidRDefault="00251D0C"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标的公司情况</w:t>
            </w:r>
          </w:p>
        </w:tc>
      </w:tr>
      <w:tr w:rsidR="00D158F2" w:rsidRPr="00DA3766" w14:paraId="27DF41D9" w14:textId="77777777" w:rsidTr="00DA3766">
        <w:trPr>
          <w:trHeight w:val="397"/>
          <w:jc w:val="center"/>
        </w:trPr>
        <w:tc>
          <w:tcPr>
            <w:tcW w:w="497" w:type="pct"/>
            <w:tcMar>
              <w:top w:w="0" w:type="dxa"/>
              <w:bottom w:w="0" w:type="dxa"/>
            </w:tcMar>
            <w:vAlign w:val="center"/>
          </w:tcPr>
          <w:p w14:paraId="1CB7C645" w14:textId="31CC17B5" w:rsidR="00D158F2" w:rsidRPr="00DA3766" w:rsidRDefault="00D158F2"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企业所得税</w:t>
            </w:r>
          </w:p>
        </w:tc>
        <w:tc>
          <w:tcPr>
            <w:tcW w:w="3389" w:type="pct"/>
            <w:tcMar>
              <w:top w:w="0" w:type="dxa"/>
              <w:bottom w:w="0" w:type="dxa"/>
            </w:tcMar>
            <w:vAlign w:val="center"/>
          </w:tcPr>
          <w:p w14:paraId="449159C6" w14:textId="0B1AE73B"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E32C3D" w:rsidRPr="00DA3766">
              <w:rPr>
                <w:sz w:val="21"/>
                <w:szCs w:val="20"/>
              </w:rPr>
              <w:t>财政部</w:t>
            </w:r>
            <w:r w:rsidR="00E32C3D" w:rsidRPr="00DA3766">
              <w:rPr>
                <w:sz w:val="21"/>
                <w:szCs w:val="20"/>
              </w:rPr>
              <w:t xml:space="preserve"> </w:t>
            </w:r>
            <w:r w:rsidR="00E32C3D" w:rsidRPr="00DA3766">
              <w:rPr>
                <w:sz w:val="21"/>
                <w:szCs w:val="20"/>
              </w:rPr>
              <w:t>国家税务总局关于企业重组业务企业所得税处理若干问题的通知》（财税</w:t>
            </w:r>
            <w:r w:rsidR="00E32C3D" w:rsidRPr="00DA3766">
              <w:rPr>
                <w:sz w:val="21"/>
                <w:szCs w:val="20"/>
              </w:rPr>
              <w:t>[2009]59</w:t>
            </w:r>
            <w:r w:rsidR="00E32C3D" w:rsidRPr="00DA3766">
              <w:rPr>
                <w:sz w:val="21"/>
                <w:szCs w:val="20"/>
              </w:rPr>
              <w:t>号）</w:t>
            </w:r>
            <w:r w:rsidRPr="00DA3766">
              <w:rPr>
                <w:sz w:val="21"/>
                <w:szCs w:val="20"/>
              </w:rPr>
              <w:t>第四条规定，企业重组，除符合本通知规定适用特殊性税务处理规定的外，按以下规定进行税务处理：</w:t>
            </w:r>
          </w:p>
          <w:p w14:paraId="6DD74F66" w14:textId="193349C9"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一）企业由法人转变为个人独资企业、合伙企业等非法人组织，或将登记注册地转移至中华人民共和国境外（包括港澳台地区），应视同企业进行清算、分配，股东重新投资成立新企业。企业的全部资产以及股东投资的计税基础均应以公允价值为基础确定。</w:t>
            </w:r>
          </w:p>
          <w:p w14:paraId="55F228E4" w14:textId="5FA268E1"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企业发生其他法律形式简单改变的，可直接变更税务登记，除另有规定外，有关企业所得税纳税事项（包括亏损结转、税收优惠等权益和义务）由变更后企业承继，但因住所发生变化而不符合税收优惠条件的除外。</w:t>
            </w:r>
          </w:p>
        </w:tc>
        <w:tc>
          <w:tcPr>
            <w:tcW w:w="1113" w:type="pct"/>
            <w:tcMar>
              <w:top w:w="0" w:type="dxa"/>
              <w:bottom w:w="0" w:type="dxa"/>
            </w:tcMar>
            <w:vAlign w:val="center"/>
          </w:tcPr>
          <w:p w14:paraId="533809DD" w14:textId="6C89D7DD"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标的公司由股份公司变更为有限责任公司，有限责任公司承继了股份公司的税务事项，在企业所得税层面无需做税务处理</w:t>
            </w:r>
          </w:p>
        </w:tc>
      </w:tr>
      <w:tr w:rsidR="00D158F2" w:rsidRPr="00DA3766" w14:paraId="54C21612" w14:textId="77777777" w:rsidTr="00DA3766">
        <w:trPr>
          <w:trHeight w:val="397"/>
          <w:jc w:val="center"/>
        </w:trPr>
        <w:tc>
          <w:tcPr>
            <w:tcW w:w="497" w:type="pct"/>
            <w:tcMar>
              <w:top w:w="0" w:type="dxa"/>
              <w:bottom w:w="0" w:type="dxa"/>
            </w:tcMar>
            <w:vAlign w:val="center"/>
          </w:tcPr>
          <w:p w14:paraId="3AEDDE26" w14:textId="2818EA0E" w:rsidR="00D158F2" w:rsidRPr="00DA3766" w:rsidRDefault="00D158F2"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土地增值税</w:t>
            </w:r>
          </w:p>
        </w:tc>
        <w:tc>
          <w:tcPr>
            <w:tcW w:w="3389" w:type="pct"/>
            <w:tcMar>
              <w:top w:w="0" w:type="dxa"/>
              <w:bottom w:w="0" w:type="dxa"/>
            </w:tcMar>
            <w:vAlign w:val="center"/>
          </w:tcPr>
          <w:p w14:paraId="114C6995" w14:textId="3E7B7161"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E32C3D" w:rsidRPr="00DA3766">
              <w:rPr>
                <w:sz w:val="21"/>
                <w:szCs w:val="20"/>
              </w:rPr>
              <w:t>《关于继续实施企业改制重组有关土地增值税政策的公告（</w:t>
            </w:r>
            <w:r w:rsidR="00E32C3D" w:rsidRPr="00DA3766">
              <w:rPr>
                <w:sz w:val="21"/>
                <w:szCs w:val="20"/>
              </w:rPr>
              <w:t>2023</w:t>
            </w:r>
            <w:r w:rsidR="00E32C3D" w:rsidRPr="00DA3766">
              <w:rPr>
                <w:sz w:val="21"/>
                <w:szCs w:val="20"/>
              </w:rPr>
              <w:t>）》（财政部</w:t>
            </w:r>
            <w:r w:rsidR="00E32C3D" w:rsidRPr="00DA3766">
              <w:rPr>
                <w:sz w:val="21"/>
                <w:szCs w:val="20"/>
              </w:rPr>
              <w:t xml:space="preserve"> </w:t>
            </w:r>
            <w:r w:rsidR="00E32C3D" w:rsidRPr="00DA3766">
              <w:rPr>
                <w:sz w:val="21"/>
                <w:szCs w:val="20"/>
              </w:rPr>
              <w:t>税务总局公告</w:t>
            </w:r>
            <w:r w:rsidR="00E32C3D" w:rsidRPr="00DA3766">
              <w:rPr>
                <w:sz w:val="21"/>
                <w:szCs w:val="20"/>
              </w:rPr>
              <w:t>2023</w:t>
            </w:r>
            <w:r w:rsidR="00E32C3D" w:rsidRPr="00DA3766">
              <w:rPr>
                <w:sz w:val="21"/>
                <w:szCs w:val="20"/>
              </w:rPr>
              <w:t>年第</w:t>
            </w:r>
            <w:r w:rsidR="00E32C3D" w:rsidRPr="00DA3766">
              <w:rPr>
                <w:sz w:val="21"/>
                <w:szCs w:val="20"/>
              </w:rPr>
              <w:t>51</w:t>
            </w:r>
            <w:r w:rsidR="00E32C3D" w:rsidRPr="00DA3766">
              <w:rPr>
                <w:sz w:val="21"/>
                <w:szCs w:val="20"/>
              </w:rPr>
              <w:t>号）（以下简称</w:t>
            </w:r>
            <w:r w:rsidR="00E32C3D" w:rsidRPr="00DA3766">
              <w:rPr>
                <w:rFonts w:ascii="宋体" w:hAnsi="宋体"/>
                <w:sz w:val="21"/>
                <w:szCs w:val="20"/>
              </w:rPr>
              <w:t>“</w:t>
            </w:r>
            <w:r w:rsidR="00E32C3D" w:rsidRPr="00DA3766">
              <w:rPr>
                <w:sz w:val="21"/>
                <w:szCs w:val="20"/>
              </w:rPr>
              <w:t>《</w:t>
            </w:r>
            <w:r w:rsidR="00E32C3D" w:rsidRPr="00DA3766">
              <w:rPr>
                <w:sz w:val="21"/>
                <w:szCs w:val="20"/>
              </w:rPr>
              <w:t>51</w:t>
            </w:r>
            <w:r w:rsidR="00E32C3D" w:rsidRPr="00DA3766">
              <w:rPr>
                <w:sz w:val="21"/>
                <w:szCs w:val="20"/>
              </w:rPr>
              <w:t>号文》</w:t>
            </w:r>
            <w:r w:rsidR="00E32C3D" w:rsidRPr="00DA3766">
              <w:rPr>
                <w:rFonts w:ascii="宋体" w:hAnsi="宋体"/>
                <w:sz w:val="21"/>
                <w:szCs w:val="20"/>
              </w:rPr>
              <w:t>”</w:t>
            </w:r>
            <w:r w:rsidR="00E32C3D" w:rsidRPr="00DA3766">
              <w:rPr>
                <w:sz w:val="21"/>
                <w:szCs w:val="20"/>
              </w:rPr>
              <w:t>）</w:t>
            </w:r>
            <w:r w:rsidR="00B91E08" w:rsidRPr="00DA3766">
              <w:rPr>
                <w:sz w:val="21"/>
                <w:szCs w:val="20"/>
              </w:rPr>
              <w:t>第一条</w:t>
            </w:r>
            <w:r w:rsidRPr="00DA3766">
              <w:rPr>
                <w:sz w:val="21"/>
                <w:szCs w:val="20"/>
              </w:rPr>
              <w:t>规定</w:t>
            </w:r>
            <w:r w:rsidR="00B91E08" w:rsidRPr="00DA3766">
              <w:rPr>
                <w:sz w:val="21"/>
                <w:szCs w:val="20"/>
              </w:rPr>
              <w:t>，</w:t>
            </w:r>
            <w:r w:rsidRPr="00DA3766">
              <w:rPr>
                <w:sz w:val="21"/>
                <w:szCs w:val="20"/>
              </w:rPr>
              <w:t>企业按照《中华人民共和国公司法》有关规定整体改制，包括非公司制企业改制为有</w:t>
            </w:r>
            <w:r w:rsidRPr="00DA3766">
              <w:rPr>
                <w:sz w:val="21"/>
                <w:szCs w:val="20"/>
              </w:rPr>
              <w:lastRenderedPageBreak/>
              <w:t>限责任公司或股份有限公司，有限责任公司变更为股份有限公司，股份有限公司变更为有限责任公司，对改制前的企业将国有土地使用权、地上的建筑物及其附着物（以下称房地产）转移、变更到改制后的企业，暂不征收土地增值税。</w:t>
            </w:r>
            <w:r w:rsidRPr="00DA3766">
              <w:rPr>
                <w:rFonts w:ascii="宋体" w:hAnsi="宋体"/>
                <w:sz w:val="21"/>
                <w:szCs w:val="20"/>
              </w:rPr>
              <w:t>”</w:t>
            </w:r>
            <w:r w:rsidRPr="00DA3766">
              <w:rPr>
                <w:sz w:val="21"/>
                <w:szCs w:val="20"/>
              </w:rPr>
              <w:t>本公告所称整体改制是指不改变原企业的投资主体，并承继原企业权利、义务的行为。</w:t>
            </w:r>
          </w:p>
          <w:p w14:paraId="1336CE5F" w14:textId="5B03E1FD" w:rsidR="00D158F2" w:rsidRPr="00DA3766" w:rsidRDefault="00B91E08"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Pr="00DA3766">
              <w:rPr>
                <w:sz w:val="21"/>
                <w:szCs w:val="20"/>
              </w:rPr>
              <w:t>51</w:t>
            </w:r>
            <w:r w:rsidRPr="00DA3766">
              <w:rPr>
                <w:sz w:val="21"/>
                <w:szCs w:val="20"/>
              </w:rPr>
              <w:t>号文》</w:t>
            </w:r>
            <w:r w:rsidR="00D158F2" w:rsidRPr="00DA3766">
              <w:rPr>
                <w:sz w:val="21"/>
                <w:szCs w:val="20"/>
              </w:rPr>
              <w:t>第五条规定</w:t>
            </w:r>
            <w:r w:rsidR="00E32C3D" w:rsidRPr="00DA3766">
              <w:rPr>
                <w:sz w:val="21"/>
                <w:szCs w:val="20"/>
              </w:rPr>
              <w:t>，</w:t>
            </w:r>
            <w:r w:rsidR="00D158F2" w:rsidRPr="00DA3766">
              <w:rPr>
                <w:sz w:val="21"/>
                <w:szCs w:val="20"/>
              </w:rPr>
              <w:t>上述改制重组有关土地增值税政策不适用于房地产转移任意一方为房地产开发企业的情形。</w:t>
            </w:r>
          </w:p>
        </w:tc>
        <w:tc>
          <w:tcPr>
            <w:tcW w:w="1113" w:type="pct"/>
            <w:tcMar>
              <w:top w:w="0" w:type="dxa"/>
              <w:bottom w:w="0" w:type="dxa"/>
            </w:tcMar>
            <w:vAlign w:val="center"/>
          </w:tcPr>
          <w:p w14:paraId="36722A00" w14:textId="60F50878"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lastRenderedPageBreak/>
              <w:t>标的公司不属于房地产企业，变更公司形式过程中不涉及房地产转让和权</w:t>
            </w:r>
            <w:r w:rsidRPr="00DA3766">
              <w:rPr>
                <w:sz w:val="21"/>
                <w:szCs w:val="20"/>
              </w:rPr>
              <w:lastRenderedPageBreak/>
              <w:t>属的实质变更，且属于上述《</w:t>
            </w:r>
            <w:r w:rsidRPr="00DA3766">
              <w:rPr>
                <w:sz w:val="21"/>
                <w:szCs w:val="20"/>
              </w:rPr>
              <w:t>51</w:t>
            </w:r>
            <w:r w:rsidRPr="00DA3766">
              <w:rPr>
                <w:sz w:val="21"/>
                <w:szCs w:val="20"/>
              </w:rPr>
              <w:t>号文》暂不征收土地增值税的情形，不涉及土地增值税的缴纳。</w:t>
            </w:r>
          </w:p>
        </w:tc>
      </w:tr>
      <w:tr w:rsidR="00D158F2" w:rsidRPr="00DA3766" w14:paraId="7BFFC2E2" w14:textId="77777777" w:rsidTr="00DA3766">
        <w:trPr>
          <w:trHeight w:val="397"/>
          <w:jc w:val="center"/>
        </w:trPr>
        <w:tc>
          <w:tcPr>
            <w:tcW w:w="497" w:type="pct"/>
            <w:tcMar>
              <w:top w:w="0" w:type="dxa"/>
              <w:bottom w:w="0" w:type="dxa"/>
            </w:tcMar>
            <w:vAlign w:val="center"/>
          </w:tcPr>
          <w:p w14:paraId="34D582BD" w14:textId="5A6400C4" w:rsidR="00D158F2" w:rsidRPr="00DA3766" w:rsidRDefault="00E32C3D"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lastRenderedPageBreak/>
              <w:t>契税</w:t>
            </w:r>
          </w:p>
        </w:tc>
        <w:tc>
          <w:tcPr>
            <w:tcW w:w="3389" w:type="pct"/>
            <w:tcMar>
              <w:top w:w="0" w:type="dxa"/>
              <w:bottom w:w="0" w:type="dxa"/>
            </w:tcMar>
            <w:vAlign w:val="center"/>
          </w:tcPr>
          <w:p w14:paraId="30E9B437" w14:textId="03AE2B5C"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B91E08" w:rsidRPr="00DA3766">
              <w:rPr>
                <w:sz w:val="21"/>
                <w:szCs w:val="20"/>
              </w:rPr>
              <w:t>财政部</w:t>
            </w:r>
            <w:r w:rsidR="00B91E08" w:rsidRPr="00DA3766">
              <w:rPr>
                <w:sz w:val="21"/>
                <w:szCs w:val="20"/>
              </w:rPr>
              <w:t xml:space="preserve"> </w:t>
            </w:r>
            <w:r w:rsidR="00B91E08" w:rsidRPr="00DA3766">
              <w:rPr>
                <w:sz w:val="21"/>
                <w:szCs w:val="20"/>
              </w:rPr>
              <w:t>税务总局</w:t>
            </w:r>
            <w:r w:rsidRPr="00DA3766">
              <w:rPr>
                <w:sz w:val="21"/>
                <w:szCs w:val="20"/>
              </w:rPr>
              <w:t>关于继续实施企业、事业单位改制重组有关契税政策的公告》（财政部</w:t>
            </w:r>
            <w:r w:rsidRPr="00DA3766">
              <w:rPr>
                <w:sz w:val="21"/>
                <w:szCs w:val="20"/>
              </w:rPr>
              <w:t xml:space="preserve"> </w:t>
            </w:r>
            <w:r w:rsidRPr="00DA3766">
              <w:rPr>
                <w:sz w:val="21"/>
                <w:szCs w:val="20"/>
              </w:rPr>
              <w:t>税务总局公告</w:t>
            </w:r>
            <w:r w:rsidRPr="00DA3766">
              <w:rPr>
                <w:sz w:val="21"/>
                <w:szCs w:val="20"/>
              </w:rPr>
              <w:t>2023</w:t>
            </w:r>
            <w:r w:rsidRPr="00DA3766">
              <w:rPr>
                <w:sz w:val="21"/>
                <w:szCs w:val="20"/>
              </w:rPr>
              <w:t>年第</w:t>
            </w:r>
            <w:r w:rsidRPr="00DA3766">
              <w:rPr>
                <w:sz w:val="21"/>
                <w:szCs w:val="20"/>
              </w:rPr>
              <w:t>49</w:t>
            </w:r>
            <w:r w:rsidRPr="00DA3766">
              <w:rPr>
                <w:sz w:val="21"/>
                <w:szCs w:val="20"/>
              </w:rPr>
              <w:t>号）</w:t>
            </w:r>
            <w:r w:rsidR="00B91E08" w:rsidRPr="00DA3766">
              <w:rPr>
                <w:sz w:val="21"/>
                <w:szCs w:val="20"/>
              </w:rPr>
              <w:t>第一条</w:t>
            </w:r>
            <w:r w:rsidRPr="00DA3766">
              <w:rPr>
                <w:sz w:val="21"/>
                <w:szCs w:val="20"/>
              </w:rPr>
              <w:t>规定，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w:t>
            </w:r>
            <w:r w:rsidRPr="00DA3766">
              <w:rPr>
                <w:sz w:val="21"/>
                <w:szCs w:val="20"/>
              </w:rPr>
              <w:t>75%</w:t>
            </w:r>
            <w:r w:rsidRPr="00DA3766">
              <w:rPr>
                <w:sz w:val="21"/>
                <w:szCs w:val="20"/>
              </w:rPr>
              <w:t>，且改制（变更）后公司承继原企业权利、义务的，对改制（变更）后公司承受原企业土地、房屋权属，免征契税。</w:t>
            </w:r>
          </w:p>
        </w:tc>
        <w:tc>
          <w:tcPr>
            <w:tcW w:w="1113" w:type="pct"/>
            <w:tcMar>
              <w:top w:w="0" w:type="dxa"/>
              <w:bottom w:w="0" w:type="dxa"/>
            </w:tcMar>
            <w:vAlign w:val="center"/>
          </w:tcPr>
          <w:p w14:paraId="2BF89F30" w14:textId="6AAD89F7"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标的公司不属于房地产企业，变更公司形式过程中股东未发生变化，免征契税。</w:t>
            </w:r>
          </w:p>
        </w:tc>
      </w:tr>
      <w:tr w:rsidR="00D158F2" w:rsidRPr="00DA3766" w14:paraId="49973B5B" w14:textId="77777777" w:rsidTr="00DA3766">
        <w:trPr>
          <w:trHeight w:val="397"/>
          <w:jc w:val="center"/>
        </w:trPr>
        <w:tc>
          <w:tcPr>
            <w:tcW w:w="497" w:type="pct"/>
            <w:tcMar>
              <w:top w:w="0" w:type="dxa"/>
              <w:bottom w:w="0" w:type="dxa"/>
            </w:tcMar>
            <w:vAlign w:val="center"/>
          </w:tcPr>
          <w:p w14:paraId="1DE45F20" w14:textId="10BA178D" w:rsidR="00D158F2" w:rsidRPr="00DA3766" w:rsidRDefault="00E32C3D"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印花税</w:t>
            </w:r>
          </w:p>
        </w:tc>
        <w:tc>
          <w:tcPr>
            <w:tcW w:w="3389" w:type="pct"/>
            <w:tcMar>
              <w:top w:w="0" w:type="dxa"/>
              <w:bottom w:w="0" w:type="dxa"/>
            </w:tcMar>
            <w:vAlign w:val="center"/>
          </w:tcPr>
          <w:p w14:paraId="6E7E250D" w14:textId="5C38FB09" w:rsidR="00B91E08"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B91E08" w:rsidRPr="00DA3766">
              <w:rPr>
                <w:sz w:val="21"/>
                <w:szCs w:val="20"/>
              </w:rPr>
              <w:t>财政部</w:t>
            </w:r>
            <w:r w:rsidR="00B91E08" w:rsidRPr="00DA3766">
              <w:rPr>
                <w:sz w:val="21"/>
                <w:szCs w:val="20"/>
              </w:rPr>
              <w:t xml:space="preserve"> </w:t>
            </w:r>
            <w:r w:rsidR="00B91E08" w:rsidRPr="00DA3766">
              <w:rPr>
                <w:sz w:val="21"/>
                <w:szCs w:val="20"/>
              </w:rPr>
              <w:t>税务总局关于企业改制重组及事业单位改制有关印花税政策的公告</w:t>
            </w:r>
            <w:r w:rsidRPr="00DA3766">
              <w:rPr>
                <w:sz w:val="21"/>
                <w:szCs w:val="20"/>
              </w:rPr>
              <w:t>》（财税</w:t>
            </w:r>
            <w:r w:rsidRPr="00DA3766">
              <w:rPr>
                <w:sz w:val="21"/>
                <w:szCs w:val="20"/>
              </w:rPr>
              <w:t>[2003]183</w:t>
            </w:r>
            <w:r w:rsidRPr="00DA3766">
              <w:rPr>
                <w:sz w:val="21"/>
                <w:szCs w:val="20"/>
              </w:rPr>
              <w:t>号）的规定</w:t>
            </w:r>
            <w:r w:rsidR="00B91E08" w:rsidRPr="00DA3766">
              <w:rPr>
                <w:sz w:val="21"/>
                <w:szCs w:val="20"/>
              </w:rPr>
              <w:t>：</w:t>
            </w:r>
          </w:p>
          <w:p w14:paraId="54CD8A80" w14:textId="6E953E26" w:rsidR="00B91E08" w:rsidRPr="00DA3766" w:rsidRDefault="00B91E08" w:rsidP="00DA3766">
            <w:pPr>
              <w:pStyle w:val="005"/>
              <w:adjustRightInd w:val="0"/>
              <w:snapToGrid w:val="0"/>
              <w:spacing w:beforeLines="0" w:before="0" w:afterLines="0" w:after="0" w:line="240" w:lineRule="auto"/>
              <w:ind w:firstLine="420"/>
              <w:rPr>
                <w:sz w:val="21"/>
                <w:szCs w:val="20"/>
              </w:rPr>
            </w:pPr>
            <w:r w:rsidRPr="00DA3766">
              <w:rPr>
                <w:sz w:val="21"/>
                <w:szCs w:val="20"/>
              </w:rPr>
              <w:t>一、关于营业账簿的印花税</w:t>
            </w:r>
            <w:r w:rsidRPr="00DA3766">
              <w:rPr>
                <w:sz w:val="21"/>
                <w:szCs w:val="20"/>
              </w:rPr>
              <w:t> </w:t>
            </w:r>
          </w:p>
          <w:p w14:paraId="1FE7A236"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一）企业改制重组以及事业单位改制过程中成立的新企业，其新启用营业账簿记载的实收资本（股本）、资本公积合计金额，原已缴纳印花税的部分不再缴纳印花税，未缴纳印花税的部分和以后新增加的部分应当按规定缴纳印花税。</w:t>
            </w:r>
            <w:r w:rsidRPr="00DA3766">
              <w:rPr>
                <w:sz w:val="21"/>
                <w:szCs w:val="20"/>
              </w:rPr>
              <w:t> </w:t>
            </w:r>
          </w:p>
          <w:p w14:paraId="1BB58445"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二）企业债权转股权新增加的实收资本（股本）、资本公积合计金额，应当按规定缴纳印花税。对经国务院批准实施的重组项目中发生的债权转股权，债务人因债务转为资本而增加的实收资本（股本）、资本公积合计金额，免征印花税。</w:t>
            </w:r>
            <w:r w:rsidRPr="00DA3766">
              <w:rPr>
                <w:sz w:val="21"/>
                <w:szCs w:val="20"/>
              </w:rPr>
              <w:t> </w:t>
            </w:r>
          </w:p>
          <w:p w14:paraId="61B447F2"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（三）企业改制重组以及事业单位改制过程中，经评估增加的实收资本（股本）、资本公积合计金额，应当按规定缴纳印花税。</w:t>
            </w:r>
          </w:p>
          <w:p w14:paraId="4A75B6BB" w14:textId="77777777" w:rsidR="00D158F2"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（四）企业其他会计科目记载的资金转为实收资本（股本）或者资本公积的，应当按规定缴纳印花税。</w:t>
            </w:r>
          </w:p>
          <w:p w14:paraId="425DFAD1" w14:textId="3651983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二、关于各类应税合同的印花税</w:t>
            </w:r>
          </w:p>
          <w:p w14:paraId="0A832A6F" w14:textId="7349500B"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企业改制重组以及事业单位改制前书立但尚未履行完毕的各类应税合同，由改制重组后的主体承继原合同权利和义务且未变更原合同计税依据的，改制重组前已缴纳印花税的，不再缴纳印花税。</w:t>
            </w:r>
          </w:p>
          <w:p w14:paraId="3AEE367A" w14:textId="5E909C92"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三、关于产权转移书据的印花税</w:t>
            </w:r>
          </w:p>
          <w:p w14:paraId="7DC85F6E" w14:textId="6CD38080"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对企业改制、合并、分立、破产清算以及事业单位改制书立的产权转移书据，免征印花税。</w:t>
            </w:r>
          </w:p>
          <w:p w14:paraId="66450466" w14:textId="08F5AB2F"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对县级以上人民政府或者其所属具有国有资产管理职责的部门按规定对土地使用权、房屋等建筑物和构筑物所有权、股权进行行政性调整书立的产权转移书据，免征印花税。</w:t>
            </w:r>
          </w:p>
          <w:p w14:paraId="4CC24594" w14:textId="53B4E724"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对同一投资主体内部划转土地使用权、房屋等建筑物和构筑物所有权、股权书立的产权转移书据，免征印花税。</w:t>
            </w:r>
          </w:p>
        </w:tc>
        <w:tc>
          <w:tcPr>
            <w:tcW w:w="1113" w:type="pct"/>
            <w:tcMar>
              <w:top w:w="0" w:type="dxa"/>
              <w:bottom w:w="0" w:type="dxa"/>
            </w:tcMar>
            <w:vAlign w:val="center"/>
          </w:tcPr>
          <w:p w14:paraId="7E8EDBE7" w14:textId="03635450"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标的公司变更为有限责任公司过程中未发生产权转移、原有的合同主体变更，且载实收资本（股本）、资本公积合计金额未增加，无需贴花交税</w:t>
            </w:r>
          </w:p>
        </w:tc>
      </w:tr>
    </w:tbl>
    <w:p w14:paraId="47514FD9" w14:textId="3F502221" w:rsidR="00D158F2" w:rsidRPr="00DA3766" w:rsidRDefault="00E32C3D" w:rsidP="00E32C3D">
      <w:pPr>
        <w:pStyle w:val="005"/>
        <w:spacing w:before="120" w:after="120"/>
        <w:ind w:firstLine="480"/>
      </w:pPr>
      <w:r w:rsidRPr="00DA3766">
        <w:t>综上，标的公司变更为有限责任公司过程中不涉及企业所得税、土地增值税、</w:t>
      </w:r>
      <w:r w:rsidRPr="00DA3766">
        <w:lastRenderedPageBreak/>
        <w:t>契税及印花税缴纳，仅需承担办理工商变更所需中介机构代办费用，金额较小。</w:t>
      </w:r>
    </w:p>
    <w:p w14:paraId="6B080B46" w14:textId="67983B6F" w:rsidR="00DC6EFC" w:rsidRPr="00DA3766" w:rsidRDefault="00DC6EFC" w:rsidP="00DC6EFC">
      <w:pPr>
        <w:pStyle w:val="004"/>
        <w:spacing w:before="120" w:after="120"/>
        <w:ind w:firstLine="482"/>
      </w:pPr>
      <w:r w:rsidRPr="00DA3766">
        <w:t>2</w:t>
      </w:r>
      <w:r w:rsidRPr="00DA3766">
        <w:t>、标的资产完成相关工商变更登记不确定性</w:t>
      </w:r>
      <w:r w:rsidR="00D158F2" w:rsidRPr="00DA3766">
        <w:t>较</w:t>
      </w:r>
      <w:r w:rsidR="00085200">
        <w:rPr>
          <w:rFonts w:hint="eastAsia"/>
        </w:rPr>
        <w:t>小</w:t>
      </w:r>
      <w:r w:rsidRPr="00DA3766">
        <w:t>，对本次交易或估值存在的影响</w:t>
      </w:r>
    </w:p>
    <w:p w14:paraId="4F881140" w14:textId="66F9ED3D" w:rsidR="00DC6EFC" w:rsidRPr="00DA3766" w:rsidRDefault="00DC6EFC" w:rsidP="00C3042A">
      <w:pPr>
        <w:pStyle w:val="005"/>
        <w:spacing w:before="120" w:after="120"/>
        <w:ind w:firstLine="480"/>
      </w:pPr>
      <w:r w:rsidRPr="00DA3766">
        <w:t>本次交易的标的资产权属清晰，不存在产权纠纷、质押、冻结、股东出资不实等可能影响其转让过户的情形；标的公司各股东就标的资产交割事宜与上市公司及其他相关各方签署的交易文件合法、有效；标的资产的交割安排及该过程中所涉及的标的公司形式变更属标的公司股东自行决策事项，除办理相应工商登记外，无需经过国资监管或行政主管部门的审批。</w:t>
      </w:r>
      <w:r w:rsidR="00E32C3D" w:rsidRPr="00DA3766">
        <w:t>因此</w:t>
      </w:r>
      <w:r w:rsidRPr="00DA3766">
        <w:t>本次交易中完成相关工商变更登记不存在实质性</w:t>
      </w:r>
      <w:r w:rsidRPr="00085200">
        <w:t>障碍，不确定性较</w:t>
      </w:r>
      <w:r w:rsidR="00085200" w:rsidRPr="00085200">
        <w:rPr>
          <w:rFonts w:hint="eastAsia"/>
        </w:rPr>
        <w:t>小</w:t>
      </w:r>
      <w:r w:rsidRPr="00085200">
        <w:t>。</w:t>
      </w:r>
    </w:p>
    <w:p w14:paraId="7DBA4650" w14:textId="77E77860" w:rsidR="00B32770" w:rsidRPr="00DA3766" w:rsidRDefault="00085200" w:rsidP="00C3042A">
      <w:pPr>
        <w:pStyle w:val="005"/>
        <w:spacing w:before="120" w:after="120"/>
        <w:ind w:firstLine="480"/>
      </w:pPr>
      <w:r>
        <w:rPr>
          <w:rFonts w:hint="eastAsia"/>
        </w:rPr>
        <w:t>综上所述，</w:t>
      </w:r>
      <w:r w:rsidRPr="00085200">
        <w:t>本次交易拟在标的公司整体变更为有限责任公司后实施交割，系在参考市场案例前提下由交易各方协商确定，具有商业合理性</w:t>
      </w:r>
      <w:r>
        <w:rPr>
          <w:rFonts w:hint="eastAsia"/>
        </w:rPr>
        <w:t>。</w:t>
      </w:r>
      <w:r w:rsidRPr="00085200">
        <w:t>标的资产完成相关工商变更登记的税费仅包括办理工商变更所需中介机构代办费用，金额较小，变更程序符合法律法规规定，不确定性较小，不会对本次交易或估值造成重大不利影响。</w:t>
      </w:r>
    </w:p>
    <w:p w14:paraId="2FC260D3" w14:textId="4D204EC9" w:rsidR="00E22816" w:rsidRPr="00DA3766" w:rsidRDefault="00E22816"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二、本次交易的具体方案</w:t>
      </w:r>
      <w:r w:rsidRPr="00DA3766">
        <w:rPr>
          <w:rFonts w:ascii="宋体" w:hAnsi="宋体"/>
        </w:rPr>
        <w:t>”</w:t>
      </w:r>
      <w:r w:rsidR="003D22E7" w:rsidRPr="00DA3766">
        <w:t>中</w:t>
      </w:r>
      <w:r w:rsidRPr="00DA3766">
        <w:t>补充披露。</w:t>
      </w:r>
      <w:bookmarkEnd w:id="160"/>
    </w:p>
    <w:p w14:paraId="5A34855D" w14:textId="76032350" w:rsidR="00347AEF" w:rsidRPr="00DA3766" w:rsidRDefault="00347AEF" w:rsidP="00347AEF">
      <w:pPr>
        <w:pStyle w:val="002"/>
        <w:spacing w:before="120" w:after="120"/>
        <w:ind w:firstLine="482"/>
      </w:pPr>
      <w:r w:rsidRPr="00DA3766">
        <w:t>七、</w:t>
      </w:r>
      <w:bookmarkStart w:id="163" w:name="_Hlk219327414"/>
      <w:r w:rsidRPr="00DA3766">
        <w:t>结合交易对方之间的关联关系，标的资产的股权结构、治理结构、财务经营事项决策机制等补充披露</w:t>
      </w:r>
      <w:bookmarkStart w:id="164" w:name="OLE_LINK28"/>
      <w:r w:rsidRPr="00DA3766">
        <w:t>本次交易完成后是否存在交易对方及其关联方或一致行动人（如有）合计持有上市公司股份超过</w:t>
      </w:r>
      <w:r w:rsidRPr="00DA3766">
        <w:t>5%</w:t>
      </w:r>
      <w:r w:rsidRPr="00DA3766">
        <w:t>的情形，</w:t>
      </w:r>
      <w:bookmarkStart w:id="165" w:name="OLE_LINK13"/>
      <w:r w:rsidRPr="00DA3766">
        <w:t>认定本</w:t>
      </w:r>
      <w:bookmarkStart w:id="166" w:name="OLE_LINK4"/>
      <w:r w:rsidRPr="00DA3766">
        <w:t>次发行股份及支付现金购买资产不构成关联交易</w:t>
      </w:r>
      <w:bookmarkEnd w:id="166"/>
      <w:r w:rsidRPr="00DA3766">
        <w:t>是否准确</w:t>
      </w:r>
      <w:bookmarkEnd w:id="163"/>
      <w:bookmarkEnd w:id="164"/>
      <w:bookmarkEnd w:id="165"/>
      <w:r w:rsidRPr="00DA3766">
        <w:t>。</w:t>
      </w:r>
    </w:p>
    <w:p w14:paraId="3AE775D7" w14:textId="2C3BFB61" w:rsidR="00B32770" w:rsidRPr="00DA3766" w:rsidRDefault="00B32770" w:rsidP="00B32770">
      <w:pPr>
        <w:pStyle w:val="003"/>
        <w:spacing w:before="120" w:after="120"/>
        <w:ind w:firstLine="482"/>
      </w:pPr>
      <w:bookmarkStart w:id="167" w:name="_Hlk219325161"/>
      <w:r w:rsidRPr="00DA3766">
        <w:t>（一）交易对方之间关联关系</w:t>
      </w:r>
    </w:p>
    <w:p w14:paraId="03327711" w14:textId="030ED600" w:rsidR="007A138A" w:rsidRPr="00DA3766" w:rsidRDefault="007A138A" w:rsidP="007A138A">
      <w:pPr>
        <w:pStyle w:val="005"/>
        <w:spacing w:before="120" w:after="120"/>
        <w:ind w:firstLine="480"/>
      </w:pPr>
      <w:r w:rsidRPr="00DA3766">
        <w:t>交易对方之间关联关系见</w:t>
      </w:r>
      <w:r w:rsidR="00F32A32" w:rsidRPr="00DA3766">
        <w:t>《重组报告书》</w:t>
      </w:r>
      <w:r w:rsidRPr="00DA3766">
        <w:rPr>
          <w:rFonts w:ascii="宋体" w:hAnsi="宋体"/>
        </w:rPr>
        <w:t>“</w:t>
      </w:r>
      <w:r w:rsidRPr="00DA3766">
        <w:t>第三节</w:t>
      </w:r>
      <w:r w:rsidRPr="00DA3766">
        <w:t xml:space="preserve"> </w:t>
      </w:r>
      <w:r w:rsidRPr="00DA3766">
        <w:t>交易对方基本情况</w:t>
      </w:r>
      <w:r w:rsidRPr="00DA3766">
        <w:rPr>
          <w:rFonts w:ascii="宋体" w:hAnsi="宋体"/>
        </w:rPr>
        <w:t>”</w:t>
      </w:r>
      <w:r w:rsidRPr="00DA3766">
        <w:t>之</w:t>
      </w:r>
      <w:r w:rsidRPr="00DA3766">
        <w:rPr>
          <w:rFonts w:ascii="宋体" w:hAnsi="宋体"/>
        </w:rPr>
        <w:t>“</w:t>
      </w:r>
      <w:r w:rsidRPr="00DA3766">
        <w:t>三、其他事项说明</w:t>
      </w:r>
      <w:r w:rsidRPr="00DA3766">
        <w:rPr>
          <w:rFonts w:ascii="宋体" w:hAnsi="宋体"/>
        </w:rPr>
        <w:t>”</w:t>
      </w:r>
      <w:r w:rsidRPr="00DA3766">
        <w:t>之</w:t>
      </w:r>
      <w:r w:rsidRPr="00DA3766">
        <w:rPr>
          <w:rFonts w:ascii="宋体" w:hAnsi="宋体"/>
        </w:rPr>
        <w:t>“</w:t>
      </w:r>
      <w:r w:rsidRPr="00DA3766">
        <w:t>（一）交易对方之间的关联关系</w:t>
      </w:r>
      <w:r w:rsidRPr="00DA3766">
        <w:rPr>
          <w:rFonts w:ascii="宋体" w:hAnsi="宋体"/>
        </w:rPr>
        <w:t>”</w:t>
      </w:r>
      <w:r w:rsidRPr="00DA3766">
        <w:t>。</w:t>
      </w:r>
    </w:p>
    <w:p w14:paraId="7374C785" w14:textId="68C1D04F" w:rsidR="00B32770" w:rsidRPr="00DA3766" w:rsidRDefault="00B32770" w:rsidP="00B32770">
      <w:pPr>
        <w:pStyle w:val="003"/>
        <w:spacing w:before="120" w:after="120"/>
        <w:ind w:firstLine="482"/>
      </w:pPr>
      <w:r w:rsidRPr="00DA3766">
        <w:t>（二）标的资产的股权结构</w:t>
      </w:r>
    </w:p>
    <w:p w14:paraId="3E893E11" w14:textId="6B34749F" w:rsidR="007A138A" w:rsidRPr="00DA3766" w:rsidRDefault="00B91E08" w:rsidP="00C3042A">
      <w:pPr>
        <w:pStyle w:val="005"/>
        <w:spacing w:before="120" w:after="120"/>
        <w:ind w:firstLine="480"/>
      </w:pPr>
      <w:r w:rsidRPr="00DA3766">
        <w:t>标的资产的股权结构见</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之</w:t>
      </w:r>
      <w:r w:rsidRPr="00DA3766">
        <w:rPr>
          <w:rFonts w:ascii="宋体" w:hAnsi="宋体"/>
        </w:rPr>
        <w:t>“</w:t>
      </w:r>
      <w:r w:rsidRPr="00DA3766">
        <w:t>（一）产权控制关系</w:t>
      </w:r>
      <w:r w:rsidRPr="00DA3766">
        <w:rPr>
          <w:rFonts w:ascii="宋体" w:hAnsi="宋体"/>
        </w:rPr>
        <w:t>”</w:t>
      </w:r>
      <w:r w:rsidRPr="00DA3766">
        <w:t>。</w:t>
      </w:r>
    </w:p>
    <w:p w14:paraId="7731FCEE" w14:textId="603B94A1" w:rsidR="00B91E08" w:rsidRPr="00DA3766" w:rsidRDefault="00B91E08" w:rsidP="00B91E08">
      <w:pPr>
        <w:pStyle w:val="003"/>
        <w:spacing w:before="120" w:after="120"/>
        <w:ind w:firstLine="482"/>
      </w:pPr>
      <w:r w:rsidRPr="00DA3766">
        <w:lastRenderedPageBreak/>
        <w:t>（三）标的资产的公司治理结构及财务经营事项决策机制</w:t>
      </w:r>
    </w:p>
    <w:p w14:paraId="5DC38B22" w14:textId="414B480E" w:rsidR="00B91E08" w:rsidRPr="00DA3766" w:rsidRDefault="00B91E08" w:rsidP="00B91E08">
      <w:pPr>
        <w:pStyle w:val="005"/>
        <w:spacing w:before="120" w:after="120"/>
        <w:ind w:firstLine="480"/>
      </w:pPr>
      <w:r w:rsidRPr="00DA3766">
        <w:t>根据《</w:t>
      </w:r>
      <w:r w:rsidR="008002FF" w:rsidRPr="00DA3766">
        <w:t>广东星云开物科技股份有限</w:t>
      </w:r>
      <w:r w:rsidRPr="00DA3766">
        <w:t>公司章程》，</w:t>
      </w:r>
      <w:r w:rsidR="008002FF" w:rsidRPr="00DA3766">
        <w:t>标的公司设董事会、监事会及股东大会，财务经营事项决策将由股东大会和董事会根据《董事会议事规则》、《股东大会议事规则》和《公司章程》做出。其中，股东大会是标的公司的最高权力机构；董事会是经营决策机构，对股东大会负责；监事会按照公司章程的规定对董事、高级管理人员执行职务的行为进行监督。</w:t>
      </w:r>
    </w:p>
    <w:p w14:paraId="774E056C" w14:textId="7A38CEEC" w:rsidR="00011EFD" w:rsidRPr="00DA3766" w:rsidRDefault="00B32770" w:rsidP="00B32770">
      <w:pPr>
        <w:pStyle w:val="003"/>
        <w:spacing w:before="120" w:after="120"/>
        <w:ind w:firstLine="482"/>
      </w:pPr>
      <w:r w:rsidRPr="00DA3766">
        <w:t>（</w:t>
      </w:r>
      <w:r w:rsidR="00DF1B3B" w:rsidRPr="00DA3766">
        <w:t>四</w:t>
      </w:r>
      <w:r w:rsidRPr="00DA3766">
        <w:t>）本次交易完成后不存在交易对方及其关联方或一致行动人合计持有上市公司股份超过</w:t>
      </w:r>
      <w:r w:rsidRPr="00DA3766">
        <w:t>5%</w:t>
      </w:r>
      <w:r w:rsidRPr="00DA3766">
        <w:t>的情形，本次发行股份及支付现金购买资产不构成关联交易</w:t>
      </w:r>
    </w:p>
    <w:p w14:paraId="4BC6ED4C" w14:textId="6137A6C3" w:rsidR="00011EFD" w:rsidRPr="00DA3766" w:rsidRDefault="0021491A" w:rsidP="00011EFD">
      <w:pPr>
        <w:pStyle w:val="005"/>
        <w:spacing w:before="120" w:after="120"/>
        <w:ind w:firstLine="480"/>
      </w:pPr>
      <w:r w:rsidRPr="00DA3766">
        <w:t>截至</w:t>
      </w:r>
      <w:r w:rsidRPr="00DA3766">
        <w:t>2025</w:t>
      </w:r>
      <w:r w:rsidRPr="00DA3766">
        <w:t>年</w:t>
      </w:r>
      <w:r w:rsidRPr="00DA3766">
        <w:t>9</w:t>
      </w:r>
      <w:r w:rsidRPr="00DA3766">
        <w:t>月</w:t>
      </w:r>
      <w:r w:rsidRPr="00DA3766">
        <w:t>30</w:t>
      </w:r>
      <w:r w:rsidRPr="00DA3766">
        <w:t>日，上市公司总股本</w:t>
      </w:r>
      <w:r w:rsidRPr="00DA3766">
        <w:t>66,852,800</w:t>
      </w:r>
      <w:r w:rsidRPr="00DA3766">
        <w:t>股。本次交易中上市公司将新增发行</w:t>
      </w:r>
      <w:r w:rsidRPr="00DA3766">
        <w:t>21,762,605</w:t>
      </w:r>
      <w:r w:rsidRPr="00DA3766">
        <w:t>股用于向交易对方支付股份对价。</w:t>
      </w:r>
      <w:r w:rsidR="00011EFD" w:rsidRPr="00DA3766">
        <w:t>本次交易完成后，</w:t>
      </w:r>
      <w:r w:rsidR="00193D04" w:rsidRPr="00DA3766">
        <w:t>不考虑募集配套资金，</w:t>
      </w:r>
      <w:r w:rsidR="00011EFD" w:rsidRPr="00DA3766">
        <w:t>交易对方及其关联方或一致行动人合计持有上市公司股份情况如下：</w:t>
      </w:r>
    </w:p>
    <w:tbl>
      <w:tblPr>
        <w:tblW w:w="55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1798"/>
        <w:gridCol w:w="3402"/>
        <w:gridCol w:w="1201"/>
        <w:gridCol w:w="1201"/>
        <w:gridCol w:w="1197"/>
      </w:tblGrid>
      <w:tr w:rsidR="00193D04" w:rsidRPr="00DA3766" w14:paraId="7D91C07E" w14:textId="3E7965B7" w:rsidTr="00635015">
        <w:trPr>
          <w:trHeight w:val="397"/>
          <w:tblHeader/>
          <w:jc w:val="center"/>
        </w:trPr>
        <w:tc>
          <w:tcPr>
            <w:tcW w:w="355" w:type="pct"/>
            <w:vMerge w:val="restart"/>
            <w:tcMar>
              <w:top w:w="0" w:type="dxa"/>
              <w:left w:w="108" w:type="dxa"/>
              <w:bottom w:w="0" w:type="dxa"/>
              <w:right w:w="108" w:type="dxa"/>
            </w:tcMar>
            <w:vAlign w:val="center"/>
          </w:tcPr>
          <w:p w14:paraId="2C1B6360"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168" w:name="_Hlk213164104"/>
            <w:r w:rsidRPr="00DA3766">
              <w:rPr>
                <w:rFonts w:ascii="Times New Roman" w:hAnsi="Times New Roman" w:cs="Times New Roman"/>
                <w:b/>
                <w:sz w:val="21"/>
                <w:szCs w:val="21"/>
              </w:rPr>
              <w:t>序号</w:t>
            </w:r>
          </w:p>
        </w:tc>
        <w:tc>
          <w:tcPr>
            <w:tcW w:w="949" w:type="pct"/>
            <w:vMerge w:val="restart"/>
            <w:tcMar>
              <w:top w:w="0" w:type="dxa"/>
              <w:left w:w="108" w:type="dxa"/>
              <w:bottom w:w="0" w:type="dxa"/>
              <w:right w:w="108" w:type="dxa"/>
            </w:tcMar>
            <w:vAlign w:val="center"/>
          </w:tcPr>
          <w:p w14:paraId="31C02B8C"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pacing w:val="-3"/>
                <w:sz w:val="21"/>
                <w:szCs w:val="21"/>
              </w:rPr>
              <w:t>股东名称</w:t>
            </w:r>
          </w:p>
        </w:tc>
        <w:tc>
          <w:tcPr>
            <w:tcW w:w="1796" w:type="pct"/>
            <w:vMerge w:val="restart"/>
            <w:tcMar>
              <w:top w:w="0" w:type="dxa"/>
              <w:bottom w:w="0" w:type="dxa"/>
            </w:tcMar>
            <w:vAlign w:val="center"/>
          </w:tcPr>
          <w:p w14:paraId="67E888C9" w14:textId="2D7C4338"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z w:val="21"/>
                <w:szCs w:val="21"/>
              </w:rPr>
              <w:t>交易对方之间关联关系</w:t>
            </w:r>
          </w:p>
        </w:tc>
        <w:tc>
          <w:tcPr>
            <w:tcW w:w="1901" w:type="pct"/>
            <w:gridSpan w:val="3"/>
            <w:tcMar>
              <w:top w:w="0" w:type="dxa"/>
              <w:left w:w="108" w:type="dxa"/>
              <w:bottom w:w="0" w:type="dxa"/>
              <w:right w:w="108" w:type="dxa"/>
            </w:tcMar>
            <w:vAlign w:val="center"/>
          </w:tcPr>
          <w:p w14:paraId="771829F7"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2"/>
                <w:sz w:val="21"/>
                <w:szCs w:val="21"/>
              </w:rPr>
            </w:pPr>
            <w:r w:rsidRPr="00DA3766">
              <w:rPr>
                <w:rFonts w:ascii="Times New Roman" w:hAnsi="Times New Roman" w:cs="Times New Roman"/>
                <w:b/>
                <w:spacing w:val="-2"/>
                <w:sz w:val="21"/>
                <w:szCs w:val="21"/>
              </w:rPr>
              <w:t>本次交易后</w:t>
            </w:r>
          </w:p>
          <w:p w14:paraId="66F4A364" w14:textId="750ECFE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2"/>
                <w:sz w:val="21"/>
                <w:szCs w:val="21"/>
              </w:rPr>
            </w:pPr>
            <w:r w:rsidRPr="00DA3766">
              <w:rPr>
                <w:rFonts w:ascii="Times New Roman" w:hAnsi="Times New Roman" w:cs="Times New Roman"/>
                <w:b/>
                <w:spacing w:val="-2"/>
                <w:sz w:val="21"/>
                <w:szCs w:val="21"/>
              </w:rPr>
              <w:t>（不含募集配套资金）</w:t>
            </w:r>
          </w:p>
        </w:tc>
      </w:tr>
      <w:tr w:rsidR="00193D04" w:rsidRPr="00DA3766" w14:paraId="0A7AC9E9" w14:textId="7A535E38" w:rsidTr="00635015">
        <w:trPr>
          <w:trHeight w:val="397"/>
          <w:tblHeader/>
          <w:jc w:val="center"/>
        </w:trPr>
        <w:tc>
          <w:tcPr>
            <w:tcW w:w="355" w:type="pct"/>
            <w:vMerge/>
            <w:tcMar>
              <w:top w:w="0" w:type="dxa"/>
              <w:left w:w="108" w:type="dxa"/>
              <w:bottom w:w="0" w:type="dxa"/>
              <w:right w:w="108" w:type="dxa"/>
            </w:tcMar>
            <w:vAlign w:val="center"/>
          </w:tcPr>
          <w:p w14:paraId="5B928D12"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p>
        </w:tc>
        <w:tc>
          <w:tcPr>
            <w:tcW w:w="949" w:type="pct"/>
            <w:vMerge/>
            <w:tcMar>
              <w:top w:w="0" w:type="dxa"/>
              <w:left w:w="108" w:type="dxa"/>
              <w:bottom w:w="0" w:type="dxa"/>
              <w:right w:w="108" w:type="dxa"/>
            </w:tcMar>
            <w:vAlign w:val="center"/>
          </w:tcPr>
          <w:p w14:paraId="203AC994"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p>
        </w:tc>
        <w:tc>
          <w:tcPr>
            <w:tcW w:w="1796" w:type="pct"/>
            <w:vMerge/>
            <w:tcMar>
              <w:top w:w="0" w:type="dxa"/>
              <w:bottom w:w="0" w:type="dxa"/>
            </w:tcMar>
            <w:vAlign w:val="center"/>
          </w:tcPr>
          <w:p w14:paraId="14F66533"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p>
        </w:tc>
        <w:tc>
          <w:tcPr>
            <w:tcW w:w="634" w:type="pct"/>
            <w:tcMar>
              <w:top w:w="0" w:type="dxa"/>
              <w:left w:w="108" w:type="dxa"/>
              <w:bottom w:w="0" w:type="dxa"/>
              <w:right w:w="108" w:type="dxa"/>
            </w:tcMar>
            <w:vAlign w:val="center"/>
          </w:tcPr>
          <w:p w14:paraId="7D88968D" w14:textId="5ED46368"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pacing w:val="-3"/>
                <w:sz w:val="21"/>
                <w:szCs w:val="21"/>
              </w:rPr>
              <w:t>持股数量</w:t>
            </w:r>
          </w:p>
          <w:p w14:paraId="7C048E90"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（万股</w:t>
            </w:r>
            <w:r w:rsidRPr="00DA3766">
              <w:rPr>
                <w:rFonts w:ascii="Times New Roman" w:hAnsi="Times New Roman" w:cs="Times New Roman"/>
                <w:b/>
                <w:spacing w:val="-10"/>
                <w:sz w:val="21"/>
                <w:szCs w:val="21"/>
              </w:rPr>
              <w:t>）</w:t>
            </w:r>
          </w:p>
        </w:tc>
        <w:tc>
          <w:tcPr>
            <w:tcW w:w="634" w:type="pct"/>
            <w:tcMar>
              <w:top w:w="0" w:type="dxa"/>
              <w:left w:w="108" w:type="dxa"/>
              <w:bottom w:w="0" w:type="dxa"/>
              <w:right w:w="108" w:type="dxa"/>
            </w:tcMar>
            <w:vAlign w:val="center"/>
          </w:tcPr>
          <w:p w14:paraId="55DE2784"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pacing w:val="-3"/>
                <w:sz w:val="21"/>
                <w:szCs w:val="21"/>
              </w:rPr>
              <w:t>持股比例</w:t>
            </w:r>
          </w:p>
        </w:tc>
        <w:tc>
          <w:tcPr>
            <w:tcW w:w="633" w:type="pct"/>
            <w:tcMar>
              <w:top w:w="0" w:type="dxa"/>
              <w:bottom w:w="0" w:type="dxa"/>
            </w:tcMar>
            <w:vAlign w:val="center"/>
          </w:tcPr>
          <w:p w14:paraId="264AB1B1" w14:textId="365A393E"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pacing w:val="-3"/>
                <w:sz w:val="21"/>
                <w:szCs w:val="21"/>
              </w:rPr>
              <w:t>持股比例（关联方合计）</w:t>
            </w:r>
          </w:p>
        </w:tc>
      </w:tr>
      <w:tr w:rsidR="00193D04" w:rsidRPr="00DA3766" w14:paraId="537B660F" w14:textId="5558541C" w:rsidTr="00635015">
        <w:trPr>
          <w:trHeight w:val="397"/>
          <w:jc w:val="center"/>
        </w:trPr>
        <w:tc>
          <w:tcPr>
            <w:tcW w:w="355" w:type="pct"/>
            <w:tcMar>
              <w:top w:w="0" w:type="dxa"/>
              <w:left w:w="108" w:type="dxa"/>
              <w:bottom w:w="0" w:type="dxa"/>
              <w:right w:w="108" w:type="dxa"/>
            </w:tcMar>
            <w:vAlign w:val="center"/>
          </w:tcPr>
          <w:p w14:paraId="72BA2A6B" w14:textId="5886410C"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z w:val="21"/>
                <w:szCs w:val="21"/>
              </w:rPr>
            </w:pPr>
            <w:r w:rsidRPr="00DA3766">
              <w:rPr>
                <w:rFonts w:ascii="Times New Roman" w:hAnsi="Times New Roman" w:cs="Times New Roman"/>
                <w:bCs/>
                <w:sz w:val="21"/>
                <w:szCs w:val="21"/>
              </w:rPr>
              <w:t xml:space="preserve">1 </w:t>
            </w:r>
          </w:p>
        </w:tc>
        <w:tc>
          <w:tcPr>
            <w:tcW w:w="949" w:type="pct"/>
            <w:tcMar>
              <w:top w:w="0" w:type="dxa"/>
              <w:left w:w="108" w:type="dxa"/>
              <w:bottom w:w="0" w:type="dxa"/>
              <w:right w:w="108" w:type="dxa"/>
            </w:tcMar>
            <w:vAlign w:val="center"/>
          </w:tcPr>
          <w:p w14:paraId="6AFA2FA6"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陈耿豪</w:t>
            </w:r>
          </w:p>
        </w:tc>
        <w:tc>
          <w:tcPr>
            <w:tcW w:w="1796" w:type="pct"/>
            <w:tcMar>
              <w:top w:w="0" w:type="dxa"/>
              <w:bottom w:w="0" w:type="dxa"/>
            </w:tcMar>
            <w:vAlign w:val="center"/>
          </w:tcPr>
          <w:p w14:paraId="3175A6CB" w14:textId="4C5568DE"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738F2A84" w14:textId="1CB0979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434.00</w:t>
            </w:r>
          </w:p>
        </w:tc>
        <w:tc>
          <w:tcPr>
            <w:tcW w:w="634" w:type="pct"/>
            <w:tcMar>
              <w:top w:w="0" w:type="dxa"/>
              <w:left w:w="108" w:type="dxa"/>
              <w:bottom w:w="0" w:type="dxa"/>
              <w:right w:w="108" w:type="dxa"/>
            </w:tcMar>
            <w:vAlign w:val="center"/>
          </w:tcPr>
          <w:p w14:paraId="565F0F40"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4.90%</w:t>
            </w:r>
          </w:p>
        </w:tc>
        <w:tc>
          <w:tcPr>
            <w:tcW w:w="633" w:type="pct"/>
            <w:tcMar>
              <w:top w:w="0" w:type="dxa"/>
              <w:bottom w:w="0" w:type="dxa"/>
            </w:tcMar>
            <w:vAlign w:val="center"/>
          </w:tcPr>
          <w:p w14:paraId="103AC612" w14:textId="43D441B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4.90%</w:t>
            </w:r>
          </w:p>
        </w:tc>
      </w:tr>
      <w:tr w:rsidR="00193D04" w:rsidRPr="00DA3766" w14:paraId="2E09B632" w14:textId="5E41BF4B" w:rsidTr="00635015">
        <w:trPr>
          <w:trHeight w:val="397"/>
          <w:jc w:val="center"/>
        </w:trPr>
        <w:tc>
          <w:tcPr>
            <w:tcW w:w="355" w:type="pct"/>
            <w:tcMar>
              <w:top w:w="0" w:type="dxa"/>
              <w:left w:w="108" w:type="dxa"/>
              <w:bottom w:w="0" w:type="dxa"/>
              <w:right w:w="108" w:type="dxa"/>
            </w:tcMar>
            <w:vAlign w:val="center"/>
          </w:tcPr>
          <w:p w14:paraId="2891BDE6" w14:textId="317A41ED"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949" w:type="pct"/>
            <w:tcMar>
              <w:top w:w="0" w:type="dxa"/>
              <w:left w:w="108" w:type="dxa"/>
              <w:bottom w:w="0" w:type="dxa"/>
              <w:right w:w="108" w:type="dxa"/>
            </w:tcMar>
            <w:vAlign w:val="center"/>
          </w:tcPr>
          <w:p w14:paraId="7A2EF260"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南通成为常青</w:t>
            </w:r>
          </w:p>
        </w:tc>
        <w:tc>
          <w:tcPr>
            <w:tcW w:w="1796" w:type="pct"/>
            <w:tcMar>
              <w:top w:w="0" w:type="dxa"/>
              <w:bottom w:w="0" w:type="dxa"/>
            </w:tcMar>
            <w:vAlign w:val="center"/>
          </w:tcPr>
          <w:p w14:paraId="6E38137E" w14:textId="03A4FBEC"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291361D3" w14:textId="5B063E8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279.26</w:t>
            </w:r>
          </w:p>
        </w:tc>
        <w:tc>
          <w:tcPr>
            <w:tcW w:w="634" w:type="pct"/>
            <w:tcMar>
              <w:top w:w="0" w:type="dxa"/>
              <w:left w:w="108" w:type="dxa"/>
              <w:bottom w:w="0" w:type="dxa"/>
              <w:right w:w="108" w:type="dxa"/>
            </w:tcMar>
            <w:vAlign w:val="center"/>
          </w:tcPr>
          <w:p w14:paraId="679CA36E"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3.15%</w:t>
            </w:r>
          </w:p>
        </w:tc>
        <w:tc>
          <w:tcPr>
            <w:tcW w:w="633" w:type="pct"/>
            <w:tcMar>
              <w:top w:w="0" w:type="dxa"/>
              <w:bottom w:w="0" w:type="dxa"/>
            </w:tcMar>
            <w:vAlign w:val="center"/>
          </w:tcPr>
          <w:p w14:paraId="15B82825" w14:textId="039FCE30"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3.15%</w:t>
            </w:r>
          </w:p>
        </w:tc>
      </w:tr>
      <w:tr w:rsidR="00193D04" w:rsidRPr="00DA3766" w14:paraId="1E8AD454" w14:textId="13C26552" w:rsidTr="00635015">
        <w:trPr>
          <w:trHeight w:val="397"/>
          <w:jc w:val="center"/>
        </w:trPr>
        <w:tc>
          <w:tcPr>
            <w:tcW w:w="355" w:type="pct"/>
            <w:vMerge w:val="restart"/>
            <w:tcMar>
              <w:top w:w="0" w:type="dxa"/>
              <w:left w:w="108" w:type="dxa"/>
              <w:bottom w:w="0" w:type="dxa"/>
              <w:right w:w="108" w:type="dxa"/>
            </w:tcMar>
            <w:vAlign w:val="center"/>
          </w:tcPr>
          <w:p w14:paraId="459F6CB6" w14:textId="3A3FEF66"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3</w:t>
            </w:r>
          </w:p>
        </w:tc>
        <w:tc>
          <w:tcPr>
            <w:tcW w:w="949" w:type="pct"/>
            <w:tcMar>
              <w:top w:w="0" w:type="dxa"/>
              <w:left w:w="108" w:type="dxa"/>
              <w:bottom w:w="0" w:type="dxa"/>
              <w:right w:w="108" w:type="dxa"/>
            </w:tcMar>
            <w:vAlign w:val="center"/>
          </w:tcPr>
          <w:p w14:paraId="101A6613"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pacing w:val="-4"/>
                <w:sz w:val="21"/>
                <w:szCs w:val="21"/>
              </w:rPr>
            </w:pPr>
            <w:r w:rsidRPr="00DA3766">
              <w:rPr>
                <w:rFonts w:ascii="Times New Roman" w:hAnsi="Times New Roman" w:cs="Times New Roman"/>
                <w:color w:val="000000"/>
                <w:sz w:val="21"/>
                <w:szCs w:val="21"/>
              </w:rPr>
              <w:t>杨凯然</w:t>
            </w:r>
          </w:p>
        </w:tc>
        <w:tc>
          <w:tcPr>
            <w:tcW w:w="1796" w:type="pct"/>
            <w:vMerge w:val="restart"/>
            <w:tcMar>
              <w:top w:w="0" w:type="dxa"/>
              <w:bottom w:w="0" w:type="dxa"/>
            </w:tcMar>
            <w:vAlign w:val="center"/>
          </w:tcPr>
          <w:p w14:paraId="4D54FAEA" w14:textId="31338A1F"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杨凯然担任乐陶陶执行事务合伙人</w:t>
            </w:r>
          </w:p>
        </w:tc>
        <w:tc>
          <w:tcPr>
            <w:tcW w:w="634" w:type="pct"/>
            <w:tcMar>
              <w:top w:w="0" w:type="dxa"/>
              <w:left w:w="108" w:type="dxa"/>
              <w:bottom w:w="0" w:type="dxa"/>
              <w:right w:w="108" w:type="dxa"/>
            </w:tcMar>
            <w:vAlign w:val="center"/>
          </w:tcPr>
          <w:p w14:paraId="42B5BAC2" w14:textId="1CD3166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pacing w:val="-2"/>
                <w:sz w:val="21"/>
                <w:szCs w:val="21"/>
              </w:rPr>
            </w:pPr>
            <w:r w:rsidRPr="00DA3766">
              <w:rPr>
                <w:rFonts w:ascii="Times New Roman" w:hAnsi="Times New Roman" w:cs="Times New Roman"/>
                <w:color w:val="000000"/>
                <w:sz w:val="21"/>
                <w:szCs w:val="21"/>
              </w:rPr>
              <w:t>232.56</w:t>
            </w:r>
          </w:p>
        </w:tc>
        <w:tc>
          <w:tcPr>
            <w:tcW w:w="634" w:type="pct"/>
            <w:tcMar>
              <w:top w:w="0" w:type="dxa"/>
              <w:left w:w="108" w:type="dxa"/>
              <w:bottom w:w="0" w:type="dxa"/>
              <w:right w:w="108" w:type="dxa"/>
            </w:tcMar>
            <w:vAlign w:val="center"/>
          </w:tcPr>
          <w:p w14:paraId="50CA879B"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pacing w:val="-2"/>
                <w:sz w:val="21"/>
                <w:szCs w:val="21"/>
              </w:rPr>
            </w:pPr>
            <w:r w:rsidRPr="00DA3766">
              <w:rPr>
                <w:rFonts w:ascii="Times New Roman" w:hAnsi="Times New Roman" w:cs="Times New Roman"/>
                <w:color w:val="000000"/>
                <w:sz w:val="21"/>
                <w:szCs w:val="21"/>
              </w:rPr>
              <w:t>2.62%</w:t>
            </w:r>
          </w:p>
        </w:tc>
        <w:tc>
          <w:tcPr>
            <w:tcW w:w="633" w:type="pct"/>
            <w:vMerge w:val="restart"/>
            <w:tcMar>
              <w:top w:w="0" w:type="dxa"/>
              <w:bottom w:w="0" w:type="dxa"/>
            </w:tcMar>
            <w:vAlign w:val="center"/>
          </w:tcPr>
          <w:p w14:paraId="0237EAA2" w14:textId="66FBFAC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3.61%</w:t>
            </w:r>
          </w:p>
        </w:tc>
      </w:tr>
      <w:tr w:rsidR="00193D04" w:rsidRPr="00DA3766" w14:paraId="0F69B875" w14:textId="0E2FDE41" w:rsidTr="00635015">
        <w:trPr>
          <w:trHeight w:val="397"/>
          <w:jc w:val="center"/>
        </w:trPr>
        <w:tc>
          <w:tcPr>
            <w:tcW w:w="355" w:type="pct"/>
            <w:vMerge/>
            <w:tcMar>
              <w:top w:w="0" w:type="dxa"/>
              <w:left w:w="108" w:type="dxa"/>
              <w:bottom w:w="0" w:type="dxa"/>
              <w:right w:w="108" w:type="dxa"/>
            </w:tcMar>
            <w:vAlign w:val="center"/>
          </w:tcPr>
          <w:p w14:paraId="3EAA3031"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22079F8B" w14:textId="13B0B953"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c>
          <w:tcPr>
            <w:tcW w:w="1796" w:type="pct"/>
            <w:vMerge/>
            <w:tcMar>
              <w:top w:w="0" w:type="dxa"/>
              <w:bottom w:w="0" w:type="dxa"/>
            </w:tcMar>
            <w:vAlign w:val="center"/>
          </w:tcPr>
          <w:p w14:paraId="1142B207"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198065E0" w14:textId="08D1B04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87.45</w:t>
            </w:r>
          </w:p>
        </w:tc>
        <w:tc>
          <w:tcPr>
            <w:tcW w:w="634" w:type="pct"/>
            <w:tcMar>
              <w:top w:w="0" w:type="dxa"/>
              <w:left w:w="108" w:type="dxa"/>
              <w:bottom w:w="0" w:type="dxa"/>
              <w:right w:w="108" w:type="dxa"/>
            </w:tcMar>
            <w:vAlign w:val="center"/>
          </w:tcPr>
          <w:p w14:paraId="6DD0F5B3" w14:textId="23E3094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c>
          <w:tcPr>
            <w:tcW w:w="633" w:type="pct"/>
            <w:vMerge/>
            <w:tcMar>
              <w:top w:w="0" w:type="dxa"/>
              <w:bottom w:w="0" w:type="dxa"/>
            </w:tcMar>
            <w:vAlign w:val="center"/>
          </w:tcPr>
          <w:p w14:paraId="0E6FC9A9"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126D6FB" w14:textId="65220BE3" w:rsidTr="00635015">
        <w:trPr>
          <w:trHeight w:val="397"/>
          <w:jc w:val="center"/>
        </w:trPr>
        <w:tc>
          <w:tcPr>
            <w:tcW w:w="355" w:type="pct"/>
            <w:tcMar>
              <w:top w:w="0" w:type="dxa"/>
              <w:left w:w="108" w:type="dxa"/>
              <w:bottom w:w="0" w:type="dxa"/>
              <w:right w:w="108" w:type="dxa"/>
            </w:tcMar>
            <w:vAlign w:val="center"/>
          </w:tcPr>
          <w:p w14:paraId="4F005795" w14:textId="41CFEEC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4</w:t>
            </w:r>
          </w:p>
        </w:tc>
        <w:tc>
          <w:tcPr>
            <w:tcW w:w="949" w:type="pct"/>
            <w:tcMar>
              <w:top w:w="0" w:type="dxa"/>
              <w:left w:w="108" w:type="dxa"/>
              <w:bottom w:w="0" w:type="dxa"/>
              <w:right w:w="108" w:type="dxa"/>
            </w:tcMar>
            <w:vAlign w:val="center"/>
          </w:tcPr>
          <w:p w14:paraId="5B2CD5E4"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张杰波</w:t>
            </w:r>
          </w:p>
        </w:tc>
        <w:tc>
          <w:tcPr>
            <w:tcW w:w="1796" w:type="pct"/>
            <w:tcMar>
              <w:top w:w="0" w:type="dxa"/>
              <w:bottom w:w="0" w:type="dxa"/>
            </w:tcMar>
            <w:vAlign w:val="center"/>
          </w:tcPr>
          <w:p w14:paraId="11A1DB82" w14:textId="21469BB5"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213FBE7A" w14:textId="1779475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214.19</w:t>
            </w:r>
          </w:p>
        </w:tc>
        <w:tc>
          <w:tcPr>
            <w:tcW w:w="634" w:type="pct"/>
            <w:tcMar>
              <w:top w:w="0" w:type="dxa"/>
              <w:left w:w="108" w:type="dxa"/>
              <w:bottom w:w="0" w:type="dxa"/>
              <w:right w:w="108" w:type="dxa"/>
            </w:tcMar>
            <w:vAlign w:val="center"/>
          </w:tcPr>
          <w:p w14:paraId="257B2038"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2.42%</w:t>
            </w:r>
          </w:p>
        </w:tc>
        <w:tc>
          <w:tcPr>
            <w:tcW w:w="633" w:type="pct"/>
            <w:tcMar>
              <w:top w:w="0" w:type="dxa"/>
              <w:bottom w:w="0" w:type="dxa"/>
            </w:tcMar>
            <w:vAlign w:val="center"/>
          </w:tcPr>
          <w:p w14:paraId="73763FE0" w14:textId="0CC7380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2.42%</w:t>
            </w:r>
          </w:p>
        </w:tc>
      </w:tr>
      <w:tr w:rsidR="00193D04" w:rsidRPr="00DA3766" w14:paraId="42FCE03F" w14:textId="2F71050F" w:rsidTr="00635015">
        <w:trPr>
          <w:trHeight w:val="397"/>
          <w:jc w:val="center"/>
        </w:trPr>
        <w:tc>
          <w:tcPr>
            <w:tcW w:w="355" w:type="pct"/>
            <w:vMerge w:val="restart"/>
            <w:tcMar>
              <w:top w:w="0" w:type="dxa"/>
              <w:left w:w="108" w:type="dxa"/>
              <w:bottom w:w="0" w:type="dxa"/>
              <w:right w:w="108" w:type="dxa"/>
            </w:tcMar>
            <w:vAlign w:val="center"/>
          </w:tcPr>
          <w:p w14:paraId="21FA3FFC" w14:textId="523C501C"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5</w:t>
            </w:r>
          </w:p>
        </w:tc>
        <w:tc>
          <w:tcPr>
            <w:tcW w:w="949" w:type="pct"/>
            <w:tcMar>
              <w:top w:w="0" w:type="dxa"/>
              <w:left w:w="108" w:type="dxa"/>
              <w:bottom w:w="0" w:type="dxa"/>
              <w:right w:w="108" w:type="dxa"/>
            </w:tcMar>
            <w:vAlign w:val="center"/>
          </w:tcPr>
          <w:p w14:paraId="18756ACF"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广发信德科文</w:t>
            </w:r>
          </w:p>
        </w:tc>
        <w:tc>
          <w:tcPr>
            <w:tcW w:w="1796" w:type="pct"/>
            <w:vMerge w:val="restart"/>
            <w:tcMar>
              <w:top w:w="0" w:type="dxa"/>
              <w:bottom w:w="0" w:type="dxa"/>
            </w:tcMar>
            <w:vAlign w:val="center"/>
          </w:tcPr>
          <w:p w14:paraId="13217ECA"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广发信德科文、广州信德创业营、广发信德二期执行事务合伙人及基金管理人均为广发信德投资管理有限公司；</w:t>
            </w:r>
          </w:p>
          <w:p w14:paraId="7C2AC91F" w14:textId="1D7E3D7E"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珠海康远系广发信德投资管理有限公司的员工跟投平台</w:t>
            </w:r>
          </w:p>
        </w:tc>
        <w:tc>
          <w:tcPr>
            <w:tcW w:w="634" w:type="pct"/>
            <w:tcMar>
              <w:top w:w="0" w:type="dxa"/>
              <w:left w:w="108" w:type="dxa"/>
              <w:bottom w:w="0" w:type="dxa"/>
              <w:right w:w="108" w:type="dxa"/>
            </w:tcMar>
            <w:vAlign w:val="center"/>
          </w:tcPr>
          <w:p w14:paraId="5C84DB36" w14:textId="515EA54C"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195.22</w:t>
            </w:r>
          </w:p>
        </w:tc>
        <w:tc>
          <w:tcPr>
            <w:tcW w:w="634" w:type="pct"/>
            <w:tcMar>
              <w:top w:w="0" w:type="dxa"/>
              <w:left w:w="108" w:type="dxa"/>
              <w:bottom w:w="0" w:type="dxa"/>
              <w:right w:w="108" w:type="dxa"/>
            </w:tcMar>
            <w:vAlign w:val="center"/>
          </w:tcPr>
          <w:p w14:paraId="6FDA8A32"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2.20%</w:t>
            </w:r>
          </w:p>
        </w:tc>
        <w:tc>
          <w:tcPr>
            <w:tcW w:w="633" w:type="pct"/>
            <w:vMerge w:val="restart"/>
            <w:tcMar>
              <w:top w:w="0" w:type="dxa"/>
              <w:bottom w:w="0" w:type="dxa"/>
            </w:tcMar>
            <w:vAlign w:val="center"/>
          </w:tcPr>
          <w:p w14:paraId="5952EA7F" w14:textId="5FA2AF04"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2.74%</w:t>
            </w:r>
          </w:p>
        </w:tc>
      </w:tr>
      <w:tr w:rsidR="00193D04" w:rsidRPr="00DA3766" w14:paraId="7B7174B9" w14:textId="18FCE774" w:rsidTr="00635015">
        <w:trPr>
          <w:trHeight w:val="397"/>
          <w:jc w:val="center"/>
        </w:trPr>
        <w:tc>
          <w:tcPr>
            <w:tcW w:w="355" w:type="pct"/>
            <w:vMerge/>
            <w:tcMar>
              <w:top w:w="0" w:type="dxa"/>
              <w:left w:w="108" w:type="dxa"/>
              <w:bottom w:w="0" w:type="dxa"/>
              <w:right w:w="108" w:type="dxa"/>
            </w:tcMar>
            <w:vAlign w:val="center"/>
          </w:tcPr>
          <w:p w14:paraId="4A94A5FC"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43B09188" w14:textId="5E93F873"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广发信德二期</w:t>
            </w:r>
          </w:p>
        </w:tc>
        <w:tc>
          <w:tcPr>
            <w:tcW w:w="1796" w:type="pct"/>
            <w:vMerge/>
            <w:tcMar>
              <w:top w:w="0" w:type="dxa"/>
              <w:bottom w:w="0" w:type="dxa"/>
            </w:tcMar>
            <w:vAlign w:val="center"/>
          </w:tcPr>
          <w:p w14:paraId="1BDF9383"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67CBF834" w14:textId="6B11F853"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27.37</w:t>
            </w:r>
          </w:p>
        </w:tc>
        <w:tc>
          <w:tcPr>
            <w:tcW w:w="634" w:type="pct"/>
            <w:tcMar>
              <w:top w:w="0" w:type="dxa"/>
              <w:left w:w="108" w:type="dxa"/>
              <w:bottom w:w="0" w:type="dxa"/>
              <w:right w:w="108" w:type="dxa"/>
            </w:tcMar>
            <w:vAlign w:val="center"/>
          </w:tcPr>
          <w:p w14:paraId="16FDCF04" w14:textId="762504A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0.31%</w:t>
            </w:r>
          </w:p>
        </w:tc>
        <w:tc>
          <w:tcPr>
            <w:tcW w:w="633" w:type="pct"/>
            <w:vMerge/>
            <w:tcMar>
              <w:top w:w="0" w:type="dxa"/>
              <w:bottom w:w="0" w:type="dxa"/>
            </w:tcMar>
            <w:vAlign w:val="center"/>
          </w:tcPr>
          <w:p w14:paraId="1FDDA16F"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480B6D4" w14:textId="1CA823EA" w:rsidTr="00635015">
        <w:trPr>
          <w:trHeight w:val="397"/>
          <w:jc w:val="center"/>
        </w:trPr>
        <w:tc>
          <w:tcPr>
            <w:tcW w:w="355" w:type="pct"/>
            <w:vMerge/>
            <w:tcMar>
              <w:top w:w="0" w:type="dxa"/>
              <w:left w:w="108" w:type="dxa"/>
              <w:bottom w:w="0" w:type="dxa"/>
              <w:right w:w="108" w:type="dxa"/>
            </w:tcMar>
            <w:vAlign w:val="center"/>
          </w:tcPr>
          <w:p w14:paraId="4A97E667"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406EC75F" w14:textId="5CB42FE9"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广州信德创业营</w:t>
            </w:r>
          </w:p>
        </w:tc>
        <w:tc>
          <w:tcPr>
            <w:tcW w:w="1796" w:type="pct"/>
            <w:vMerge/>
            <w:tcMar>
              <w:top w:w="0" w:type="dxa"/>
              <w:bottom w:w="0" w:type="dxa"/>
            </w:tcMar>
            <w:vAlign w:val="center"/>
          </w:tcPr>
          <w:p w14:paraId="636EF379"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74E36C10" w14:textId="15BBED5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19.12</w:t>
            </w:r>
          </w:p>
        </w:tc>
        <w:tc>
          <w:tcPr>
            <w:tcW w:w="634" w:type="pct"/>
            <w:tcMar>
              <w:top w:w="0" w:type="dxa"/>
              <w:left w:w="108" w:type="dxa"/>
              <w:bottom w:w="0" w:type="dxa"/>
              <w:right w:w="108" w:type="dxa"/>
            </w:tcMar>
            <w:vAlign w:val="center"/>
          </w:tcPr>
          <w:p w14:paraId="53B598DF" w14:textId="7389C40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0.22%</w:t>
            </w:r>
          </w:p>
        </w:tc>
        <w:tc>
          <w:tcPr>
            <w:tcW w:w="633" w:type="pct"/>
            <w:vMerge/>
            <w:tcMar>
              <w:top w:w="0" w:type="dxa"/>
              <w:bottom w:w="0" w:type="dxa"/>
            </w:tcMar>
            <w:vAlign w:val="center"/>
          </w:tcPr>
          <w:p w14:paraId="16C44C72"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2F7C7204" w14:textId="53E47944" w:rsidTr="00635015">
        <w:trPr>
          <w:trHeight w:val="397"/>
          <w:jc w:val="center"/>
        </w:trPr>
        <w:tc>
          <w:tcPr>
            <w:tcW w:w="355" w:type="pct"/>
            <w:vMerge/>
            <w:tcMar>
              <w:top w:w="0" w:type="dxa"/>
              <w:left w:w="108" w:type="dxa"/>
              <w:bottom w:w="0" w:type="dxa"/>
              <w:right w:w="108" w:type="dxa"/>
            </w:tcMar>
            <w:vAlign w:val="center"/>
          </w:tcPr>
          <w:p w14:paraId="08F2DD27"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681AD7A4" w14:textId="3E6E9E88"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w:t>
            </w:r>
          </w:p>
        </w:tc>
        <w:tc>
          <w:tcPr>
            <w:tcW w:w="1796" w:type="pct"/>
            <w:vMerge/>
            <w:tcMar>
              <w:top w:w="0" w:type="dxa"/>
              <w:bottom w:w="0" w:type="dxa"/>
            </w:tcMar>
            <w:vAlign w:val="center"/>
          </w:tcPr>
          <w:p w14:paraId="598842E1"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68CF8A70" w14:textId="09064D51"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6.70</w:t>
            </w:r>
          </w:p>
        </w:tc>
        <w:tc>
          <w:tcPr>
            <w:tcW w:w="634" w:type="pct"/>
            <w:tcMar>
              <w:top w:w="0" w:type="dxa"/>
              <w:left w:w="108" w:type="dxa"/>
              <w:bottom w:w="0" w:type="dxa"/>
              <w:right w:w="108" w:type="dxa"/>
            </w:tcMar>
            <w:vAlign w:val="center"/>
          </w:tcPr>
          <w:p w14:paraId="7CFEDF0C" w14:textId="7499148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0.08%</w:t>
            </w:r>
          </w:p>
        </w:tc>
        <w:tc>
          <w:tcPr>
            <w:tcW w:w="633" w:type="pct"/>
            <w:vMerge/>
            <w:tcMar>
              <w:top w:w="0" w:type="dxa"/>
              <w:bottom w:w="0" w:type="dxa"/>
            </w:tcMar>
            <w:vAlign w:val="center"/>
          </w:tcPr>
          <w:p w14:paraId="60FAAFD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195DD6B0" w14:textId="32C53160" w:rsidTr="00635015">
        <w:trPr>
          <w:trHeight w:val="397"/>
          <w:jc w:val="center"/>
        </w:trPr>
        <w:tc>
          <w:tcPr>
            <w:tcW w:w="355" w:type="pct"/>
            <w:tcMar>
              <w:top w:w="0" w:type="dxa"/>
              <w:left w:w="108" w:type="dxa"/>
              <w:bottom w:w="0" w:type="dxa"/>
              <w:right w:w="108" w:type="dxa"/>
            </w:tcMar>
            <w:vAlign w:val="center"/>
          </w:tcPr>
          <w:p w14:paraId="7A339F2F" w14:textId="550CDBD3"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6</w:t>
            </w:r>
          </w:p>
        </w:tc>
        <w:tc>
          <w:tcPr>
            <w:tcW w:w="949" w:type="pct"/>
            <w:tcMar>
              <w:top w:w="0" w:type="dxa"/>
              <w:left w:w="108" w:type="dxa"/>
              <w:bottom w:w="0" w:type="dxa"/>
              <w:right w:w="108" w:type="dxa"/>
            </w:tcMar>
            <w:vAlign w:val="center"/>
          </w:tcPr>
          <w:p w14:paraId="296EC729"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林芝利新</w:t>
            </w:r>
          </w:p>
        </w:tc>
        <w:tc>
          <w:tcPr>
            <w:tcW w:w="1796" w:type="pct"/>
            <w:tcMar>
              <w:top w:w="0" w:type="dxa"/>
              <w:bottom w:w="0" w:type="dxa"/>
            </w:tcMar>
            <w:vAlign w:val="center"/>
          </w:tcPr>
          <w:p w14:paraId="0AFE13C3" w14:textId="671EB490"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55B1F7B9" w14:textId="55066898"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111.65</w:t>
            </w:r>
          </w:p>
        </w:tc>
        <w:tc>
          <w:tcPr>
            <w:tcW w:w="634" w:type="pct"/>
            <w:tcMar>
              <w:top w:w="0" w:type="dxa"/>
              <w:left w:w="108" w:type="dxa"/>
              <w:bottom w:w="0" w:type="dxa"/>
              <w:right w:w="108" w:type="dxa"/>
            </w:tcMar>
            <w:vAlign w:val="center"/>
          </w:tcPr>
          <w:p w14:paraId="27795B9C"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1.26%</w:t>
            </w:r>
          </w:p>
        </w:tc>
        <w:tc>
          <w:tcPr>
            <w:tcW w:w="633" w:type="pct"/>
            <w:tcMar>
              <w:top w:w="0" w:type="dxa"/>
              <w:bottom w:w="0" w:type="dxa"/>
            </w:tcMar>
            <w:vAlign w:val="center"/>
          </w:tcPr>
          <w:p w14:paraId="07F3E512" w14:textId="714CE89C"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1.26%</w:t>
            </w:r>
          </w:p>
        </w:tc>
      </w:tr>
      <w:tr w:rsidR="00193D04" w:rsidRPr="00DA3766" w14:paraId="58C45C8E" w14:textId="7B83365D" w:rsidTr="00635015">
        <w:trPr>
          <w:trHeight w:val="397"/>
          <w:jc w:val="center"/>
        </w:trPr>
        <w:tc>
          <w:tcPr>
            <w:tcW w:w="355" w:type="pct"/>
            <w:tcMar>
              <w:top w:w="0" w:type="dxa"/>
              <w:left w:w="108" w:type="dxa"/>
              <w:bottom w:w="0" w:type="dxa"/>
              <w:right w:w="108" w:type="dxa"/>
            </w:tcMar>
            <w:vAlign w:val="center"/>
          </w:tcPr>
          <w:p w14:paraId="4001E006" w14:textId="695A041E"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7</w:t>
            </w:r>
          </w:p>
        </w:tc>
        <w:tc>
          <w:tcPr>
            <w:tcW w:w="949" w:type="pct"/>
            <w:tcMar>
              <w:top w:w="0" w:type="dxa"/>
              <w:left w:w="108" w:type="dxa"/>
              <w:bottom w:w="0" w:type="dxa"/>
              <w:right w:w="108" w:type="dxa"/>
            </w:tcMar>
            <w:vAlign w:val="center"/>
          </w:tcPr>
          <w:p w14:paraId="22FC27F7"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胡俊</w:t>
            </w:r>
          </w:p>
        </w:tc>
        <w:tc>
          <w:tcPr>
            <w:tcW w:w="1796" w:type="pct"/>
            <w:tcMar>
              <w:top w:w="0" w:type="dxa"/>
              <w:bottom w:w="0" w:type="dxa"/>
            </w:tcMar>
            <w:vAlign w:val="center"/>
          </w:tcPr>
          <w:p w14:paraId="17F8F868" w14:textId="2001DFF1"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7BD5F930" w14:textId="57FDBBDE"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94.40</w:t>
            </w:r>
          </w:p>
        </w:tc>
        <w:tc>
          <w:tcPr>
            <w:tcW w:w="634" w:type="pct"/>
            <w:tcMar>
              <w:top w:w="0" w:type="dxa"/>
              <w:left w:w="108" w:type="dxa"/>
              <w:bottom w:w="0" w:type="dxa"/>
              <w:right w:w="108" w:type="dxa"/>
            </w:tcMar>
            <w:vAlign w:val="center"/>
          </w:tcPr>
          <w:p w14:paraId="5AC5A2E4"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1.07%</w:t>
            </w:r>
          </w:p>
        </w:tc>
        <w:tc>
          <w:tcPr>
            <w:tcW w:w="633" w:type="pct"/>
            <w:tcMar>
              <w:top w:w="0" w:type="dxa"/>
              <w:bottom w:w="0" w:type="dxa"/>
            </w:tcMar>
            <w:vAlign w:val="center"/>
          </w:tcPr>
          <w:p w14:paraId="63591A9D" w14:textId="615010B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1.07%</w:t>
            </w:r>
          </w:p>
        </w:tc>
      </w:tr>
      <w:tr w:rsidR="00193D04" w:rsidRPr="00DA3766" w14:paraId="1EFCADF5" w14:textId="13A153F5" w:rsidTr="00635015">
        <w:trPr>
          <w:trHeight w:val="397"/>
          <w:jc w:val="center"/>
        </w:trPr>
        <w:tc>
          <w:tcPr>
            <w:tcW w:w="355" w:type="pct"/>
            <w:vMerge w:val="restart"/>
            <w:tcMar>
              <w:top w:w="0" w:type="dxa"/>
              <w:left w:w="108" w:type="dxa"/>
              <w:bottom w:w="0" w:type="dxa"/>
              <w:right w:w="108" w:type="dxa"/>
            </w:tcMar>
            <w:vAlign w:val="center"/>
          </w:tcPr>
          <w:p w14:paraId="001F9658" w14:textId="44CDDBCF"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8</w:t>
            </w:r>
          </w:p>
        </w:tc>
        <w:tc>
          <w:tcPr>
            <w:tcW w:w="949" w:type="pct"/>
            <w:tcMar>
              <w:top w:w="0" w:type="dxa"/>
              <w:left w:w="108" w:type="dxa"/>
              <w:bottom w:w="0" w:type="dxa"/>
              <w:right w:w="108" w:type="dxa"/>
            </w:tcMar>
            <w:vAlign w:val="center"/>
          </w:tcPr>
          <w:p w14:paraId="56D770E1"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苏州市德同合心</w:t>
            </w:r>
          </w:p>
        </w:tc>
        <w:tc>
          <w:tcPr>
            <w:tcW w:w="1796" w:type="pct"/>
            <w:vMerge w:val="restart"/>
            <w:tcMar>
              <w:top w:w="0" w:type="dxa"/>
              <w:bottom w:w="0" w:type="dxa"/>
            </w:tcMar>
            <w:vAlign w:val="center"/>
          </w:tcPr>
          <w:p w14:paraId="52BA1C25" w14:textId="4056C0AF"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苏州市德同合心的执行事务合伙人及基金管理人为德同（上海）私募基金管理股份有限公司，上海德盾为德同（上海）私募基金管理股份</w:t>
            </w:r>
            <w:r w:rsidRPr="00DA3766">
              <w:rPr>
                <w:rFonts w:ascii="Times New Roman" w:hAnsi="Times New Roman" w:cs="Times New Roman"/>
                <w:color w:val="000000"/>
                <w:sz w:val="21"/>
                <w:szCs w:val="21"/>
              </w:rPr>
              <w:lastRenderedPageBreak/>
              <w:t>有限公司的员工跟投平台</w:t>
            </w:r>
          </w:p>
        </w:tc>
        <w:tc>
          <w:tcPr>
            <w:tcW w:w="634" w:type="pct"/>
            <w:tcMar>
              <w:top w:w="0" w:type="dxa"/>
              <w:left w:w="108" w:type="dxa"/>
              <w:bottom w:w="0" w:type="dxa"/>
              <w:right w:w="108" w:type="dxa"/>
            </w:tcMar>
            <w:vAlign w:val="center"/>
          </w:tcPr>
          <w:p w14:paraId="1F09A3C5" w14:textId="42A979E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lastRenderedPageBreak/>
              <w:t>87.47</w:t>
            </w:r>
          </w:p>
        </w:tc>
        <w:tc>
          <w:tcPr>
            <w:tcW w:w="634" w:type="pct"/>
            <w:tcMar>
              <w:top w:w="0" w:type="dxa"/>
              <w:left w:w="108" w:type="dxa"/>
              <w:bottom w:w="0" w:type="dxa"/>
              <w:right w:w="108" w:type="dxa"/>
            </w:tcMar>
            <w:vAlign w:val="center"/>
          </w:tcPr>
          <w:p w14:paraId="4FDC73C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0.99%</w:t>
            </w:r>
          </w:p>
        </w:tc>
        <w:tc>
          <w:tcPr>
            <w:tcW w:w="633" w:type="pct"/>
            <w:vMerge w:val="restart"/>
            <w:tcMar>
              <w:top w:w="0" w:type="dxa"/>
              <w:bottom w:w="0" w:type="dxa"/>
            </w:tcMar>
            <w:vAlign w:val="center"/>
          </w:tcPr>
          <w:p w14:paraId="0F4230BA" w14:textId="0B5B4CA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r>
      <w:tr w:rsidR="00193D04" w:rsidRPr="00DA3766" w14:paraId="53F8949D" w14:textId="43B7223C" w:rsidTr="00635015">
        <w:trPr>
          <w:trHeight w:val="397"/>
          <w:jc w:val="center"/>
        </w:trPr>
        <w:tc>
          <w:tcPr>
            <w:tcW w:w="355" w:type="pct"/>
            <w:vMerge/>
            <w:tcMar>
              <w:top w:w="0" w:type="dxa"/>
              <w:left w:w="108" w:type="dxa"/>
              <w:bottom w:w="0" w:type="dxa"/>
              <w:right w:w="108" w:type="dxa"/>
            </w:tcMar>
            <w:vAlign w:val="center"/>
          </w:tcPr>
          <w:p w14:paraId="2E3DDD6F"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1664C94A" w14:textId="503A7CFD"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上海德盾</w:t>
            </w:r>
          </w:p>
        </w:tc>
        <w:tc>
          <w:tcPr>
            <w:tcW w:w="1796" w:type="pct"/>
            <w:vMerge/>
            <w:tcMar>
              <w:top w:w="0" w:type="dxa"/>
              <w:bottom w:w="0" w:type="dxa"/>
            </w:tcMar>
            <w:vAlign w:val="center"/>
          </w:tcPr>
          <w:p w14:paraId="6C45352B"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338AC6D1" w14:textId="65549A1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0.44</w:t>
            </w:r>
          </w:p>
        </w:tc>
        <w:tc>
          <w:tcPr>
            <w:tcW w:w="634" w:type="pct"/>
            <w:tcMar>
              <w:top w:w="0" w:type="dxa"/>
              <w:left w:w="108" w:type="dxa"/>
              <w:bottom w:w="0" w:type="dxa"/>
              <w:right w:w="108" w:type="dxa"/>
            </w:tcMar>
            <w:vAlign w:val="center"/>
          </w:tcPr>
          <w:p w14:paraId="6DFA1CD6" w14:textId="35BBC22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0.00%</w:t>
            </w:r>
          </w:p>
        </w:tc>
        <w:tc>
          <w:tcPr>
            <w:tcW w:w="633" w:type="pct"/>
            <w:vMerge/>
            <w:tcMar>
              <w:top w:w="0" w:type="dxa"/>
              <w:bottom w:w="0" w:type="dxa"/>
            </w:tcMar>
            <w:vAlign w:val="center"/>
          </w:tcPr>
          <w:p w14:paraId="29B1D641"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8E511B6" w14:textId="6B721C70" w:rsidTr="00635015">
        <w:trPr>
          <w:trHeight w:val="397"/>
          <w:jc w:val="center"/>
        </w:trPr>
        <w:tc>
          <w:tcPr>
            <w:tcW w:w="355" w:type="pct"/>
            <w:tcMar>
              <w:top w:w="0" w:type="dxa"/>
              <w:left w:w="108" w:type="dxa"/>
              <w:bottom w:w="0" w:type="dxa"/>
              <w:right w:w="108" w:type="dxa"/>
            </w:tcMar>
            <w:vAlign w:val="center"/>
          </w:tcPr>
          <w:p w14:paraId="79BEE231" w14:textId="2876693F"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9</w:t>
            </w:r>
          </w:p>
        </w:tc>
        <w:tc>
          <w:tcPr>
            <w:tcW w:w="949" w:type="pct"/>
            <w:tcMar>
              <w:top w:w="0" w:type="dxa"/>
              <w:left w:w="108" w:type="dxa"/>
              <w:bottom w:w="0" w:type="dxa"/>
              <w:right w:w="108" w:type="dxa"/>
            </w:tcMar>
            <w:vAlign w:val="center"/>
          </w:tcPr>
          <w:p w14:paraId="2AF85F6C"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王佳</w:t>
            </w:r>
          </w:p>
        </w:tc>
        <w:tc>
          <w:tcPr>
            <w:tcW w:w="1796" w:type="pct"/>
            <w:tcMar>
              <w:top w:w="0" w:type="dxa"/>
              <w:bottom w:w="0" w:type="dxa"/>
            </w:tcMar>
            <w:vAlign w:val="center"/>
          </w:tcPr>
          <w:p w14:paraId="7785F0E6" w14:textId="379A06C6"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0543F53A" w14:textId="57ABCEEE"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84.65</w:t>
            </w:r>
          </w:p>
        </w:tc>
        <w:tc>
          <w:tcPr>
            <w:tcW w:w="634" w:type="pct"/>
            <w:tcMar>
              <w:top w:w="0" w:type="dxa"/>
              <w:left w:w="108" w:type="dxa"/>
              <w:bottom w:w="0" w:type="dxa"/>
              <w:right w:w="108" w:type="dxa"/>
            </w:tcMar>
            <w:vAlign w:val="center"/>
          </w:tcPr>
          <w:p w14:paraId="1B237535"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0.96%</w:t>
            </w:r>
          </w:p>
        </w:tc>
        <w:tc>
          <w:tcPr>
            <w:tcW w:w="633" w:type="pct"/>
            <w:tcMar>
              <w:top w:w="0" w:type="dxa"/>
              <w:bottom w:w="0" w:type="dxa"/>
            </w:tcMar>
            <w:vAlign w:val="center"/>
          </w:tcPr>
          <w:p w14:paraId="7B093B17" w14:textId="0D25550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0.96%</w:t>
            </w:r>
          </w:p>
        </w:tc>
      </w:tr>
      <w:tr w:rsidR="00193D04" w:rsidRPr="00DA3766" w14:paraId="77EACA73" w14:textId="5E7371E7" w:rsidTr="00635015">
        <w:trPr>
          <w:trHeight w:val="397"/>
          <w:jc w:val="center"/>
        </w:trPr>
        <w:tc>
          <w:tcPr>
            <w:tcW w:w="355" w:type="pct"/>
            <w:vMerge w:val="restart"/>
            <w:tcMar>
              <w:top w:w="0" w:type="dxa"/>
              <w:left w:w="108" w:type="dxa"/>
              <w:bottom w:w="0" w:type="dxa"/>
              <w:right w:w="108" w:type="dxa"/>
            </w:tcMar>
            <w:vAlign w:val="center"/>
          </w:tcPr>
          <w:p w14:paraId="06E55E1E" w14:textId="43E9DBB9"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10</w:t>
            </w:r>
          </w:p>
        </w:tc>
        <w:tc>
          <w:tcPr>
            <w:tcW w:w="949" w:type="pct"/>
            <w:tcMar>
              <w:top w:w="0" w:type="dxa"/>
              <w:left w:w="108" w:type="dxa"/>
              <w:bottom w:w="0" w:type="dxa"/>
              <w:right w:w="108" w:type="dxa"/>
            </w:tcMar>
            <w:vAlign w:val="center"/>
          </w:tcPr>
          <w:p w14:paraId="28586710"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乐熙熙</w:t>
            </w:r>
          </w:p>
        </w:tc>
        <w:tc>
          <w:tcPr>
            <w:tcW w:w="1796" w:type="pct"/>
            <w:vMerge w:val="restart"/>
            <w:tcMar>
              <w:top w:w="0" w:type="dxa"/>
              <w:bottom w:w="0" w:type="dxa"/>
            </w:tcMar>
            <w:vAlign w:val="center"/>
          </w:tcPr>
          <w:p w14:paraId="509F7854" w14:textId="4F09821A"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乐熙熙、乐腾腾及乐摇的执行事务合伙人均为陈伟镇</w:t>
            </w:r>
          </w:p>
        </w:tc>
        <w:tc>
          <w:tcPr>
            <w:tcW w:w="634" w:type="pct"/>
            <w:tcMar>
              <w:top w:w="0" w:type="dxa"/>
              <w:left w:w="108" w:type="dxa"/>
              <w:bottom w:w="0" w:type="dxa"/>
              <w:right w:w="108" w:type="dxa"/>
            </w:tcMar>
            <w:vAlign w:val="center"/>
          </w:tcPr>
          <w:p w14:paraId="027F5D39" w14:textId="12BD5A6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77.99</w:t>
            </w:r>
          </w:p>
        </w:tc>
        <w:tc>
          <w:tcPr>
            <w:tcW w:w="634" w:type="pct"/>
            <w:tcMar>
              <w:top w:w="0" w:type="dxa"/>
              <w:left w:w="108" w:type="dxa"/>
              <w:bottom w:w="0" w:type="dxa"/>
              <w:right w:w="108" w:type="dxa"/>
            </w:tcMar>
            <w:vAlign w:val="center"/>
          </w:tcPr>
          <w:p w14:paraId="6B27F965"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0.88%</w:t>
            </w:r>
          </w:p>
        </w:tc>
        <w:tc>
          <w:tcPr>
            <w:tcW w:w="633" w:type="pct"/>
            <w:vMerge w:val="restart"/>
            <w:tcMar>
              <w:top w:w="0" w:type="dxa"/>
              <w:bottom w:w="0" w:type="dxa"/>
            </w:tcMar>
            <w:vAlign w:val="center"/>
          </w:tcPr>
          <w:p w14:paraId="4F99CAEC" w14:textId="28E4602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1.83%</w:t>
            </w:r>
          </w:p>
        </w:tc>
      </w:tr>
      <w:tr w:rsidR="00193D04" w:rsidRPr="00DA3766" w14:paraId="52C49C72" w14:textId="3C6192C6" w:rsidTr="00635015">
        <w:trPr>
          <w:trHeight w:val="397"/>
          <w:jc w:val="center"/>
        </w:trPr>
        <w:tc>
          <w:tcPr>
            <w:tcW w:w="355" w:type="pct"/>
            <w:vMerge/>
            <w:tcMar>
              <w:top w:w="0" w:type="dxa"/>
              <w:left w:w="108" w:type="dxa"/>
              <w:bottom w:w="0" w:type="dxa"/>
              <w:right w:w="108" w:type="dxa"/>
            </w:tcMar>
            <w:vAlign w:val="center"/>
          </w:tcPr>
          <w:p w14:paraId="05658F5F" w14:textId="11E840DB"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2439F113"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乐腾腾</w:t>
            </w:r>
          </w:p>
        </w:tc>
        <w:tc>
          <w:tcPr>
            <w:tcW w:w="1796" w:type="pct"/>
            <w:vMerge/>
            <w:tcMar>
              <w:top w:w="0" w:type="dxa"/>
              <w:bottom w:w="0" w:type="dxa"/>
            </w:tcMar>
            <w:vAlign w:val="center"/>
          </w:tcPr>
          <w:p w14:paraId="4E4ED3FE"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233638AA" w14:textId="7A24376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70.34</w:t>
            </w:r>
          </w:p>
        </w:tc>
        <w:tc>
          <w:tcPr>
            <w:tcW w:w="634" w:type="pct"/>
            <w:tcMar>
              <w:top w:w="0" w:type="dxa"/>
              <w:left w:w="108" w:type="dxa"/>
              <w:bottom w:w="0" w:type="dxa"/>
              <w:right w:w="108" w:type="dxa"/>
            </w:tcMar>
            <w:vAlign w:val="center"/>
          </w:tcPr>
          <w:p w14:paraId="7228939E"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0.79%</w:t>
            </w:r>
          </w:p>
        </w:tc>
        <w:tc>
          <w:tcPr>
            <w:tcW w:w="633" w:type="pct"/>
            <w:vMerge/>
            <w:tcMar>
              <w:top w:w="0" w:type="dxa"/>
              <w:bottom w:w="0" w:type="dxa"/>
            </w:tcMar>
            <w:vAlign w:val="center"/>
          </w:tcPr>
          <w:p w14:paraId="639E4EF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3BD6ABA0" w14:textId="286CEDFE" w:rsidTr="00635015">
        <w:trPr>
          <w:trHeight w:val="397"/>
          <w:jc w:val="center"/>
        </w:trPr>
        <w:tc>
          <w:tcPr>
            <w:tcW w:w="355" w:type="pct"/>
            <w:vMerge/>
            <w:tcMar>
              <w:top w:w="0" w:type="dxa"/>
              <w:left w:w="108" w:type="dxa"/>
              <w:bottom w:w="0" w:type="dxa"/>
              <w:right w:w="108" w:type="dxa"/>
            </w:tcMar>
            <w:vAlign w:val="center"/>
          </w:tcPr>
          <w:p w14:paraId="3A0926AE"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0C1DBA87" w14:textId="7BC79FCB"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乐摇</w:t>
            </w:r>
          </w:p>
        </w:tc>
        <w:tc>
          <w:tcPr>
            <w:tcW w:w="1796" w:type="pct"/>
            <w:vMerge/>
            <w:tcMar>
              <w:top w:w="0" w:type="dxa"/>
              <w:bottom w:w="0" w:type="dxa"/>
            </w:tcMar>
            <w:vAlign w:val="center"/>
          </w:tcPr>
          <w:p w14:paraId="26D42D40"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6B89944C" w14:textId="4F1B9951"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13.89</w:t>
            </w:r>
          </w:p>
        </w:tc>
        <w:tc>
          <w:tcPr>
            <w:tcW w:w="634" w:type="pct"/>
            <w:tcMar>
              <w:top w:w="0" w:type="dxa"/>
              <w:left w:w="108" w:type="dxa"/>
              <w:bottom w:w="0" w:type="dxa"/>
              <w:right w:w="108" w:type="dxa"/>
            </w:tcMar>
            <w:vAlign w:val="center"/>
          </w:tcPr>
          <w:p w14:paraId="180B1DD9" w14:textId="1A712F33"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633" w:type="pct"/>
            <w:vMerge/>
            <w:tcMar>
              <w:top w:w="0" w:type="dxa"/>
              <w:bottom w:w="0" w:type="dxa"/>
            </w:tcMar>
            <w:vAlign w:val="center"/>
          </w:tcPr>
          <w:p w14:paraId="416FE20D"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D288D9B" w14:textId="01A3DC92" w:rsidTr="00635015">
        <w:trPr>
          <w:trHeight w:val="397"/>
          <w:jc w:val="center"/>
        </w:trPr>
        <w:tc>
          <w:tcPr>
            <w:tcW w:w="355" w:type="pct"/>
            <w:vMerge w:val="restart"/>
            <w:tcMar>
              <w:top w:w="0" w:type="dxa"/>
              <w:left w:w="108" w:type="dxa"/>
              <w:bottom w:w="0" w:type="dxa"/>
              <w:right w:w="108" w:type="dxa"/>
            </w:tcMar>
            <w:vAlign w:val="center"/>
          </w:tcPr>
          <w:p w14:paraId="18E1C2A8" w14:textId="45985D54"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11</w:t>
            </w:r>
          </w:p>
        </w:tc>
        <w:tc>
          <w:tcPr>
            <w:tcW w:w="949" w:type="pct"/>
            <w:tcMar>
              <w:top w:w="0" w:type="dxa"/>
              <w:left w:w="108" w:type="dxa"/>
              <w:bottom w:w="0" w:type="dxa"/>
              <w:right w:w="108" w:type="dxa"/>
            </w:tcMar>
            <w:vAlign w:val="center"/>
          </w:tcPr>
          <w:p w14:paraId="27F55BEF"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璀璨远见</w:t>
            </w:r>
          </w:p>
        </w:tc>
        <w:tc>
          <w:tcPr>
            <w:tcW w:w="1796" w:type="pct"/>
            <w:vMerge w:val="restart"/>
            <w:tcMar>
              <w:top w:w="0" w:type="dxa"/>
              <w:bottom w:w="0" w:type="dxa"/>
            </w:tcMar>
            <w:vAlign w:val="center"/>
          </w:tcPr>
          <w:p w14:paraId="7A2CD8C7" w14:textId="71A3F2C8"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远见执行事务合伙人及基金管理人为深圳璀璨私募股权投资管理有限公司，璀璨德商执行事务合伙人及基金管理人为西藏泽泽创业投资管理有限公司，西藏泽泽创业投资管理有限公司为深圳璀璨私募股权投资管理有限公司控股股东，持有其</w:t>
            </w:r>
            <w:r w:rsidRPr="00DA3766">
              <w:rPr>
                <w:rFonts w:ascii="Times New Roman" w:hAnsi="Times New Roman" w:cs="Times New Roman"/>
                <w:color w:val="000000"/>
                <w:sz w:val="21"/>
                <w:szCs w:val="21"/>
              </w:rPr>
              <w:t>80%</w:t>
            </w:r>
            <w:r w:rsidRPr="00DA3766">
              <w:rPr>
                <w:rFonts w:ascii="Times New Roman" w:hAnsi="Times New Roman" w:cs="Times New Roman"/>
                <w:color w:val="000000"/>
                <w:sz w:val="21"/>
                <w:szCs w:val="21"/>
              </w:rPr>
              <w:t>股权。</w:t>
            </w:r>
          </w:p>
        </w:tc>
        <w:tc>
          <w:tcPr>
            <w:tcW w:w="634" w:type="pct"/>
            <w:tcMar>
              <w:top w:w="0" w:type="dxa"/>
              <w:left w:w="108" w:type="dxa"/>
              <w:bottom w:w="0" w:type="dxa"/>
              <w:right w:w="108" w:type="dxa"/>
            </w:tcMar>
            <w:vAlign w:val="center"/>
          </w:tcPr>
          <w:p w14:paraId="3C7D83FE" w14:textId="4AA14029"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49.76</w:t>
            </w:r>
          </w:p>
        </w:tc>
        <w:tc>
          <w:tcPr>
            <w:tcW w:w="634" w:type="pct"/>
            <w:tcMar>
              <w:top w:w="0" w:type="dxa"/>
              <w:left w:w="108" w:type="dxa"/>
              <w:bottom w:w="0" w:type="dxa"/>
              <w:right w:w="108" w:type="dxa"/>
            </w:tcMar>
            <w:vAlign w:val="center"/>
          </w:tcPr>
          <w:p w14:paraId="363D7CD8"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0.56%</w:t>
            </w:r>
          </w:p>
        </w:tc>
        <w:tc>
          <w:tcPr>
            <w:tcW w:w="633" w:type="pct"/>
            <w:vMerge w:val="restart"/>
            <w:tcMar>
              <w:top w:w="0" w:type="dxa"/>
              <w:bottom w:w="0" w:type="dxa"/>
            </w:tcMar>
            <w:vAlign w:val="center"/>
          </w:tcPr>
          <w:p w14:paraId="3C1241C0" w14:textId="4B55EB5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0.38%</w:t>
            </w:r>
          </w:p>
        </w:tc>
      </w:tr>
      <w:tr w:rsidR="00193D04" w:rsidRPr="00DA3766" w14:paraId="1E441E7C" w14:textId="017105F9" w:rsidTr="00635015">
        <w:trPr>
          <w:trHeight w:val="397"/>
          <w:jc w:val="center"/>
        </w:trPr>
        <w:tc>
          <w:tcPr>
            <w:tcW w:w="355" w:type="pct"/>
            <w:vMerge/>
            <w:tcMar>
              <w:top w:w="0" w:type="dxa"/>
              <w:left w:w="108" w:type="dxa"/>
              <w:bottom w:w="0" w:type="dxa"/>
              <w:right w:w="108" w:type="dxa"/>
            </w:tcMar>
            <w:vAlign w:val="center"/>
          </w:tcPr>
          <w:p w14:paraId="78A5669F"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49" w:type="pct"/>
            <w:tcMar>
              <w:top w:w="0" w:type="dxa"/>
              <w:left w:w="108" w:type="dxa"/>
              <w:bottom w:w="0" w:type="dxa"/>
              <w:right w:w="108" w:type="dxa"/>
            </w:tcMar>
            <w:vAlign w:val="center"/>
          </w:tcPr>
          <w:p w14:paraId="7C5ECE41" w14:textId="4234CD0C"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璀璨德商</w:t>
            </w:r>
          </w:p>
        </w:tc>
        <w:tc>
          <w:tcPr>
            <w:tcW w:w="1796" w:type="pct"/>
            <w:vMerge/>
            <w:tcMar>
              <w:top w:w="0" w:type="dxa"/>
              <w:bottom w:w="0" w:type="dxa"/>
            </w:tcMar>
            <w:vAlign w:val="center"/>
          </w:tcPr>
          <w:p w14:paraId="0306B8A7"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34" w:type="pct"/>
            <w:tcMar>
              <w:top w:w="0" w:type="dxa"/>
              <w:left w:w="108" w:type="dxa"/>
              <w:bottom w:w="0" w:type="dxa"/>
              <w:right w:w="108" w:type="dxa"/>
            </w:tcMar>
            <w:vAlign w:val="center"/>
          </w:tcPr>
          <w:p w14:paraId="5C1B946A" w14:textId="2A1127C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15.72</w:t>
            </w:r>
          </w:p>
        </w:tc>
        <w:tc>
          <w:tcPr>
            <w:tcW w:w="634" w:type="pct"/>
            <w:tcMar>
              <w:top w:w="0" w:type="dxa"/>
              <w:left w:w="108" w:type="dxa"/>
              <w:bottom w:w="0" w:type="dxa"/>
              <w:right w:w="108" w:type="dxa"/>
            </w:tcMar>
            <w:vAlign w:val="center"/>
          </w:tcPr>
          <w:p w14:paraId="291989A4" w14:textId="0496C7B0"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0.18%</w:t>
            </w:r>
          </w:p>
        </w:tc>
        <w:tc>
          <w:tcPr>
            <w:tcW w:w="633" w:type="pct"/>
            <w:vMerge/>
            <w:tcMar>
              <w:top w:w="0" w:type="dxa"/>
              <w:bottom w:w="0" w:type="dxa"/>
            </w:tcMar>
            <w:vAlign w:val="center"/>
          </w:tcPr>
          <w:p w14:paraId="494848E0"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26859F66" w14:textId="36008B28" w:rsidTr="00635015">
        <w:trPr>
          <w:trHeight w:val="397"/>
          <w:jc w:val="center"/>
        </w:trPr>
        <w:tc>
          <w:tcPr>
            <w:tcW w:w="355" w:type="pct"/>
            <w:tcMar>
              <w:top w:w="0" w:type="dxa"/>
              <w:left w:w="108" w:type="dxa"/>
              <w:bottom w:w="0" w:type="dxa"/>
              <w:right w:w="108" w:type="dxa"/>
            </w:tcMar>
            <w:vAlign w:val="center"/>
          </w:tcPr>
          <w:p w14:paraId="17AE82A3" w14:textId="030642A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12</w:t>
            </w:r>
          </w:p>
        </w:tc>
        <w:tc>
          <w:tcPr>
            <w:tcW w:w="949" w:type="pct"/>
            <w:tcMar>
              <w:top w:w="0" w:type="dxa"/>
              <w:left w:w="108" w:type="dxa"/>
              <w:bottom w:w="0" w:type="dxa"/>
              <w:right w:w="108" w:type="dxa"/>
            </w:tcMar>
            <w:vAlign w:val="center"/>
          </w:tcPr>
          <w:p w14:paraId="1CD67777"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乐哈哈</w:t>
            </w:r>
          </w:p>
        </w:tc>
        <w:tc>
          <w:tcPr>
            <w:tcW w:w="1796" w:type="pct"/>
            <w:tcMar>
              <w:top w:w="0" w:type="dxa"/>
              <w:bottom w:w="0" w:type="dxa"/>
            </w:tcMar>
            <w:vAlign w:val="center"/>
          </w:tcPr>
          <w:p w14:paraId="2F2E0ADE" w14:textId="530E6729"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5B9296EB" w14:textId="16E4A17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42.87</w:t>
            </w:r>
          </w:p>
        </w:tc>
        <w:tc>
          <w:tcPr>
            <w:tcW w:w="634" w:type="pct"/>
            <w:tcMar>
              <w:top w:w="0" w:type="dxa"/>
              <w:left w:w="108" w:type="dxa"/>
              <w:bottom w:w="0" w:type="dxa"/>
              <w:right w:w="108" w:type="dxa"/>
            </w:tcMar>
            <w:vAlign w:val="center"/>
          </w:tcPr>
          <w:p w14:paraId="21B49DE6"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0.48%</w:t>
            </w:r>
          </w:p>
        </w:tc>
        <w:tc>
          <w:tcPr>
            <w:tcW w:w="633" w:type="pct"/>
            <w:tcMar>
              <w:top w:w="0" w:type="dxa"/>
              <w:bottom w:w="0" w:type="dxa"/>
            </w:tcMar>
            <w:vAlign w:val="center"/>
          </w:tcPr>
          <w:p w14:paraId="7B555253" w14:textId="71B992E8"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0.48%</w:t>
            </w:r>
          </w:p>
        </w:tc>
      </w:tr>
      <w:tr w:rsidR="00193D04" w:rsidRPr="00DA3766" w14:paraId="6DDD8046" w14:textId="3F65E54E" w:rsidTr="00635015">
        <w:trPr>
          <w:trHeight w:val="397"/>
          <w:jc w:val="center"/>
        </w:trPr>
        <w:tc>
          <w:tcPr>
            <w:tcW w:w="355" w:type="pct"/>
            <w:tcMar>
              <w:top w:w="0" w:type="dxa"/>
              <w:left w:w="108" w:type="dxa"/>
              <w:bottom w:w="0" w:type="dxa"/>
              <w:right w:w="108" w:type="dxa"/>
            </w:tcMar>
            <w:vAlign w:val="center"/>
          </w:tcPr>
          <w:p w14:paraId="7F03DF5D" w14:textId="66E5AB25"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13</w:t>
            </w:r>
          </w:p>
        </w:tc>
        <w:tc>
          <w:tcPr>
            <w:tcW w:w="949" w:type="pct"/>
            <w:tcMar>
              <w:top w:w="0" w:type="dxa"/>
              <w:left w:w="108" w:type="dxa"/>
              <w:bottom w:w="0" w:type="dxa"/>
              <w:right w:w="108" w:type="dxa"/>
            </w:tcMar>
            <w:vAlign w:val="center"/>
          </w:tcPr>
          <w:p w14:paraId="696D8DBA" w14:textId="13E38961"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深圳市前海千意智合三期</w:t>
            </w:r>
          </w:p>
        </w:tc>
        <w:tc>
          <w:tcPr>
            <w:tcW w:w="1796" w:type="pct"/>
            <w:tcMar>
              <w:top w:w="0" w:type="dxa"/>
              <w:bottom w:w="0" w:type="dxa"/>
            </w:tcMar>
            <w:vAlign w:val="center"/>
          </w:tcPr>
          <w:p w14:paraId="502760BD" w14:textId="6A986B3B"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34" w:type="pct"/>
            <w:tcMar>
              <w:top w:w="0" w:type="dxa"/>
              <w:left w:w="108" w:type="dxa"/>
              <w:bottom w:w="0" w:type="dxa"/>
              <w:right w:w="108" w:type="dxa"/>
            </w:tcMar>
            <w:vAlign w:val="center"/>
          </w:tcPr>
          <w:p w14:paraId="2CC57A01" w14:textId="75A012A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31.22</w:t>
            </w:r>
          </w:p>
        </w:tc>
        <w:tc>
          <w:tcPr>
            <w:tcW w:w="634" w:type="pct"/>
            <w:tcMar>
              <w:top w:w="0" w:type="dxa"/>
              <w:left w:w="108" w:type="dxa"/>
              <w:bottom w:w="0" w:type="dxa"/>
              <w:right w:w="108" w:type="dxa"/>
            </w:tcMar>
            <w:vAlign w:val="center"/>
          </w:tcPr>
          <w:p w14:paraId="2EE63E1F"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0.35%</w:t>
            </w:r>
          </w:p>
        </w:tc>
        <w:tc>
          <w:tcPr>
            <w:tcW w:w="633" w:type="pct"/>
            <w:tcMar>
              <w:top w:w="0" w:type="dxa"/>
              <w:bottom w:w="0" w:type="dxa"/>
            </w:tcMar>
            <w:vAlign w:val="center"/>
          </w:tcPr>
          <w:p w14:paraId="3B5D085C" w14:textId="623F2B0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0.35%</w:t>
            </w:r>
          </w:p>
        </w:tc>
      </w:tr>
    </w:tbl>
    <w:bookmarkEnd w:id="168"/>
    <w:p w14:paraId="1E5330F8" w14:textId="142781BF" w:rsidR="00B32770" w:rsidRPr="00DA3766" w:rsidRDefault="00193D04" w:rsidP="00C3042A">
      <w:pPr>
        <w:pStyle w:val="005"/>
        <w:spacing w:before="120" w:after="120"/>
        <w:ind w:firstLine="480"/>
      </w:pPr>
      <w:r w:rsidRPr="00DA3766">
        <w:t>由</w:t>
      </w:r>
      <w:r w:rsidR="0021491A" w:rsidRPr="00DA3766">
        <w:t>上表可知，本次交易完成后，若不考虑募集配套资金，不存在交易对方及其关联方或一致行动人合计持有上市公司股份超过</w:t>
      </w:r>
      <w:r w:rsidR="0021491A" w:rsidRPr="00DA3766">
        <w:t>5%</w:t>
      </w:r>
      <w:r w:rsidR="0021491A" w:rsidRPr="00DA3766">
        <w:t>的情形，本次发行股份及支付现金购买资产不构成关联交易。</w:t>
      </w:r>
    </w:p>
    <w:bookmarkEnd w:id="167"/>
    <w:p w14:paraId="3142029C" w14:textId="06DD005F" w:rsidR="00E22816" w:rsidRPr="00DA3766" w:rsidRDefault="00E22816" w:rsidP="00C3042A">
      <w:pPr>
        <w:pStyle w:val="005"/>
        <w:spacing w:before="120" w:after="120"/>
        <w:ind w:firstLine="480"/>
      </w:pPr>
      <w:r w:rsidRPr="00DA3766">
        <w:t>上述内容已在</w:t>
      </w:r>
      <w:bookmarkStart w:id="169" w:name="_Hlk219325963"/>
      <w:r w:rsidR="00F32A32" w:rsidRPr="00DA3766">
        <w:t>《重组报告书》</w:t>
      </w:r>
      <w:r w:rsidRPr="00DA3766">
        <w:rPr>
          <w:rFonts w:ascii="宋体" w:hAnsi="宋体"/>
        </w:rPr>
        <w:t>“</w:t>
      </w:r>
      <w:r w:rsidRPr="00DA3766">
        <w:t>第十一节</w:t>
      </w:r>
      <w:r w:rsidRPr="00DA3766">
        <w:t xml:space="preserve"> </w:t>
      </w:r>
      <w:r w:rsidRPr="00DA3766">
        <w:t>同业竞争与关联交易</w:t>
      </w:r>
      <w:r w:rsidRPr="00DA3766">
        <w:rPr>
          <w:rFonts w:ascii="宋体" w:hAnsi="宋体"/>
        </w:rPr>
        <w:t>”</w:t>
      </w:r>
      <w:r w:rsidRPr="00DA3766">
        <w:t>之</w:t>
      </w:r>
      <w:r w:rsidRPr="00DA3766">
        <w:rPr>
          <w:rFonts w:ascii="宋体" w:hAnsi="宋体"/>
        </w:rPr>
        <w:t>“</w:t>
      </w:r>
      <w:r w:rsidRPr="00DA3766">
        <w:t>二、关联交易情况</w:t>
      </w:r>
      <w:r w:rsidRPr="00DA3766">
        <w:rPr>
          <w:rFonts w:ascii="宋体" w:hAnsi="宋体"/>
        </w:rPr>
        <w:t>”</w:t>
      </w:r>
      <w:r w:rsidRPr="00DA3766">
        <w:t>之</w:t>
      </w:r>
      <w:r w:rsidRPr="00DA3766">
        <w:rPr>
          <w:rFonts w:ascii="宋体" w:hAnsi="宋体"/>
        </w:rPr>
        <w:t>“</w:t>
      </w:r>
      <w:r w:rsidRPr="00DA3766">
        <w:t>（一）本次交易构成关联交易</w:t>
      </w:r>
      <w:r w:rsidRPr="00DA3766">
        <w:rPr>
          <w:rFonts w:ascii="宋体" w:hAnsi="宋体"/>
        </w:rPr>
        <w:t>”</w:t>
      </w:r>
      <w:bookmarkEnd w:id="169"/>
      <w:r w:rsidRPr="00DA3766">
        <w:t>补充披露。</w:t>
      </w:r>
    </w:p>
    <w:p w14:paraId="2BED1FA5" w14:textId="3F5B457A" w:rsidR="00347AEF" w:rsidRPr="00DA3766" w:rsidRDefault="00347AEF" w:rsidP="00347AEF">
      <w:pPr>
        <w:pStyle w:val="002"/>
        <w:spacing w:before="120" w:after="120"/>
        <w:ind w:firstLine="482"/>
      </w:pPr>
      <w:r w:rsidRPr="00DA3766">
        <w:t>八、</w:t>
      </w:r>
      <w:bookmarkStart w:id="170" w:name="_Hlk219325402"/>
      <w:r w:rsidRPr="00DA3766">
        <w:t>发行股份购买资产和募集配套资金选取不同发行价格的原因及合理性</w:t>
      </w:r>
      <w:bookmarkEnd w:id="170"/>
      <w:r w:rsidRPr="00DA3766">
        <w:t>。</w:t>
      </w:r>
    </w:p>
    <w:p w14:paraId="798CAFFF" w14:textId="4AA93721" w:rsidR="00DF1B3B" w:rsidRPr="00DA3766" w:rsidRDefault="00DF1B3B" w:rsidP="00DB4B8D">
      <w:pPr>
        <w:pStyle w:val="003"/>
        <w:spacing w:before="120" w:after="120"/>
        <w:ind w:firstLine="482"/>
      </w:pPr>
      <w:bookmarkStart w:id="171" w:name="_Hlk219325444"/>
      <w:r w:rsidRPr="00DA3766">
        <w:t>（一）发行股份购买资产和募集配套资金</w:t>
      </w:r>
      <w:r w:rsidR="008D1694" w:rsidRPr="00DA3766">
        <w:t>股份发行价格的确定依据及原因</w:t>
      </w:r>
    </w:p>
    <w:p w14:paraId="25A376B4" w14:textId="6A91E1B4" w:rsidR="00DF1B3B" w:rsidRPr="00DA3766" w:rsidRDefault="00DF1B3B" w:rsidP="00C3042A">
      <w:pPr>
        <w:pStyle w:val="005"/>
        <w:spacing w:before="120" w:after="120"/>
        <w:ind w:firstLine="480"/>
      </w:pPr>
      <w:r w:rsidRPr="00DA3766">
        <w:t>根据《上市公司重大资产重组管理办法》第四十六条规定：</w:t>
      </w:r>
      <w:r w:rsidRPr="00DA3766">
        <w:rPr>
          <w:rFonts w:ascii="宋体" w:hAnsi="宋体"/>
        </w:rPr>
        <w:t>“</w:t>
      </w:r>
      <w:r w:rsidRPr="00DA3766">
        <w:t>上市公司发行股份的价格不得低于市场参考价的百分之八十。市场参考价为本次发行股份购买资产的董事会决议公告日前二十个交易日、六十个交易日或者一百二十个交易日的公司股票交易均价之一。本次发行股份购买资产的董事会决议应当说明市场参考价的选择依据。</w:t>
      </w:r>
    </w:p>
    <w:p w14:paraId="7CF51C62" w14:textId="2EBF2E5B" w:rsidR="00DF1B3B" w:rsidRPr="00DA3766" w:rsidRDefault="00DF1B3B" w:rsidP="00C3042A">
      <w:pPr>
        <w:pStyle w:val="005"/>
        <w:spacing w:before="120" w:after="120"/>
        <w:ind w:firstLine="480"/>
      </w:pPr>
      <w:r w:rsidRPr="00DA3766">
        <w:t>前款所称交易均价的计算公式为：董事会决议公告日前若干个交易日公司股票交易均价＝决议公告日前若干个交易日公司股票交易总额</w:t>
      </w:r>
      <w:r w:rsidRPr="00DA3766">
        <w:t xml:space="preserve"> /</w:t>
      </w:r>
      <w:r w:rsidRPr="00DA3766">
        <w:t>决议公告日前若</w:t>
      </w:r>
      <w:r w:rsidRPr="00DA3766">
        <w:lastRenderedPageBreak/>
        <w:t>干个交易日公司股票交易总量。</w:t>
      </w:r>
      <w:r w:rsidRPr="00DA3766">
        <w:rPr>
          <w:rFonts w:ascii="宋体" w:hAnsi="宋体"/>
        </w:rPr>
        <w:t>”</w:t>
      </w:r>
    </w:p>
    <w:p w14:paraId="624EC42A" w14:textId="77777777" w:rsidR="00DF1B3B" w:rsidRPr="00DA3766" w:rsidRDefault="00DF1B3B" w:rsidP="00C3042A">
      <w:pPr>
        <w:pStyle w:val="005"/>
        <w:spacing w:before="120" w:after="120"/>
        <w:ind w:firstLine="480"/>
      </w:pPr>
      <w:r w:rsidRPr="00DA3766">
        <w:t>本次交易中，发行股份及支付现金购买资产的定价基准日为上市公司审议本次交易相关事项的第三届董事会第三十二次会议决议公告日。</w:t>
      </w:r>
    </w:p>
    <w:p w14:paraId="02C8585A" w14:textId="77777777" w:rsidR="00DF1B3B" w:rsidRPr="00DA3766" w:rsidRDefault="00DF1B3B" w:rsidP="00C3042A">
      <w:pPr>
        <w:pStyle w:val="005"/>
        <w:spacing w:before="120" w:after="120"/>
        <w:ind w:firstLine="480"/>
        <w:rPr>
          <w:color w:val="000000"/>
          <w:lang w:bidi="ar"/>
        </w:rPr>
      </w:pPr>
      <w:r w:rsidRPr="00DA3766">
        <w:rPr>
          <w:color w:val="000000"/>
          <w:lang w:bidi="ar"/>
        </w:rPr>
        <w:t>上市公司定价基准日前</w:t>
      </w:r>
      <w:r w:rsidRPr="00DA3766">
        <w:rPr>
          <w:color w:val="000000"/>
          <w:lang w:bidi="ar"/>
        </w:rPr>
        <w:t>20</w:t>
      </w:r>
      <w:r w:rsidRPr="00DA3766">
        <w:rPr>
          <w:color w:val="000000"/>
          <w:lang w:bidi="ar"/>
        </w:rPr>
        <w:t>个交易日、</w:t>
      </w:r>
      <w:r w:rsidRPr="00DA3766">
        <w:rPr>
          <w:color w:val="000000"/>
          <w:lang w:bidi="ar"/>
        </w:rPr>
        <w:t>60</w:t>
      </w:r>
      <w:r w:rsidRPr="00DA3766">
        <w:rPr>
          <w:color w:val="000000"/>
          <w:lang w:bidi="ar"/>
        </w:rPr>
        <w:t>个交易日、</w:t>
      </w:r>
      <w:r w:rsidRPr="00DA3766">
        <w:rPr>
          <w:color w:val="000000"/>
          <w:lang w:bidi="ar"/>
        </w:rPr>
        <w:t>120</w:t>
      </w:r>
      <w:r w:rsidRPr="00DA3766">
        <w:rPr>
          <w:color w:val="000000"/>
          <w:lang w:bidi="ar"/>
        </w:rPr>
        <w:t>个交易日股票交易均价具体情况如下表所示：</w:t>
      </w:r>
    </w:p>
    <w:tbl>
      <w:tblPr>
        <w:tblW w:w="499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03"/>
        <w:gridCol w:w="2378"/>
        <w:gridCol w:w="3229"/>
      </w:tblGrid>
      <w:tr w:rsidR="00DF1B3B" w:rsidRPr="00DA3766" w14:paraId="4A8829B7"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5AF2270C"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股票交易均价计算区间</w:t>
            </w:r>
          </w:p>
        </w:tc>
        <w:tc>
          <w:tcPr>
            <w:tcW w:w="1413" w:type="pct"/>
            <w:shd w:val="clear" w:color="auto" w:fill="FFFFFF"/>
            <w:tcMar>
              <w:top w:w="0" w:type="dxa"/>
              <w:left w:w="50" w:type="dxa"/>
              <w:bottom w:w="0" w:type="dxa"/>
              <w:right w:w="50" w:type="dxa"/>
            </w:tcMar>
            <w:vAlign w:val="center"/>
          </w:tcPr>
          <w:p w14:paraId="16D0D39A"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c>
          <w:tcPr>
            <w:tcW w:w="1919" w:type="pct"/>
            <w:shd w:val="clear" w:color="auto" w:fill="FFFFFF"/>
            <w:tcMar>
              <w:top w:w="0" w:type="dxa"/>
              <w:left w:w="50" w:type="dxa"/>
              <w:bottom w:w="0" w:type="dxa"/>
              <w:right w:w="50" w:type="dxa"/>
            </w:tcMar>
            <w:vAlign w:val="center"/>
          </w:tcPr>
          <w:p w14:paraId="64527610"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交易均价的</w:t>
            </w:r>
            <w:r w:rsidRPr="00DA3766">
              <w:rPr>
                <w:rFonts w:ascii="Times New Roman" w:hAnsi="Times New Roman" w:cs="Times New Roman"/>
                <w:b/>
                <w:bCs/>
                <w:color w:val="000000"/>
                <w:sz w:val="21"/>
                <w:szCs w:val="21"/>
                <w:lang w:bidi="ar"/>
              </w:rPr>
              <w:t>80%</w:t>
            </w:r>
            <w:r w:rsidRPr="00DA3766">
              <w:rPr>
                <w:rFonts w:ascii="Times New Roman" w:hAnsi="Times New Roman" w:cs="Times New Roman"/>
                <w:b/>
                <w:bCs/>
                <w:color w:val="000000"/>
                <w:sz w:val="21"/>
                <w:szCs w:val="21"/>
                <w:lang w:bidi="ar"/>
              </w:rPr>
              <w:t>（元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r>
      <w:tr w:rsidR="00DF1B3B" w:rsidRPr="00DA3766" w14:paraId="18EA2773"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64B52C84"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1579B86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40.91</w:t>
            </w:r>
          </w:p>
        </w:tc>
        <w:tc>
          <w:tcPr>
            <w:tcW w:w="3179" w:type="dxa"/>
            <w:shd w:val="clear" w:color="auto" w:fill="FFFFFF"/>
            <w:tcMar>
              <w:top w:w="0" w:type="dxa"/>
              <w:left w:w="50" w:type="dxa"/>
              <w:bottom w:w="0" w:type="dxa"/>
              <w:right w:w="50" w:type="dxa"/>
            </w:tcMar>
            <w:vAlign w:val="center"/>
          </w:tcPr>
          <w:p w14:paraId="79A3B881"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32.74</w:t>
            </w:r>
          </w:p>
        </w:tc>
      </w:tr>
      <w:tr w:rsidR="00DF1B3B" w:rsidRPr="00DA3766" w14:paraId="0125D7FB"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69F8208B"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6F05766B"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36.39</w:t>
            </w:r>
          </w:p>
        </w:tc>
        <w:tc>
          <w:tcPr>
            <w:tcW w:w="3179" w:type="dxa"/>
            <w:shd w:val="clear" w:color="auto" w:fill="FFFFFF"/>
            <w:tcMar>
              <w:top w:w="0" w:type="dxa"/>
              <w:left w:w="50" w:type="dxa"/>
              <w:bottom w:w="0" w:type="dxa"/>
              <w:right w:w="50" w:type="dxa"/>
            </w:tcMar>
            <w:vAlign w:val="center"/>
          </w:tcPr>
          <w:p w14:paraId="3F9CE5BA"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29.12</w:t>
            </w:r>
          </w:p>
        </w:tc>
      </w:tr>
      <w:tr w:rsidR="00DF1B3B" w:rsidRPr="00DA3766" w14:paraId="4E6334CC"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23DB6FA2"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34565D37"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33.45</w:t>
            </w:r>
          </w:p>
        </w:tc>
        <w:tc>
          <w:tcPr>
            <w:tcW w:w="3179" w:type="dxa"/>
            <w:shd w:val="clear" w:color="auto" w:fill="FFFFFF"/>
            <w:tcMar>
              <w:top w:w="0" w:type="dxa"/>
              <w:left w:w="50" w:type="dxa"/>
              <w:bottom w:w="0" w:type="dxa"/>
              <w:right w:w="50" w:type="dxa"/>
            </w:tcMar>
            <w:vAlign w:val="center"/>
          </w:tcPr>
          <w:p w14:paraId="7042D14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26.76</w:t>
            </w:r>
          </w:p>
        </w:tc>
      </w:tr>
    </w:tbl>
    <w:p w14:paraId="4EED478E" w14:textId="77777777" w:rsidR="00DF1B3B" w:rsidRPr="00DA3766" w:rsidRDefault="00DF1B3B" w:rsidP="00C3042A">
      <w:pPr>
        <w:pStyle w:val="006"/>
        <w:ind w:firstLine="420"/>
        <w:rPr>
          <w:rFonts w:cs="Times New Roman"/>
          <w:lang w:bidi="ar"/>
        </w:rPr>
      </w:pPr>
      <w:r w:rsidRPr="00DA3766">
        <w:rPr>
          <w:rFonts w:cs="Times New Roman"/>
          <w:lang w:bidi="ar"/>
        </w:rPr>
        <w:t>注：交易均价的</w:t>
      </w:r>
      <w:r w:rsidRPr="00DA3766">
        <w:rPr>
          <w:rFonts w:cs="Times New Roman"/>
          <w:lang w:bidi="ar"/>
        </w:rPr>
        <w:t>80%</w:t>
      </w:r>
      <w:r w:rsidRPr="00DA3766">
        <w:rPr>
          <w:rFonts w:cs="Times New Roman"/>
          <w:lang w:bidi="ar"/>
        </w:rPr>
        <w:t>在计算时均保留两位小数且向上取整。</w:t>
      </w:r>
    </w:p>
    <w:p w14:paraId="7FDEFD6E" w14:textId="74A3BD1C" w:rsidR="00DF1B3B" w:rsidRPr="00DA3766" w:rsidRDefault="00DF1B3B" w:rsidP="00C3042A">
      <w:pPr>
        <w:pStyle w:val="005"/>
        <w:spacing w:before="120" w:after="120"/>
        <w:ind w:firstLine="480"/>
        <w:rPr>
          <w:lang w:bidi="ar"/>
        </w:rPr>
      </w:pPr>
      <w:r w:rsidRPr="00DA3766">
        <w:rPr>
          <w:lang w:bidi="ar"/>
        </w:rPr>
        <w:t>经交易各方协商确定，本次发行股份购买资产的发行价格选择本次重组首次董事会决议公告日前</w:t>
      </w:r>
      <w:r w:rsidRPr="00DA3766">
        <w:rPr>
          <w:lang w:bidi="ar"/>
        </w:rPr>
        <w:t>120</w:t>
      </w:r>
      <w:r w:rsidRPr="00DA3766">
        <w:rPr>
          <w:lang w:bidi="ar"/>
        </w:rPr>
        <w:t>个交易日股票交易均价作为市场参考价，最终确定为</w:t>
      </w:r>
      <w:r w:rsidRPr="00DA3766">
        <w:rPr>
          <w:lang w:bidi="ar"/>
        </w:rPr>
        <w:t>26.76</w:t>
      </w:r>
      <w:r w:rsidRPr="00DA3766">
        <w:rPr>
          <w:lang w:bidi="ar"/>
        </w:rPr>
        <w:t>元</w:t>
      </w:r>
      <w:r w:rsidRPr="00DA3766">
        <w:rPr>
          <w:lang w:bidi="ar"/>
        </w:rPr>
        <w:t>/</w:t>
      </w:r>
      <w:r w:rsidRPr="00DA3766">
        <w:rPr>
          <w:lang w:bidi="ar"/>
        </w:rPr>
        <w:t>股，发行价格不低于市场参考价的</w:t>
      </w:r>
      <w:r w:rsidRPr="00DA3766">
        <w:rPr>
          <w:lang w:bidi="ar"/>
        </w:rPr>
        <w:t>80%</w:t>
      </w:r>
      <w:r w:rsidRPr="00DA3766">
        <w:rPr>
          <w:lang w:bidi="ar"/>
        </w:rPr>
        <w:t>。</w:t>
      </w:r>
    </w:p>
    <w:p w14:paraId="28AD65EA" w14:textId="47174F6B" w:rsidR="00DF1B3B" w:rsidRPr="00DA3766" w:rsidRDefault="00DF1B3B" w:rsidP="00C3042A">
      <w:pPr>
        <w:pStyle w:val="005"/>
        <w:spacing w:before="120" w:after="120"/>
        <w:ind w:firstLine="480"/>
        <w:rPr>
          <w:lang w:bidi="ar"/>
        </w:rPr>
      </w:pPr>
      <w:r w:rsidRPr="00DA3766">
        <w:rPr>
          <w:lang w:bidi="ar"/>
        </w:rPr>
        <w:t>根据《上市公司证券发行注册管理办法》第五十六条规定：</w:t>
      </w:r>
    </w:p>
    <w:p w14:paraId="1F2B8CB7" w14:textId="77777777" w:rsidR="00DF1B3B" w:rsidRPr="00DA3766" w:rsidRDefault="00DF1B3B" w:rsidP="00C3042A">
      <w:pPr>
        <w:pStyle w:val="005"/>
        <w:spacing w:before="120" w:after="120"/>
        <w:ind w:firstLine="480"/>
        <w:rPr>
          <w:lang w:bidi="ar"/>
        </w:rPr>
      </w:pPr>
      <w:r w:rsidRPr="00DA3766">
        <w:rPr>
          <w:rFonts w:ascii="宋体" w:hAnsi="宋体"/>
          <w:lang w:bidi="ar"/>
        </w:rPr>
        <w:t>“</w:t>
      </w:r>
      <w:r w:rsidRPr="00DA3766">
        <w:rPr>
          <w:lang w:bidi="ar"/>
        </w:rPr>
        <w:t>上市公司向特定对象发行股票，发行价格应当不低于定价基准日前二十个交易日公司股票均价的百分之八十。</w:t>
      </w:r>
    </w:p>
    <w:p w14:paraId="64C1FFA0" w14:textId="77777777" w:rsidR="00DF1B3B" w:rsidRPr="00DA3766" w:rsidRDefault="00DF1B3B" w:rsidP="00C3042A">
      <w:pPr>
        <w:pStyle w:val="005"/>
        <w:spacing w:before="120" w:after="120"/>
        <w:ind w:firstLine="480"/>
        <w:rPr>
          <w:lang w:bidi="ar"/>
        </w:rPr>
      </w:pPr>
      <w:r w:rsidRPr="00DA3766">
        <w:rPr>
          <w:lang w:bidi="ar"/>
        </w:rPr>
        <w:t>前款所称</w:t>
      </w:r>
      <w:r w:rsidRPr="00DA3766">
        <w:rPr>
          <w:rFonts w:ascii="宋体" w:hAnsi="宋体"/>
          <w:lang w:bidi="ar"/>
        </w:rPr>
        <w:t>“</w:t>
      </w:r>
      <w:r w:rsidRPr="00DA3766">
        <w:rPr>
          <w:lang w:bidi="ar"/>
        </w:rPr>
        <w:t>定价基准日</w:t>
      </w:r>
      <w:r w:rsidRPr="00DA3766">
        <w:rPr>
          <w:rFonts w:ascii="宋体" w:hAnsi="宋体"/>
          <w:lang w:bidi="ar"/>
        </w:rPr>
        <w:t>”</w:t>
      </w:r>
      <w:r w:rsidRPr="00DA3766">
        <w:rPr>
          <w:lang w:bidi="ar"/>
        </w:rPr>
        <w:t>，是指计算发行底价的基准日。</w:t>
      </w:r>
    </w:p>
    <w:p w14:paraId="01789158" w14:textId="77777777" w:rsidR="00DF1B3B" w:rsidRPr="00DA3766" w:rsidRDefault="00DF1B3B" w:rsidP="00C3042A">
      <w:pPr>
        <w:pStyle w:val="005"/>
        <w:spacing w:before="120" w:after="120"/>
        <w:ind w:firstLine="480"/>
        <w:rPr>
          <w:lang w:bidi="ar"/>
        </w:rPr>
      </w:pPr>
      <w:r w:rsidRPr="00DA3766">
        <w:rPr>
          <w:lang w:bidi="ar"/>
        </w:rPr>
        <w:t>向特定对象发行股票的定价基准日为发行期首日。上市公司应当以不低于发行底价的价格发行股票。</w:t>
      </w:r>
    </w:p>
    <w:p w14:paraId="096C85E2" w14:textId="77777777" w:rsidR="00DF1B3B" w:rsidRPr="00DA3766" w:rsidRDefault="00DF1B3B" w:rsidP="00C3042A">
      <w:pPr>
        <w:pStyle w:val="005"/>
        <w:spacing w:before="120" w:after="120"/>
        <w:ind w:firstLine="480"/>
        <w:rPr>
          <w:lang w:bidi="ar"/>
        </w:rPr>
      </w:pPr>
      <w:r w:rsidRPr="00DA3766">
        <w:rPr>
          <w:lang w:bidi="ar"/>
        </w:rPr>
        <w:t>上市公司董事会决议提前确定全部发行对象，且发行对象属于下列情形之一的，定价基准日可以为关于本次发行股票的董事会决议公告日、股东大会决议公告日或者发行期首日：</w:t>
      </w:r>
    </w:p>
    <w:p w14:paraId="2358E953" w14:textId="77777777" w:rsidR="00DF1B3B" w:rsidRPr="00DA3766" w:rsidRDefault="00DF1B3B" w:rsidP="00C3042A">
      <w:pPr>
        <w:pStyle w:val="005"/>
        <w:spacing w:before="120" w:after="120"/>
        <w:ind w:firstLine="480"/>
        <w:rPr>
          <w:lang w:bidi="ar"/>
        </w:rPr>
      </w:pPr>
      <w:r w:rsidRPr="00DA3766">
        <w:rPr>
          <w:lang w:bidi="ar"/>
        </w:rPr>
        <w:t>（一）上市公司的控股股东、实际控制人或者其控制的关联人；</w:t>
      </w:r>
    </w:p>
    <w:p w14:paraId="24FBD94D" w14:textId="77777777" w:rsidR="00DF1B3B" w:rsidRPr="00DA3766" w:rsidRDefault="00DF1B3B" w:rsidP="00C3042A">
      <w:pPr>
        <w:pStyle w:val="005"/>
        <w:spacing w:before="120" w:after="120"/>
        <w:ind w:firstLine="480"/>
        <w:rPr>
          <w:lang w:bidi="ar"/>
        </w:rPr>
      </w:pPr>
      <w:r w:rsidRPr="00DA3766">
        <w:rPr>
          <w:lang w:bidi="ar"/>
        </w:rPr>
        <w:t>（二）通过认购本次发行的股票取得上市公司实际控制权的投资者；</w:t>
      </w:r>
    </w:p>
    <w:p w14:paraId="6CCC2D62" w14:textId="77777777" w:rsidR="00DF1B3B" w:rsidRPr="00DA3766" w:rsidRDefault="00DF1B3B" w:rsidP="00C3042A">
      <w:pPr>
        <w:pStyle w:val="005"/>
        <w:spacing w:before="120" w:after="120"/>
        <w:ind w:firstLine="480"/>
        <w:rPr>
          <w:lang w:bidi="ar"/>
        </w:rPr>
      </w:pPr>
      <w:r w:rsidRPr="00DA3766">
        <w:rPr>
          <w:lang w:bidi="ar"/>
        </w:rPr>
        <w:t>（三）董事会拟引入的境内外战略投资者。</w:t>
      </w:r>
      <w:r w:rsidRPr="00DA3766">
        <w:rPr>
          <w:lang w:bidi="ar"/>
        </w:rPr>
        <w:t xml:space="preserve"> </w:t>
      </w:r>
      <w:r w:rsidRPr="00DA3766">
        <w:rPr>
          <w:rFonts w:ascii="宋体" w:hAnsi="宋体"/>
          <w:lang w:bidi="ar"/>
        </w:rPr>
        <w:t>”</w:t>
      </w:r>
    </w:p>
    <w:p w14:paraId="6FF5F8F4" w14:textId="77777777" w:rsidR="00DF1B3B" w:rsidRPr="00DA3766" w:rsidRDefault="00DF1B3B" w:rsidP="00C3042A">
      <w:pPr>
        <w:pStyle w:val="005"/>
        <w:spacing w:before="120" w:after="120"/>
        <w:ind w:firstLine="480"/>
        <w:rPr>
          <w:lang w:bidi="ar"/>
        </w:rPr>
      </w:pPr>
      <w:r w:rsidRPr="00DA3766">
        <w:rPr>
          <w:lang w:bidi="ar"/>
        </w:rPr>
        <w:t>本次发行股份募集配套资金的发行对象为上市公司实际控制人之一马学沛先生，定价基准日为本次发行股份的董事会决议公告日，即上市公司第三届董事</w:t>
      </w:r>
      <w:r w:rsidRPr="00DA3766">
        <w:rPr>
          <w:lang w:bidi="ar"/>
        </w:rPr>
        <w:lastRenderedPageBreak/>
        <w:t>会第三十二次会议决议公告日。上市公司本次发行股份募集配套资金的定价基准日前</w:t>
      </w:r>
      <w:r w:rsidRPr="00DA3766">
        <w:rPr>
          <w:lang w:bidi="ar"/>
        </w:rPr>
        <w:t>20</w:t>
      </w:r>
      <w:r w:rsidRPr="00DA3766">
        <w:rPr>
          <w:lang w:bidi="ar"/>
        </w:rPr>
        <w:t>个交易日股票交易均价的具体情况如下：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03"/>
        <w:gridCol w:w="2377"/>
        <w:gridCol w:w="3229"/>
      </w:tblGrid>
      <w:tr w:rsidR="00DF1B3B" w:rsidRPr="00DA3766" w14:paraId="0C870455"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4A5CA3E6"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股票交易均价计算区间</w:t>
            </w:r>
          </w:p>
        </w:tc>
        <w:tc>
          <w:tcPr>
            <w:tcW w:w="1413" w:type="pct"/>
            <w:shd w:val="clear" w:color="auto" w:fill="FFFFFF"/>
            <w:tcMar>
              <w:top w:w="0" w:type="dxa"/>
              <w:left w:w="50" w:type="dxa"/>
              <w:bottom w:w="0" w:type="dxa"/>
              <w:right w:w="50" w:type="dxa"/>
            </w:tcMar>
            <w:vAlign w:val="center"/>
          </w:tcPr>
          <w:p w14:paraId="5F0880C0"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c>
          <w:tcPr>
            <w:tcW w:w="1919" w:type="pct"/>
            <w:shd w:val="clear" w:color="auto" w:fill="FFFFFF"/>
            <w:tcMar>
              <w:top w:w="0" w:type="dxa"/>
              <w:left w:w="50" w:type="dxa"/>
              <w:bottom w:w="0" w:type="dxa"/>
              <w:right w:w="50" w:type="dxa"/>
            </w:tcMar>
            <w:vAlign w:val="center"/>
          </w:tcPr>
          <w:p w14:paraId="6440298D"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交易均价的</w:t>
            </w:r>
            <w:r w:rsidRPr="00DA3766">
              <w:rPr>
                <w:rFonts w:ascii="Times New Roman" w:hAnsi="Times New Roman" w:cs="Times New Roman"/>
                <w:b/>
                <w:bCs/>
                <w:color w:val="000000"/>
                <w:sz w:val="21"/>
                <w:szCs w:val="21"/>
                <w:lang w:bidi="ar"/>
              </w:rPr>
              <w:t>80%</w:t>
            </w:r>
            <w:r w:rsidRPr="00DA3766">
              <w:rPr>
                <w:rFonts w:ascii="Times New Roman" w:hAnsi="Times New Roman" w:cs="Times New Roman"/>
                <w:b/>
                <w:bCs/>
                <w:color w:val="000000"/>
                <w:sz w:val="21"/>
                <w:szCs w:val="21"/>
                <w:lang w:bidi="ar"/>
              </w:rPr>
              <w:t>（元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r>
      <w:tr w:rsidR="00DF1B3B" w:rsidRPr="00DA3766" w14:paraId="30AEDA5B"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32BDD8E4"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r w:rsidRPr="00DA3766">
              <w:rPr>
                <w:rFonts w:ascii="Times New Roman" w:hAnsi="Times New Roman" w:cs="Times New Roman"/>
                <w:color w:val="000000"/>
                <w:sz w:val="21"/>
                <w:szCs w:val="21"/>
                <w:lang w:bidi="ar"/>
              </w:rPr>
              <w:t>个交易日</w:t>
            </w:r>
          </w:p>
        </w:tc>
        <w:tc>
          <w:tcPr>
            <w:tcW w:w="1413" w:type="pct"/>
            <w:shd w:val="clear" w:color="auto" w:fill="FFFFFF"/>
            <w:tcMar>
              <w:top w:w="0" w:type="dxa"/>
              <w:left w:w="50" w:type="dxa"/>
              <w:bottom w:w="0" w:type="dxa"/>
              <w:right w:w="50" w:type="dxa"/>
            </w:tcMar>
            <w:vAlign w:val="center"/>
          </w:tcPr>
          <w:p w14:paraId="38367C8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40.91</w:t>
            </w:r>
          </w:p>
        </w:tc>
        <w:tc>
          <w:tcPr>
            <w:tcW w:w="1919" w:type="pct"/>
            <w:shd w:val="clear" w:color="auto" w:fill="FFFFFF"/>
            <w:tcMar>
              <w:top w:w="0" w:type="dxa"/>
              <w:left w:w="50" w:type="dxa"/>
              <w:bottom w:w="0" w:type="dxa"/>
              <w:right w:w="50" w:type="dxa"/>
            </w:tcMar>
            <w:vAlign w:val="center"/>
          </w:tcPr>
          <w:p w14:paraId="1D53BE0E"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32.74</w:t>
            </w:r>
          </w:p>
        </w:tc>
      </w:tr>
    </w:tbl>
    <w:p w14:paraId="3EFBA289" w14:textId="77777777" w:rsidR="00DF1B3B" w:rsidRPr="00DA3766" w:rsidRDefault="00DF1B3B" w:rsidP="00C3042A">
      <w:pPr>
        <w:pStyle w:val="005"/>
        <w:spacing w:before="120" w:after="120"/>
        <w:ind w:firstLine="480"/>
        <w:rPr>
          <w:lang w:bidi="ar"/>
        </w:rPr>
      </w:pPr>
      <w:r w:rsidRPr="00DA3766">
        <w:rPr>
          <w:lang w:bidi="ar"/>
        </w:rPr>
        <w:t>本次募集配套资金的发行价格为</w:t>
      </w:r>
      <w:r w:rsidRPr="00DA3766">
        <w:rPr>
          <w:lang w:bidi="ar"/>
        </w:rPr>
        <w:t>32.74</w:t>
      </w:r>
      <w:r w:rsidRPr="00DA3766">
        <w:rPr>
          <w:lang w:bidi="ar"/>
        </w:rPr>
        <w:t>元</w:t>
      </w:r>
      <w:r w:rsidRPr="00DA3766">
        <w:rPr>
          <w:lang w:bidi="ar"/>
        </w:rPr>
        <w:t>/</w:t>
      </w:r>
      <w:r w:rsidRPr="00DA3766">
        <w:rPr>
          <w:lang w:bidi="ar"/>
        </w:rPr>
        <w:t>股，不低于定价基准日前</w:t>
      </w:r>
      <w:r w:rsidRPr="00DA3766">
        <w:rPr>
          <w:lang w:bidi="ar"/>
        </w:rPr>
        <w:t>20</w:t>
      </w:r>
      <w:r w:rsidRPr="00DA3766">
        <w:rPr>
          <w:lang w:bidi="ar"/>
        </w:rPr>
        <w:t>个交易日公司股票交易均价的</w:t>
      </w:r>
      <w:r w:rsidRPr="00DA3766">
        <w:rPr>
          <w:lang w:bidi="ar"/>
        </w:rPr>
        <w:t>80%</w:t>
      </w:r>
      <w:r w:rsidRPr="00DA3766">
        <w:rPr>
          <w:lang w:bidi="ar"/>
        </w:rPr>
        <w:t>。</w:t>
      </w:r>
    </w:p>
    <w:p w14:paraId="61C9C2ED" w14:textId="1AD7F871" w:rsidR="007F5E8F" w:rsidRPr="00DA3766" w:rsidRDefault="00B32770" w:rsidP="008D1694">
      <w:pPr>
        <w:pStyle w:val="003"/>
        <w:spacing w:before="120" w:after="120"/>
        <w:ind w:firstLine="482"/>
      </w:pPr>
      <w:r w:rsidRPr="00DA3766">
        <w:t>（</w:t>
      </w:r>
      <w:r w:rsidR="008D1694" w:rsidRPr="00DA3766">
        <w:t>二</w:t>
      </w:r>
      <w:r w:rsidRPr="00DA3766">
        <w:t>）</w:t>
      </w:r>
      <w:r w:rsidR="007F5E8F" w:rsidRPr="00DA3766">
        <w:t>相关市场案例</w:t>
      </w:r>
    </w:p>
    <w:p w14:paraId="235C220D" w14:textId="1ADB6DC0" w:rsidR="007F5E8F" w:rsidRPr="00DA3766" w:rsidRDefault="00DF1B3B" w:rsidP="00C3042A">
      <w:pPr>
        <w:pStyle w:val="005"/>
        <w:spacing w:before="120" w:after="120"/>
        <w:ind w:firstLine="480"/>
      </w:pPr>
      <w:r w:rsidRPr="00DA3766">
        <w:t>经检索市场案例，</w:t>
      </w:r>
      <w:r w:rsidR="008D1694" w:rsidRPr="00DA3766">
        <w:t>交易方案中发行股份购买资产及募集配套资金</w:t>
      </w:r>
      <w:r w:rsidR="00C84D65" w:rsidRPr="00DA3766">
        <w:t>的定价基准日均为董事会决议公告日，且选取不同发行价格</w:t>
      </w:r>
      <w:r w:rsidR="008D1694" w:rsidRPr="00DA3766">
        <w:t>的</w:t>
      </w:r>
      <w:r w:rsidR="00C84D65" w:rsidRPr="00DA3766">
        <w:t>市场案例</w:t>
      </w:r>
      <w:r w:rsidRPr="00DA3766">
        <w:t>如下：</w:t>
      </w:r>
    </w:p>
    <w:tbl>
      <w:tblPr>
        <w:tblW w:w="52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153"/>
        <w:gridCol w:w="1049"/>
        <w:gridCol w:w="1422"/>
        <w:gridCol w:w="2675"/>
        <w:gridCol w:w="2566"/>
      </w:tblGrid>
      <w:tr w:rsidR="00C651C8" w:rsidRPr="00DA3766" w14:paraId="72D29FDD" w14:textId="77777777" w:rsidTr="00635015">
        <w:trPr>
          <w:trHeight w:val="397"/>
          <w:tblHeader/>
          <w:jc w:val="center"/>
        </w:trPr>
        <w:tc>
          <w:tcPr>
            <w:tcW w:w="650" w:type="pct"/>
            <w:shd w:val="clear" w:color="auto" w:fill="FFFFFF"/>
            <w:tcMar>
              <w:top w:w="0" w:type="dxa"/>
              <w:left w:w="75" w:type="dxa"/>
              <w:bottom w:w="0" w:type="dxa"/>
              <w:right w:w="75" w:type="dxa"/>
            </w:tcMar>
            <w:vAlign w:val="center"/>
            <w:hideMark/>
          </w:tcPr>
          <w:p w14:paraId="15CE7422" w14:textId="445915EB"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591" w:type="pct"/>
            <w:tcMar>
              <w:top w:w="0" w:type="dxa"/>
              <w:bottom w:w="0" w:type="dxa"/>
            </w:tcMar>
            <w:vAlign w:val="center"/>
          </w:tcPr>
          <w:p w14:paraId="32F317B2" w14:textId="34CAC1BA"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802" w:type="pct"/>
            <w:shd w:val="clear" w:color="auto" w:fill="FFFFFF"/>
            <w:tcMar>
              <w:top w:w="0" w:type="dxa"/>
              <w:left w:w="75" w:type="dxa"/>
              <w:bottom w:w="0" w:type="dxa"/>
              <w:right w:w="75" w:type="dxa"/>
            </w:tcMar>
            <w:vAlign w:val="center"/>
            <w:hideMark/>
          </w:tcPr>
          <w:p w14:paraId="2C4A0376" w14:textId="6C1313FF"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定价基准日</w:t>
            </w:r>
          </w:p>
        </w:tc>
        <w:tc>
          <w:tcPr>
            <w:tcW w:w="1509" w:type="pct"/>
            <w:shd w:val="clear" w:color="auto" w:fill="FFFFFF"/>
            <w:tcMar>
              <w:top w:w="0" w:type="dxa"/>
              <w:left w:w="75" w:type="dxa"/>
              <w:bottom w:w="0" w:type="dxa"/>
              <w:right w:w="75" w:type="dxa"/>
            </w:tcMar>
            <w:vAlign w:val="center"/>
            <w:hideMark/>
          </w:tcPr>
          <w:p w14:paraId="2E7387CE" w14:textId="77777777"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发行股份购买资产的发行价格</w:t>
            </w:r>
          </w:p>
        </w:tc>
        <w:tc>
          <w:tcPr>
            <w:tcW w:w="1447" w:type="pct"/>
            <w:shd w:val="clear" w:color="auto" w:fill="FFFFFF"/>
            <w:tcMar>
              <w:top w:w="0" w:type="dxa"/>
              <w:left w:w="75" w:type="dxa"/>
              <w:bottom w:w="0" w:type="dxa"/>
              <w:right w:w="75" w:type="dxa"/>
            </w:tcMar>
            <w:vAlign w:val="center"/>
            <w:hideMark/>
          </w:tcPr>
          <w:p w14:paraId="212DBDAF" w14:textId="77777777"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募集配套资金的发行价格</w:t>
            </w:r>
          </w:p>
        </w:tc>
      </w:tr>
      <w:tr w:rsidR="00C651C8" w:rsidRPr="00DA3766" w14:paraId="29F8F7FD" w14:textId="77777777" w:rsidTr="00635015">
        <w:trPr>
          <w:trHeight w:val="397"/>
          <w:jc w:val="center"/>
        </w:trPr>
        <w:tc>
          <w:tcPr>
            <w:tcW w:w="650" w:type="pct"/>
            <w:shd w:val="clear" w:color="auto" w:fill="FFFFFF"/>
            <w:tcMar>
              <w:top w:w="0" w:type="dxa"/>
              <w:left w:w="75" w:type="dxa"/>
              <w:bottom w:w="0" w:type="dxa"/>
              <w:right w:w="75" w:type="dxa"/>
            </w:tcMar>
            <w:vAlign w:val="center"/>
          </w:tcPr>
          <w:p w14:paraId="154BD175"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迈普医学</w:t>
            </w:r>
          </w:p>
        </w:tc>
        <w:tc>
          <w:tcPr>
            <w:tcW w:w="591" w:type="pct"/>
            <w:tcMar>
              <w:top w:w="0" w:type="dxa"/>
              <w:bottom w:w="0" w:type="dxa"/>
            </w:tcMar>
            <w:vAlign w:val="center"/>
          </w:tcPr>
          <w:p w14:paraId="779CAA84" w14:textId="30C48F75" w:rsidR="00C651C8" w:rsidRPr="00DA3766" w:rsidRDefault="00C651C8"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301033.SZ</w:t>
            </w:r>
          </w:p>
        </w:tc>
        <w:tc>
          <w:tcPr>
            <w:tcW w:w="802" w:type="pct"/>
            <w:shd w:val="clear" w:color="auto" w:fill="FFFFFF"/>
            <w:tcMar>
              <w:top w:w="0" w:type="dxa"/>
              <w:left w:w="75" w:type="dxa"/>
              <w:bottom w:w="0" w:type="dxa"/>
              <w:right w:w="75" w:type="dxa"/>
            </w:tcMar>
            <w:vAlign w:val="center"/>
          </w:tcPr>
          <w:p w14:paraId="18AF25D6" w14:textId="32E0DD75"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上市公司审议本次交易事项的第三届董事会第十次会议决议公告日</w:t>
            </w:r>
          </w:p>
        </w:tc>
        <w:tc>
          <w:tcPr>
            <w:tcW w:w="1509" w:type="pct"/>
            <w:shd w:val="clear" w:color="auto" w:fill="FFFFFF"/>
            <w:tcMar>
              <w:top w:w="0" w:type="dxa"/>
              <w:left w:w="75" w:type="dxa"/>
              <w:bottom w:w="0" w:type="dxa"/>
              <w:right w:w="75" w:type="dxa"/>
            </w:tcMar>
            <w:vAlign w:val="center"/>
          </w:tcPr>
          <w:p w14:paraId="124B3C4A"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41.40</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120</w:t>
            </w:r>
            <w:r w:rsidRPr="00DA3766">
              <w:rPr>
                <w:sz w:val="21"/>
                <w:szCs w:val="21"/>
              </w:rPr>
              <w:t>个交易日上市公司股票交易均价的</w:t>
            </w:r>
            <w:r w:rsidRPr="00DA3766">
              <w:rPr>
                <w:sz w:val="21"/>
                <w:szCs w:val="21"/>
              </w:rPr>
              <w:t>80%</w:t>
            </w:r>
            <w:r w:rsidRPr="00DA3766">
              <w:rPr>
                <w:sz w:val="21"/>
                <w:szCs w:val="21"/>
              </w:rPr>
              <w:t>。</w:t>
            </w:r>
          </w:p>
        </w:tc>
        <w:tc>
          <w:tcPr>
            <w:tcW w:w="1447" w:type="pct"/>
            <w:shd w:val="clear" w:color="auto" w:fill="FFFFFF"/>
            <w:tcMar>
              <w:top w:w="0" w:type="dxa"/>
              <w:left w:w="75" w:type="dxa"/>
              <w:bottom w:w="0" w:type="dxa"/>
              <w:right w:w="75" w:type="dxa"/>
            </w:tcMar>
            <w:vAlign w:val="center"/>
          </w:tcPr>
          <w:p w14:paraId="6B54A98A"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本次募集配套资金的发行价格为</w:t>
            </w:r>
            <w:r w:rsidRPr="00DA3766">
              <w:rPr>
                <w:sz w:val="21"/>
                <w:szCs w:val="21"/>
              </w:rPr>
              <w:t>57.35</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w:t>
            </w:r>
          </w:p>
        </w:tc>
      </w:tr>
      <w:tr w:rsidR="00C651C8" w:rsidRPr="00DA3766" w14:paraId="1DD0DABC" w14:textId="77777777" w:rsidTr="00635015">
        <w:trPr>
          <w:trHeight w:val="397"/>
          <w:jc w:val="center"/>
        </w:trPr>
        <w:tc>
          <w:tcPr>
            <w:tcW w:w="650" w:type="pct"/>
            <w:shd w:val="clear" w:color="auto" w:fill="FFFFFF"/>
            <w:tcMar>
              <w:top w:w="0" w:type="dxa"/>
              <w:left w:w="75" w:type="dxa"/>
              <w:bottom w:w="0" w:type="dxa"/>
              <w:right w:w="75" w:type="dxa"/>
            </w:tcMar>
            <w:vAlign w:val="center"/>
          </w:tcPr>
          <w:p w14:paraId="2543B0AD" w14:textId="2A3E9615"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狮头股份</w:t>
            </w:r>
          </w:p>
        </w:tc>
        <w:tc>
          <w:tcPr>
            <w:tcW w:w="591" w:type="pct"/>
            <w:tcMar>
              <w:top w:w="0" w:type="dxa"/>
              <w:bottom w:w="0" w:type="dxa"/>
            </w:tcMar>
            <w:vAlign w:val="center"/>
          </w:tcPr>
          <w:p w14:paraId="06CBD983" w14:textId="3598D7B4" w:rsidR="00C651C8" w:rsidRPr="00DA3766" w:rsidRDefault="00C84D65"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600539.SH</w:t>
            </w:r>
          </w:p>
        </w:tc>
        <w:tc>
          <w:tcPr>
            <w:tcW w:w="802" w:type="pct"/>
            <w:shd w:val="clear" w:color="auto" w:fill="FFFFFF"/>
            <w:tcMar>
              <w:top w:w="0" w:type="dxa"/>
              <w:left w:w="75" w:type="dxa"/>
              <w:bottom w:w="0" w:type="dxa"/>
              <w:right w:w="75" w:type="dxa"/>
            </w:tcMar>
            <w:vAlign w:val="center"/>
          </w:tcPr>
          <w:p w14:paraId="30DD9E30" w14:textId="226F6140"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上市公司第九届董事会第十九次会议决议公告日</w:t>
            </w:r>
          </w:p>
        </w:tc>
        <w:tc>
          <w:tcPr>
            <w:tcW w:w="1509" w:type="pct"/>
            <w:shd w:val="clear" w:color="auto" w:fill="FFFFFF"/>
            <w:tcMar>
              <w:top w:w="0" w:type="dxa"/>
              <w:left w:w="75" w:type="dxa"/>
              <w:bottom w:w="0" w:type="dxa"/>
              <w:right w:w="75" w:type="dxa"/>
            </w:tcMar>
            <w:vAlign w:val="center"/>
          </w:tcPr>
          <w:p w14:paraId="410A59E6" w14:textId="5A59C784"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6.08</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120</w:t>
            </w:r>
            <w:r w:rsidRPr="00DA3766">
              <w:rPr>
                <w:sz w:val="21"/>
                <w:szCs w:val="21"/>
              </w:rPr>
              <w:t>个交易日公司股票交易均价的</w:t>
            </w:r>
            <w:r w:rsidRPr="00DA3766">
              <w:rPr>
                <w:sz w:val="21"/>
                <w:szCs w:val="21"/>
              </w:rPr>
              <w:t>80%</w:t>
            </w:r>
            <w:r w:rsidRPr="00DA3766">
              <w:rPr>
                <w:sz w:val="21"/>
                <w:szCs w:val="21"/>
              </w:rPr>
              <w:t>。在定价基准日至本次发行的股份发行日期间，如上市公司发生权益分派、公积金转增股本、配股等除权、除息事项，交易各方同意将按照中国证监会及上交所的相关规定对本次发行价格进行相应调整。</w:t>
            </w:r>
          </w:p>
        </w:tc>
        <w:tc>
          <w:tcPr>
            <w:tcW w:w="1447" w:type="pct"/>
            <w:shd w:val="clear" w:color="auto" w:fill="FFFFFF"/>
            <w:tcMar>
              <w:top w:w="0" w:type="dxa"/>
              <w:left w:w="75" w:type="dxa"/>
              <w:bottom w:w="0" w:type="dxa"/>
              <w:right w:w="75" w:type="dxa"/>
            </w:tcMar>
            <w:vAlign w:val="center"/>
          </w:tcPr>
          <w:p w14:paraId="4527AAD1" w14:textId="30151023"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6.69</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。在定价基准日至本次配套融资的股份发行日期间，如上市公司发生权益分派、公积金转增股本、配股等除权、除息事项，交易各方同意将按照中国证监会及上交所的相关规定对发行价格进行相应调整。</w:t>
            </w:r>
          </w:p>
        </w:tc>
      </w:tr>
      <w:tr w:rsidR="00C651C8" w:rsidRPr="00DA3766" w14:paraId="5E6C0B1C" w14:textId="77777777" w:rsidTr="00635015">
        <w:trPr>
          <w:trHeight w:val="397"/>
          <w:jc w:val="center"/>
        </w:trPr>
        <w:tc>
          <w:tcPr>
            <w:tcW w:w="650" w:type="pct"/>
            <w:shd w:val="clear" w:color="auto" w:fill="FFFFFF"/>
            <w:tcMar>
              <w:top w:w="0" w:type="dxa"/>
              <w:left w:w="75" w:type="dxa"/>
              <w:bottom w:w="0" w:type="dxa"/>
              <w:right w:w="75" w:type="dxa"/>
            </w:tcMar>
            <w:vAlign w:val="center"/>
          </w:tcPr>
          <w:p w14:paraId="70642AB9" w14:textId="5A75974F"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日播时尚</w:t>
            </w:r>
          </w:p>
        </w:tc>
        <w:tc>
          <w:tcPr>
            <w:tcW w:w="591" w:type="pct"/>
            <w:tcMar>
              <w:top w:w="0" w:type="dxa"/>
              <w:bottom w:w="0" w:type="dxa"/>
            </w:tcMar>
            <w:vAlign w:val="center"/>
          </w:tcPr>
          <w:p w14:paraId="00D3A727" w14:textId="1F776754" w:rsidR="00C651C8" w:rsidRPr="00DA3766" w:rsidRDefault="00C84D65"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603196.SH</w:t>
            </w:r>
          </w:p>
        </w:tc>
        <w:tc>
          <w:tcPr>
            <w:tcW w:w="802" w:type="pct"/>
            <w:shd w:val="clear" w:color="auto" w:fill="FFFFFF"/>
            <w:tcMar>
              <w:top w:w="0" w:type="dxa"/>
              <w:left w:w="75" w:type="dxa"/>
              <w:bottom w:w="0" w:type="dxa"/>
              <w:right w:w="75" w:type="dxa"/>
            </w:tcMar>
            <w:vAlign w:val="center"/>
          </w:tcPr>
          <w:p w14:paraId="4DC7DF89" w14:textId="70D5E71E"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上市公司审议本次交易事项的第四届董事会第十七次会议决议公告日</w:t>
            </w:r>
          </w:p>
        </w:tc>
        <w:tc>
          <w:tcPr>
            <w:tcW w:w="1509" w:type="pct"/>
            <w:shd w:val="clear" w:color="auto" w:fill="FFFFFF"/>
            <w:tcMar>
              <w:top w:w="0" w:type="dxa"/>
              <w:left w:w="75" w:type="dxa"/>
              <w:bottom w:w="0" w:type="dxa"/>
              <w:right w:w="75" w:type="dxa"/>
            </w:tcMar>
            <w:vAlign w:val="center"/>
          </w:tcPr>
          <w:p w14:paraId="07D76D01" w14:textId="61DCB7CD"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7.18</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60</w:t>
            </w:r>
            <w:r w:rsidRPr="00DA3766">
              <w:rPr>
                <w:sz w:val="21"/>
                <w:szCs w:val="21"/>
              </w:rPr>
              <w:t>个交易日的上市公司股票交易均价的</w:t>
            </w:r>
            <w:r w:rsidRPr="00DA3766">
              <w:rPr>
                <w:sz w:val="21"/>
                <w:szCs w:val="21"/>
              </w:rPr>
              <w:t>80%</w:t>
            </w:r>
          </w:p>
        </w:tc>
        <w:tc>
          <w:tcPr>
            <w:tcW w:w="1447" w:type="pct"/>
            <w:shd w:val="clear" w:color="auto" w:fill="FFFFFF"/>
            <w:tcMar>
              <w:top w:w="0" w:type="dxa"/>
              <w:left w:w="75" w:type="dxa"/>
              <w:bottom w:w="0" w:type="dxa"/>
              <w:right w:w="75" w:type="dxa"/>
            </w:tcMar>
            <w:vAlign w:val="center"/>
          </w:tcPr>
          <w:p w14:paraId="6E7D77DB" w14:textId="616ADADB"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本次募集配套资金的发行价格为</w:t>
            </w:r>
            <w:r w:rsidRPr="00DA3766">
              <w:rPr>
                <w:sz w:val="21"/>
                <w:szCs w:val="21"/>
              </w:rPr>
              <w:t>7.79</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。在定价基准日至股份发行日期间，上市公司如有派息、送股、资本公积金转增股本等除权、除息事项，则上述发行价格将根据中国证监会及上交所的相关规则进行相应调整。</w:t>
            </w:r>
          </w:p>
        </w:tc>
      </w:tr>
    </w:tbl>
    <w:p w14:paraId="354C8644" w14:textId="67C6732B" w:rsidR="00B32770" w:rsidRPr="00DA3766" w:rsidRDefault="008D1694" w:rsidP="00C3042A">
      <w:pPr>
        <w:pStyle w:val="005"/>
        <w:spacing w:before="120" w:after="120"/>
        <w:ind w:firstLine="480"/>
      </w:pPr>
      <w:r w:rsidRPr="00DA3766">
        <w:t>综上，本次交易发行股份购买资产的发行价格及募集配套资金发行价格</w:t>
      </w:r>
      <w:r w:rsidR="00176D50" w:rsidRPr="00DA3766">
        <w:t>系</w:t>
      </w:r>
      <w:r w:rsidRPr="00DA3766">
        <w:t>参考《上市公司重大资产重组管理办法》及《上市公司证券发行注册管理办法》等</w:t>
      </w:r>
      <w:r w:rsidRPr="00DA3766">
        <w:lastRenderedPageBreak/>
        <w:t>相关规定，并结合相关市场案例与交易各方实际情况，</w:t>
      </w:r>
      <w:r w:rsidR="00176D50" w:rsidRPr="00DA3766">
        <w:t>由</w:t>
      </w:r>
      <w:r w:rsidRPr="00DA3766">
        <w:t>各方协商确定，具有合理性。</w:t>
      </w:r>
    </w:p>
    <w:bookmarkEnd w:id="171"/>
    <w:p w14:paraId="40B64081" w14:textId="7059521B" w:rsidR="00E22816" w:rsidRPr="00DA3766" w:rsidRDefault="00E22816"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Pr="00DA3766">
        <w:rPr>
          <w:rFonts w:ascii="宋体" w:hAnsi="宋体"/>
        </w:rPr>
        <w:t>“</w:t>
      </w:r>
      <w:r w:rsidR="00162D2A" w:rsidRPr="00DA3766">
        <w:t>三</w:t>
      </w:r>
      <w:r w:rsidRPr="00DA3766">
        <w:t>、</w:t>
      </w:r>
      <w:r w:rsidR="00162D2A" w:rsidRPr="00DA3766">
        <w:t>发行股份购买资产和募集配套资金选取不同发行价格的原因及合理性</w:t>
      </w:r>
      <w:r w:rsidRPr="00DA3766">
        <w:rPr>
          <w:rFonts w:ascii="宋体" w:hAnsi="宋体"/>
        </w:rPr>
        <w:t>”</w:t>
      </w:r>
      <w:r w:rsidRPr="00DA3766">
        <w:t>补充披露。</w:t>
      </w:r>
    </w:p>
    <w:p w14:paraId="1140E18B" w14:textId="77777777" w:rsidR="004F0D74" w:rsidRPr="00DA3766" w:rsidRDefault="004F0D74" w:rsidP="004F0D74">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九、</w:t>
      </w:r>
      <w:bookmarkStart w:id="172" w:name="OLE_LINK5"/>
      <w:bookmarkStart w:id="173" w:name="OLE_LINK14"/>
      <w:r w:rsidRPr="00DA3766">
        <w:rPr>
          <w:rFonts w:ascii="Times New Roman" w:hAnsi="Times New Roman" w:cs="Times New Roman"/>
          <w:b/>
          <w:bCs/>
          <w:kern w:val="2"/>
          <w:szCs w:val="28"/>
        </w:rPr>
        <w:t>上市公司对本次交易现金对价的具体筹措安排及可行性</w:t>
      </w:r>
      <w:bookmarkEnd w:id="172"/>
      <w:r w:rsidRPr="00DA3766">
        <w:rPr>
          <w:rFonts w:ascii="Times New Roman" w:hAnsi="Times New Roman" w:cs="Times New Roman"/>
          <w:b/>
          <w:bCs/>
          <w:kern w:val="2"/>
          <w:szCs w:val="28"/>
        </w:rPr>
        <w:t>，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w:t>
      </w:r>
      <w:bookmarkStart w:id="174" w:name="OLE_LINK136"/>
      <w:r w:rsidRPr="00DA3766">
        <w:rPr>
          <w:rFonts w:ascii="Times New Roman" w:hAnsi="Times New Roman" w:cs="Times New Roman"/>
          <w:b/>
          <w:bCs/>
          <w:kern w:val="2"/>
          <w:szCs w:val="28"/>
        </w:rPr>
        <w:t>是否存在规避重组上市的情形</w:t>
      </w:r>
      <w:bookmarkEnd w:id="174"/>
      <w:r w:rsidRPr="00DA3766">
        <w:rPr>
          <w:rFonts w:ascii="Times New Roman" w:hAnsi="Times New Roman" w:cs="Times New Roman"/>
          <w:b/>
          <w:bCs/>
          <w:kern w:val="2"/>
          <w:szCs w:val="28"/>
        </w:rPr>
        <w:t>，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bookmarkEnd w:id="173"/>
    </w:p>
    <w:p w14:paraId="23C89B0D"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（一）上市公司对本次交易现金对价的具体筹措安排及可行性</w:t>
      </w:r>
    </w:p>
    <w:p w14:paraId="61F1187D"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根据金证评估出具的标的资产评估报告，以</w:t>
      </w:r>
      <w:r w:rsidRPr="00DA3766">
        <w:rPr>
          <w:rFonts w:ascii="Times New Roman" w:hAnsi="Times New Roman" w:cs="Times New Roman"/>
          <w:kern w:val="2"/>
          <w:szCs w:val="21"/>
        </w:rPr>
        <w:t>2025</w:t>
      </w:r>
      <w:r w:rsidRPr="00DA3766">
        <w:rPr>
          <w:rFonts w:ascii="Times New Roman" w:hAnsi="Times New Roman" w:cs="Times New Roman"/>
          <w:kern w:val="2"/>
          <w:szCs w:val="21"/>
        </w:rPr>
        <w:t>年</w:t>
      </w:r>
      <w:r w:rsidRPr="00DA3766">
        <w:rPr>
          <w:rFonts w:ascii="Times New Roman" w:hAnsi="Times New Roman" w:cs="Times New Roman"/>
          <w:kern w:val="2"/>
          <w:szCs w:val="21"/>
        </w:rPr>
        <w:t>6</w:t>
      </w:r>
      <w:r w:rsidRPr="00DA3766">
        <w:rPr>
          <w:rFonts w:ascii="Times New Roman" w:hAnsi="Times New Roman" w:cs="Times New Roman"/>
          <w:kern w:val="2"/>
          <w:szCs w:val="21"/>
        </w:rPr>
        <w:t>月</w:t>
      </w:r>
      <w:r w:rsidRPr="00DA3766">
        <w:rPr>
          <w:rFonts w:ascii="Times New Roman" w:hAnsi="Times New Roman" w:cs="Times New Roman"/>
          <w:kern w:val="2"/>
          <w:szCs w:val="21"/>
        </w:rPr>
        <w:t>30</w:t>
      </w:r>
      <w:r w:rsidRPr="00DA3766">
        <w:rPr>
          <w:rFonts w:ascii="Times New Roman" w:hAnsi="Times New Roman" w:cs="Times New Roman"/>
          <w:kern w:val="2"/>
          <w:szCs w:val="21"/>
        </w:rPr>
        <w:t>日为评估基准日，星云开物</w:t>
      </w:r>
      <w:r w:rsidRPr="00DA3766">
        <w:rPr>
          <w:rFonts w:ascii="Times New Roman" w:hAnsi="Times New Roman" w:cs="Times New Roman"/>
          <w:kern w:val="2"/>
          <w:szCs w:val="21"/>
        </w:rPr>
        <w:t>100%</w:t>
      </w:r>
      <w:r w:rsidRPr="00DA3766">
        <w:rPr>
          <w:rFonts w:ascii="Times New Roman" w:hAnsi="Times New Roman" w:cs="Times New Roman"/>
          <w:kern w:val="2"/>
          <w:szCs w:val="21"/>
        </w:rPr>
        <w:t>股权评估值为</w:t>
      </w:r>
      <w:r w:rsidRPr="00DA3766">
        <w:rPr>
          <w:rFonts w:ascii="Times New Roman" w:hAnsi="Times New Roman" w:cs="Times New Roman"/>
          <w:kern w:val="2"/>
          <w:szCs w:val="21"/>
        </w:rPr>
        <w:t>121,000.00</w:t>
      </w:r>
      <w:r w:rsidRPr="00DA3766">
        <w:rPr>
          <w:rFonts w:ascii="Times New Roman" w:hAnsi="Times New Roman" w:cs="Times New Roman"/>
          <w:kern w:val="2"/>
          <w:szCs w:val="21"/>
        </w:rPr>
        <w:t>万元，经交易各方协商，标的公司</w:t>
      </w:r>
      <w:r w:rsidRPr="00DA3766">
        <w:rPr>
          <w:rFonts w:ascii="Times New Roman" w:hAnsi="Times New Roman" w:cs="Times New Roman"/>
          <w:kern w:val="2"/>
          <w:szCs w:val="21"/>
        </w:rPr>
        <w:t>98.5632%</w:t>
      </w:r>
      <w:r w:rsidRPr="00DA3766">
        <w:rPr>
          <w:rFonts w:ascii="Times New Roman" w:hAnsi="Times New Roman" w:cs="Times New Roman"/>
          <w:kern w:val="2"/>
          <w:szCs w:val="21"/>
        </w:rPr>
        <w:t>股权的综合交易作价为</w:t>
      </w:r>
      <w:r w:rsidRPr="00DA3766">
        <w:rPr>
          <w:rFonts w:ascii="Times New Roman" w:hAnsi="Times New Roman" w:cs="Times New Roman"/>
          <w:kern w:val="2"/>
          <w:szCs w:val="21"/>
        </w:rPr>
        <w:t>118,850.53</w:t>
      </w:r>
      <w:r w:rsidRPr="00DA3766">
        <w:rPr>
          <w:rFonts w:ascii="Times New Roman" w:hAnsi="Times New Roman" w:cs="Times New Roman"/>
          <w:kern w:val="2"/>
          <w:szCs w:val="21"/>
        </w:rPr>
        <w:t>万元。</w:t>
      </w:r>
    </w:p>
    <w:p w14:paraId="79455A49"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公司拟以发行股份及支付现金相结合的方式购买标的资产，其中以发行股份、现金方式支付对价的金额分别为</w:t>
      </w:r>
      <w:r w:rsidRPr="00DA3766">
        <w:rPr>
          <w:rFonts w:ascii="Times New Roman" w:hAnsi="Times New Roman" w:cs="Times New Roman"/>
          <w:kern w:val="2"/>
          <w:szCs w:val="21"/>
        </w:rPr>
        <w:t>58,236.76</w:t>
      </w:r>
      <w:r w:rsidRPr="00DA3766">
        <w:rPr>
          <w:rFonts w:ascii="Times New Roman" w:hAnsi="Times New Roman" w:cs="Times New Roman"/>
          <w:kern w:val="2"/>
          <w:szCs w:val="21"/>
        </w:rPr>
        <w:t>万元和</w:t>
      </w:r>
      <w:r w:rsidRPr="00DA3766">
        <w:rPr>
          <w:rFonts w:ascii="Times New Roman" w:hAnsi="Times New Roman" w:cs="Times New Roman"/>
          <w:kern w:val="2"/>
          <w:szCs w:val="21"/>
        </w:rPr>
        <w:t>60,613.77</w:t>
      </w:r>
      <w:r w:rsidRPr="00DA3766">
        <w:rPr>
          <w:rFonts w:ascii="Times New Roman" w:hAnsi="Times New Roman" w:cs="Times New Roman"/>
          <w:kern w:val="2"/>
          <w:szCs w:val="21"/>
        </w:rPr>
        <w:t>万元。其中，现金对价部分，上市公司拟以自有资金支付现金对价的</w:t>
      </w:r>
      <w:r w:rsidRPr="00DA3766">
        <w:rPr>
          <w:rFonts w:ascii="Times New Roman" w:hAnsi="Times New Roman" w:cs="Times New Roman"/>
          <w:kern w:val="2"/>
          <w:szCs w:val="21"/>
        </w:rPr>
        <w:t>20%</w:t>
      </w:r>
      <w:r w:rsidRPr="00DA3766">
        <w:rPr>
          <w:rFonts w:ascii="Times New Roman" w:hAnsi="Times New Roman" w:cs="Times New Roman"/>
          <w:kern w:val="2"/>
          <w:szCs w:val="21"/>
        </w:rPr>
        <w:t>，采用并购贷的方式支付现金对价的</w:t>
      </w:r>
      <w:r w:rsidRPr="00DA3766">
        <w:rPr>
          <w:rFonts w:ascii="Times New Roman" w:hAnsi="Times New Roman" w:cs="Times New Roman"/>
          <w:kern w:val="2"/>
          <w:szCs w:val="21"/>
        </w:rPr>
        <w:t>80%</w:t>
      </w:r>
      <w:r w:rsidRPr="00DA3766">
        <w:rPr>
          <w:rFonts w:ascii="Times New Roman" w:hAnsi="Times New Roman" w:cs="Times New Roman"/>
          <w:kern w:val="2"/>
          <w:szCs w:val="21"/>
        </w:rPr>
        <w:t>，按照</w:t>
      </w:r>
      <w:r w:rsidRPr="00DA3766">
        <w:rPr>
          <w:rFonts w:ascii="Times New Roman" w:hAnsi="Times New Roman" w:cs="Times New Roman"/>
          <w:kern w:val="2"/>
          <w:szCs w:val="21"/>
        </w:rPr>
        <w:t>3%</w:t>
      </w:r>
      <w:r w:rsidRPr="00DA3766">
        <w:rPr>
          <w:rFonts w:ascii="Times New Roman" w:hAnsi="Times New Roman" w:cs="Times New Roman"/>
          <w:kern w:val="2"/>
          <w:szCs w:val="21"/>
        </w:rPr>
        <w:t>的年利率进行计算，公司并购贷款的主要条款列示如下：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085"/>
        <w:gridCol w:w="5443"/>
      </w:tblGrid>
      <w:tr w:rsidR="00381FE3" w:rsidRPr="00DA3766" w14:paraId="42804135" w14:textId="77777777" w:rsidTr="00DA3766">
        <w:trPr>
          <w:trHeight w:val="397"/>
          <w:tblHeader/>
          <w:jc w:val="center"/>
        </w:trPr>
        <w:tc>
          <w:tcPr>
            <w:tcW w:w="1809" w:type="pct"/>
            <w:shd w:val="solid" w:color="FFFFFF" w:fill="FFFFFF"/>
            <w:vAlign w:val="center"/>
          </w:tcPr>
          <w:p w14:paraId="74A58B6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3191" w:type="pct"/>
            <w:shd w:val="solid" w:color="FFFFFF" w:fill="FFFFFF"/>
            <w:vAlign w:val="center"/>
          </w:tcPr>
          <w:p w14:paraId="0DE26D1A"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r>
      <w:tr w:rsidR="00381FE3" w:rsidRPr="00DA3766" w14:paraId="20027E93" w14:textId="77777777" w:rsidTr="00DA3766">
        <w:trPr>
          <w:trHeight w:val="397"/>
          <w:jc w:val="center"/>
        </w:trPr>
        <w:tc>
          <w:tcPr>
            <w:tcW w:w="1809" w:type="pct"/>
            <w:shd w:val="solid" w:color="FFFFFF" w:fill="FFFFFF"/>
            <w:vAlign w:val="center"/>
          </w:tcPr>
          <w:p w14:paraId="4D52620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现金支付对价</w:t>
            </w:r>
          </w:p>
        </w:tc>
        <w:tc>
          <w:tcPr>
            <w:tcW w:w="3191" w:type="pct"/>
            <w:shd w:val="solid" w:color="FFFFFF" w:fill="FFFFFF"/>
            <w:vAlign w:val="center"/>
          </w:tcPr>
          <w:p w14:paraId="6C875CD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kern w:val="2"/>
                <w:sz w:val="21"/>
                <w:szCs w:val="21"/>
              </w:rPr>
              <w:t>60,613.77</w:t>
            </w:r>
            <w:r w:rsidRPr="00DA3766">
              <w:rPr>
                <w:rFonts w:ascii="Times New Roman" w:hAnsi="Times New Roman" w:cs="Times New Roman"/>
                <w:color w:val="000000"/>
                <w:sz w:val="21"/>
                <w:szCs w:val="21"/>
              </w:rPr>
              <w:t>万元</w:t>
            </w:r>
          </w:p>
        </w:tc>
      </w:tr>
      <w:tr w:rsidR="00381FE3" w:rsidRPr="00DA3766" w14:paraId="670CC7CD" w14:textId="77777777" w:rsidTr="00DA3766">
        <w:trPr>
          <w:trHeight w:val="397"/>
          <w:jc w:val="center"/>
        </w:trPr>
        <w:tc>
          <w:tcPr>
            <w:tcW w:w="1809" w:type="pct"/>
            <w:shd w:val="solid" w:color="FFFFFF" w:fill="FFFFFF"/>
            <w:vAlign w:val="center"/>
          </w:tcPr>
          <w:p w14:paraId="1ABEA3A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并购贷借款总额</w:t>
            </w:r>
          </w:p>
        </w:tc>
        <w:tc>
          <w:tcPr>
            <w:tcW w:w="3191" w:type="pct"/>
            <w:shd w:val="solid" w:color="FFFFFF" w:fill="FFFFFF"/>
            <w:vAlign w:val="center"/>
          </w:tcPr>
          <w:p w14:paraId="1E98CD6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48,491.02</w:t>
            </w:r>
            <w:r w:rsidRPr="00DA3766">
              <w:rPr>
                <w:rFonts w:ascii="Times New Roman" w:hAnsi="Times New Roman" w:cs="Times New Roman"/>
                <w:color w:val="000000"/>
                <w:sz w:val="21"/>
                <w:szCs w:val="21"/>
              </w:rPr>
              <w:t>万元（暂不考虑募配资金）</w:t>
            </w:r>
          </w:p>
        </w:tc>
      </w:tr>
      <w:tr w:rsidR="00381FE3" w:rsidRPr="00DA3766" w14:paraId="79A5C5F7" w14:textId="77777777" w:rsidTr="00DA3766">
        <w:trPr>
          <w:trHeight w:val="397"/>
          <w:jc w:val="center"/>
        </w:trPr>
        <w:tc>
          <w:tcPr>
            <w:tcW w:w="1809" w:type="pct"/>
            <w:shd w:val="solid" w:color="FFFFFF" w:fill="FFFFFF"/>
            <w:vAlign w:val="center"/>
          </w:tcPr>
          <w:p w14:paraId="7059E61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借款期限</w:t>
            </w:r>
          </w:p>
        </w:tc>
        <w:tc>
          <w:tcPr>
            <w:tcW w:w="3191" w:type="pct"/>
            <w:shd w:val="solid" w:color="FFFFFF" w:fill="FFFFFF"/>
            <w:vAlign w:val="center"/>
          </w:tcPr>
          <w:p w14:paraId="43DC689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年期</w:t>
            </w:r>
          </w:p>
        </w:tc>
      </w:tr>
      <w:tr w:rsidR="00381FE3" w:rsidRPr="00DA3766" w14:paraId="35833C11" w14:textId="77777777" w:rsidTr="00DA3766">
        <w:trPr>
          <w:trHeight w:val="397"/>
          <w:jc w:val="center"/>
        </w:trPr>
        <w:tc>
          <w:tcPr>
            <w:tcW w:w="1809" w:type="pct"/>
            <w:shd w:val="solid" w:color="FFFFFF" w:fill="FFFFFF"/>
            <w:vAlign w:val="center"/>
          </w:tcPr>
          <w:p w14:paraId="67A895C1"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并购贷年化利率</w:t>
            </w:r>
          </w:p>
        </w:tc>
        <w:tc>
          <w:tcPr>
            <w:tcW w:w="3191" w:type="pct"/>
            <w:shd w:val="solid" w:color="FFFFFF" w:fill="FFFFFF"/>
            <w:vAlign w:val="center"/>
          </w:tcPr>
          <w:p w14:paraId="4986053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r>
      <w:tr w:rsidR="00381FE3" w:rsidRPr="00DA3766" w14:paraId="34E5E8FA" w14:textId="77777777" w:rsidTr="00DA3766">
        <w:trPr>
          <w:trHeight w:val="397"/>
          <w:jc w:val="center"/>
        </w:trPr>
        <w:tc>
          <w:tcPr>
            <w:tcW w:w="1809" w:type="pct"/>
            <w:shd w:val="solid" w:color="FFFFFF" w:fill="FFFFFF"/>
            <w:vAlign w:val="center"/>
          </w:tcPr>
          <w:p w14:paraId="06A42249"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并购贷利息金额</w:t>
            </w:r>
          </w:p>
        </w:tc>
        <w:tc>
          <w:tcPr>
            <w:tcW w:w="3191" w:type="pct"/>
            <w:shd w:val="solid" w:color="FFFFFF" w:fill="FFFFFF"/>
            <w:vAlign w:val="center"/>
          </w:tcPr>
          <w:p w14:paraId="61C3F04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1,454.73</w:t>
            </w:r>
            <w:r w:rsidRPr="00DA3766">
              <w:rPr>
                <w:rFonts w:ascii="Times New Roman" w:hAnsi="Times New Roman" w:cs="Times New Roman"/>
                <w:color w:val="000000"/>
                <w:sz w:val="21"/>
                <w:szCs w:val="21"/>
              </w:rPr>
              <w:t>万元</w:t>
            </w:r>
          </w:p>
        </w:tc>
      </w:tr>
      <w:tr w:rsidR="00381FE3" w:rsidRPr="00DA3766" w14:paraId="36EE506E" w14:textId="77777777" w:rsidTr="00DA3766">
        <w:trPr>
          <w:trHeight w:val="397"/>
          <w:jc w:val="center"/>
        </w:trPr>
        <w:tc>
          <w:tcPr>
            <w:tcW w:w="1809" w:type="pct"/>
            <w:shd w:val="solid" w:color="FFFFFF" w:fill="FFFFFF"/>
            <w:vAlign w:val="center"/>
          </w:tcPr>
          <w:p w14:paraId="73278B18"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未来还款计划</w:t>
            </w:r>
          </w:p>
        </w:tc>
        <w:tc>
          <w:tcPr>
            <w:tcW w:w="3191" w:type="pct"/>
            <w:shd w:val="solid" w:color="FFFFFF" w:fill="FFFFFF"/>
            <w:vAlign w:val="center"/>
          </w:tcPr>
          <w:p w14:paraId="4F10147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公司拟采用经营积累及本次募配资金对并购贷款进行偿还和置换，暂不考虑募配资金的置换</w:t>
            </w:r>
          </w:p>
        </w:tc>
      </w:tr>
    </w:tbl>
    <w:p w14:paraId="6F906A11" w14:textId="1FCEEACA"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截至本回复出具之日，上市</w:t>
      </w:r>
      <w:r w:rsidR="00F508B8" w:rsidRPr="00DA3766">
        <w:rPr>
          <w:rFonts w:ascii="Times New Roman" w:hAnsi="Times New Roman" w:cs="Times New Roman"/>
          <w:kern w:val="2"/>
          <w14:ligatures w14:val="standardContextual"/>
        </w:rPr>
        <w:t>公司</w:t>
      </w:r>
      <w:r w:rsidRPr="00DA3766">
        <w:rPr>
          <w:rFonts w:ascii="Times New Roman" w:hAnsi="Times New Roman" w:cs="Times New Roman"/>
          <w:kern w:val="2"/>
          <w14:ligatures w14:val="standardContextual"/>
        </w:rPr>
        <w:t>已经取得相关银行授信意向书，上市公司本</w:t>
      </w:r>
      <w:r w:rsidRPr="00DA3766">
        <w:rPr>
          <w:rFonts w:ascii="Times New Roman" w:hAnsi="Times New Roman" w:cs="Times New Roman"/>
          <w:kern w:val="2"/>
          <w14:ligatures w14:val="standardContextual"/>
        </w:rPr>
        <w:lastRenderedPageBreak/>
        <w:t>次交易现金对价具备可行性。</w:t>
      </w:r>
    </w:p>
    <w:p w14:paraId="124213C7"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（二）上市公司的货币资金、资产负债情况、现金流情况、后续资金需求、受限资金情况，相关安排对上市公司偿债能力和生产经营不存在不利影响，不会导致上市公司产生重大债务风险</w:t>
      </w:r>
    </w:p>
    <w:p w14:paraId="0BFD67AD"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、货币资金</w:t>
      </w:r>
    </w:p>
    <w:p w14:paraId="137F1C09"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月末，上市公司货币资金余额</w:t>
      </w:r>
      <w:r w:rsidRPr="00DA3766">
        <w:rPr>
          <w:rFonts w:ascii="Times New Roman" w:hAnsi="Times New Roman" w:cs="Times New Roman"/>
        </w:rPr>
        <w:t>33,136.66</w:t>
      </w:r>
      <w:r w:rsidRPr="00DA3766">
        <w:rPr>
          <w:rFonts w:ascii="Times New Roman" w:hAnsi="Times New Roman" w:cs="Times New Roman"/>
        </w:rPr>
        <w:t>万元，其中，</w:t>
      </w:r>
      <w:r w:rsidRPr="00DA3766">
        <w:rPr>
          <w:rFonts w:ascii="Times New Roman" w:hAnsi="Times New Roman" w:cs="Times New Roman"/>
        </w:rPr>
        <w:t>21,072.82</w:t>
      </w:r>
      <w:r w:rsidRPr="00DA3766">
        <w:rPr>
          <w:rFonts w:ascii="Times New Roman" w:hAnsi="Times New Roman" w:cs="Times New Roman"/>
        </w:rPr>
        <w:t>万元为所有权无限制或者可以转为所有权无限制的货币资金。</w:t>
      </w:r>
    </w:p>
    <w:p w14:paraId="0E6343FD"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、资产负债情况</w:t>
      </w:r>
    </w:p>
    <w:p w14:paraId="1133F5AA"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上市公司资产结构如下表所示：</w:t>
      </w:r>
    </w:p>
    <w:p w14:paraId="11642971" w14:textId="77777777" w:rsidR="00381FE3" w:rsidRPr="00DA3766" w:rsidRDefault="00381FE3" w:rsidP="00DA3766">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586"/>
        <w:gridCol w:w="1161"/>
        <w:gridCol w:w="1153"/>
        <w:gridCol w:w="1161"/>
        <w:gridCol w:w="1153"/>
        <w:gridCol w:w="1161"/>
        <w:gridCol w:w="1153"/>
      </w:tblGrid>
      <w:tr w:rsidR="00381FE3" w:rsidRPr="00DA3766" w14:paraId="1846188B" w14:textId="77777777" w:rsidTr="001076ED">
        <w:trPr>
          <w:trHeight w:val="397"/>
          <w:tblHeader/>
          <w:jc w:val="center"/>
        </w:trPr>
        <w:tc>
          <w:tcPr>
            <w:tcW w:w="932" w:type="pct"/>
            <w:vMerge w:val="restart"/>
            <w:shd w:val="solid" w:color="FFFFFF" w:fill="FFFFFF"/>
            <w:vAlign w:val="center"/>
          </w:tcPr>
          <w:p w14:paraId="4A968DB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356" w:type="pct"/>
            <w:gridSpan w:val="2"/>
            <w:shd w:val="solid" w:color="FFFFFF" w:fill="FFFFFF"/>
            <w:vAlign w:val="center"/>
          </w:tcPr>
          <w:p w14:paraId="0CC8ACF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356" w:type="pct"/>
            <w:gridSpan w:val="2"/>
            <w:shd w:val="solid" w:color="FFFFFF" w:fill="FFFFFF"/>
            <w:vAlign w:val="center"/>
          </w:tcPr>
          <w:p w14:paraId="09A0F5C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357" w:type="pct"/>
            <w:gridSpan w:val="2"/>
            <w:shd w:val="solid" w:color="FFFFFF" w:fill="FFFFFF"/>
            <w:vAlign w:val="center"/>
          </w:tcPr>
          <w:p w14:paraId="7F025A10"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54862AA4" w14:textId="77777777" w:rsidTr="001076ED">
        <w:trPr>
          <w:trHeight w:val="397"/>
          <w:tblHeader/>
          <w:jc w:val="center"/>
        </w:trPr>
        <w:tc>
          <w:tcPr>
            <w:tcW w:w="932" w:type="pct"/>
            <w:vMerge/>
            <w:shd w:val="solid" w:color="FFFFFF" w:fill="FFFFFF"/>
            <w:vAlign w:val="center"/>
          </w:tcPr>
          <w:p w14:paraId="5428425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678" w:type="pct"/>
            <w:shd w:val="solid" w:color="FFFFFF" w:fill="FFFFFF"/>
            <w:vAlign w:val="center"/>
          </w:tcPr>
          <w:p w14:paraId="278700F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8" w:type="pct"/>
            <w:shd w:val="solid" w:color="FFFFFF" w:fill="FFFFFF"/>
            <w:vAlign w:val="center"/>
          </w:tcPr>
          <w:p w14:paraId="013DD8E2"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678" w:type="pct"/>
            <w:shd w:val="solid" w:color="FFFFFF" w:fill="FFFFFF"/>
            <w:vAlign w:val="center"/>
          </w:tcPr>
          <w:p w14:paraId="3CB609F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8" w:type="pct"/>
            <w:shd w:val="solid" w:color="FFFFFF" w:fill="FFFFFF"/>
            <w:vAlign w:val="center"/>
          </w:tcPr>
          <w:p w14:paraId="2EA8A3C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678" w:type="pct"/>
            <w:shd w:val="solid" w:color="FFFFFF" w:fill="FFFFFF"/>
            <w:vAlign w:val="center"/>
          </w:tcPr>
          <w:p w14:paraId="16A072F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9" w:type="pct"/>
            <w:shd w:val="solid" w:color="FFFFFF" w:fill="FFFFFF"/>
            <w:vAlign w:val="center"/>
          </w:tcPr>
          <w:p w14:paraId="246868B8"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r>
      <w:tr w:rsidR="00381FE3" w:rsidRPr="00DA3766" w14:paraId="141C4594" w14:textId="77777777" w:rsidTr="001076ED">
        <w:trPr>
          <w:trHeight w:val="397"/>
          <w:jc w:val="center"/>
        </w:trPr>
        <w:tc>
          <w:tcPr>
            <w:tcW w:w="932" w:type="pct"/>
            <w:shd w:val="solid" w:color="FFFFFF" w:fill="FFFFFF"/>
            <w:vAlign w:val="center"/>
          </w:tcPr>
          <w:p w14:paraId="3A1EC094"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流动资产</w:t>
            </w:r>
          </w:p>
        </w:tc>
        <w:tc>
          <w:tcPr>
            <w:tcW w:w="678" w:type="pct"/>
            <w:shd w:val="solid" w:color="FFFFFF" w:fill="FFFFFF"/>
            <w:vAlign w:val="center"/>
          </w:tcPr>
          <w:p w14:paraId="48CEAFE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90,909.98</w:t>
            </w:r>
          </w:p>
        </w:tc>
        <w:tc>
          <w:tcPr>
            <w:tcW w:w="678" w:type="pct"/>
            <w:shd w:val="solid" w:color="FFFFFF" w:fill="FFFFFF"/>
            <w:vAlign w:val="center"/>
          </w:tcPr>
          <w:p w14:paraId="3C3FFFD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60.48%</w:t>
            </w:r>
          </w:p>
        </w:tc>
        <w:tc>
          <w:tcPr>
            <w:tcW w:w="678" w:type="pct"/>
            <w:shd w:val="solid" w:color="FFFFFF" w:fill="FFFFFF"/>
            <w:vAlign w:val="center"/>
          </w:tcPr>
          <w:p w14:paraId="7E46FF1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79,705.04</w:t>
            </w:r>
          </w:p>
        </w:tc>
        <w:tc>
          <w:tcPr>
            <w:tcW w:w="678" w:type="pct"/>
            <w:shd w:val="solid" w:color="FFFFFF" w:fill="FFFFFF"/>
            <w:vAlign w:val="center"/>
          </w:tcPr>
          <w:p w14:paraId="04B6398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59.76%</w:t>
            </w:r>
          </w:p>
        </w:tc>
        <w:tc>
          <w:tcPr>
            <w:tcW w:w="678" w:type="pct"/>
            <w:shd w:val="solid" w:color="FFFFFF" w:fill="FFFFFF"/>
            <w:vAlign w:val="center"/>
          </w:tcPr>
          <w:p w14:paraId="5DCAC8A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92,138.17</w:t>
            </w:r>
          </w:p>
        </w:tc>
        <w:tc>
          <w:tcPr>
            <w:tcW w:w="679" w:type="pct"/>
            <w:shd w:val="solid" w:color="FFFFFF" w:fill="FFFFFF"/>
            <w:vAlign w:val="center"/>
          </w:tcPr>
          <w:p w14:paraId="477FFD1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88.23%</w:t>
            </w:r>
          </w:p>
        </w:tc>
      </w:tr>
      <w:tr w:rsidR="00381FE3" w:rsidRPr="00DA3766" w14:paraId="6D2EBB69" w14:textId="77777777" w:rsidTr="001076ED">
        <w:trPr>
          <w:trHeight w:val="397"/>
          <w:jc w:val="center"/>
        </w:trPr>
        <w:tc>
          <w:tcPr>
            <w:tcW w:w="932" w:type="pct"/>
            <w:shd w:val="solid" w:color="FFFFFF" w:fill="FFFFFF"/>
            <w:vAlign w:val="center"/>
          </w:tcPr>
          <w:p w14:paraId="1BA5EE6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非流动资产</w:t>
            </w:r>
          </w:p>
        </w:tc>
        <w:tc>
          <w:tcPr>
            <w:tcW w:w="678" w:type="pct"/>
            <w:shd w:val="solid" w:color="FFFFFF" w:fill="FFFFFF"/>
            <w:vAlign w:val="center"/>
          </w:tcPr>
          <w:p w14:paraId="47B86CC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59,393.42</w:t>
            </w:r>
          </w:p>
        </w:tc>
        <w:tc>
          <w:tcPr>
            <w:tcW w:w="678" w:type="pct"/>
            <w:shd w:val="solid" w:color="FFFFFF" w:fill="FFFFFF"/>
            <w:vAlign w:val="center"/>
          </w:tcPr>
          <w:p w14:paraId="09326D2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39.52%</w:t>
            </w:r>
          </w:p>
        </w:tc>
        <w:tc>
          <w:tcPr>
            <w:tcW w:w="678" w:type="pct"/>
            <w:shd w:val="solid" w:color="FFFFFF" w:fill="FFFFFF"/>
            <w:vAlign w:val="center"/>
          </w:tcPr>
          <w:p w14:paraId="6E916C7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53,671.63</w:t>
            </w:r>
          </w:p>
        </w:tc>
        <w:tc>
          <w:tcPr>
            <w:tcW w:w="678" w:type="pct"/>
            <w:shd w:val="solid" w:color="FFFFFF" w:fill="FFFFFF"/>
            <w:vAlign w:val="center"/>
          </w:tcPr>
          <w:p w14:paraId="5BFB1D7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40.24%</w:t>
            </w:r>
          </w:p>
        </w:tc>
        <w:tc>
          <w:tcPr>
            <w:tcW w:w="678" w:type="pct"/>
            <w:shd w:val="solid" w:color="FFFFFF" w:fill="FFFFFF"/>
            <w:vAlign w:val="center"/>
          </w:tcPr>
          <w:p w14:paraId="4BA76C2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12,294.50</w:t>
            </w:r>
          </w:p>
        </w:tc>
        <w:tc>
          <w:tcPr>
            <w:tcW w:w="679" w:type="pct"/>
            <w:shd w:val="solid" w:color="FFFFFF" w:fill="FFFFFF"/>
            <w:vAlign w:val="center"/>
          </w:tcPr>
          <w:p w14:paraId="70EDC86C"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11.77%</w:t>
            </w:r>
          </w:p>
        </w:tc>
      </w:tr>
      <w:tr w:rsidR="00381FE3" w:rsidRPr="001076ED" w14:paraId="45F5867F" w14:textId="77777777" w:rsidTr="001076ED">
        <w:trPr>
          <w:trHeight w:val="397"/>
          <w:jc w:val="center"/>
        </w:trPr>
        <w:tc>
          <w:tcPr>
            <w:tcW w:w="932" w:type="pct"/>
            <w:shd w:val="solid" w:color="FFFFFF" w:fill="FFFFFF"/>
            <w:vAlign w:val="center"/>
          </w:tcPr>
          <w:p w14:paraId="34D8A5CE" w14:textId="77777777" w:rsidR="00381FE3" w:rsidRPr="001076ED" w:rsidRDefault="00381FE3"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资产总计</w:t>
            </w:r>
          </w:p>
        </w:tc>
        <w:tc>
          <w:tcPr>
            <w:tcW w:w="678" w:type="pct"/>
            <w:shd w:val="solid" w:color="FFFFFF" w:fill="FFFFFF"/>
            <w:vAlign w:val="center"/>
          </w:tcPr>
          <w:p w14:paraId="765D90A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150,303.40</w:t>
            </w:r>
          </w:p>
        </w:tc>
        <w:tc>
          <w:tcPr>
            <w:tcW w:w="678" w:type="pct"/>
            <w:shd w:val="solid" w:color="FFFFFF" w:fill="FFFFFF"/>
            <w:vAlign w:val="center"/>
          </w:tcPr>
          <w:p w14:paraId="7E830EB6"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w:t>
            </w:r>
          </w:p>
        </w:tc>
        <w:tc>
          <w:tcPr>
            <w:tcW w:w="678" w:type="pct"/>
            <w:shd w:val="solid" w:color="FFFFFF" w:fill="FFFFFF"/>
            <w:vAlign w:val="center"/>
          </w:tcPr>
          <w:p w14:paraId="04D8573A"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133,376.68</w:t>
            </w:r>
          </w:p>
        </w:tc>
        <w:tc>
          <w:tcPr>
            <w:tcW w:w="678" w:type="pct"/>
            <w:shd w:val="solid" w:color="FFFFFF" w:fill="FFFFFF"/>
            <w:vAlign w:val="center"/>
          </w:tcPr>
          <w:p w14:paraId="7A971054"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c>
          <w:tcPr>
            <w:tcW w:w="678" w:type="pct"/>
            <w:shd w:val="solid" w:color="FFFFFF" w:fill="FFFFFF"/>
            <w:vAlign w:val="center"/>
          </w:tcPr>
          <w:p w14:paraId="105A5291"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104,432.67</w:t>
            </w:r>
          </w:p>
        </w:tc>
        <w:tc>
          <w:tcPr>
            <w:tcW w:w="679" w:type="pct"/>
            <w:shd w:val="solid" w:color="FFFFFF" w:fill="FFFFFF"/>
            <w:vAlign w:val="center"/>
          </w:tcPr>
          <w:p w14:paraId="741E3574"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r>
    </w:tbl>
    <w:p w14:paraId="77358A94"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2023</w:t>
      </w:r>
      <w:r w:rsidRPr="00DA3766">
        <w:rPr>
          <w:rFonts w:ascii="Times New Roman" w:hAnsi="Times New Roman" w:cs="Times New Roman"/>
        </w:rPr>
        <w:t>年末、</w:t>
      </w:r>
      <w:r w:rsidRPr="00DA3766">
        <w:rPr>
          <w:rFonts w:ascii="Times New Roman" w:hAnsi="Times New Roman" w:cs="Times New Roman"/>
        </w:rPr>
        <w:t>2024</w:t>
      </w:r>
      <w:r w:rsidRPr="00DA3766">
        <w:rPr>
          <w:rFonts w:ascii="Times New Roman" w:hAnsi="Times New Roman" w:cs="Times New Roman"/>
        </w:rPr>
        <w:t>年末、</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月末，上市公司资产总额分别为</w:t>
      </w:r>
      <w:r w:rsidRPr="00DA3766">
        <w:rPr>
          <w:rFonts w:ascii="Times New Roman" w:hAnsi="Times New Roman" w:cs="Times New Roman"/>
        </w:rPr>
        <w:t>104,432.67</w:t>
      </w:r>
      <w:r w:rsidRPr="00DA3766">
        <w:rPr>
          <w:rFonts w:ascii="Times New Roman" w:hAnsi="Times New Roman" w:cs="Times New Roman"/>
        </w:rPr>
        <w:t>万元、</w:t>
      </w:r>
      <w:r w:rsidRPr="00DA3766">
        <w:rPr>
          <w:rFonts w:ascii="Times New Roman" w:hAnsi="Times New Roman" w:cs="Times New Roman"/>
        </w:rPr>
        <w:t>133,376.68</w:t>
      </w:r>
      <w:r w:rsidRPr="00DA3766">
        <w:rPr>
          <w:rFonts w:ascii="Times New Roman" w:hAnsi="Times New Roman" w:cs="Times New Roman"/>
        </w:rPr>
        <w:t>万元、</w:t>
      </w:r>
      <w:r w:rsidRPr="00DA3766">
        <w:rPr>
          <w:rFonts w:ascii="Times New Roman" w:hAnsi="Times New Roman" w:cs="Times New Roman"/>
        </w:rPr>
        <w:t>150,303.40</w:t>
      </w:r>
      <w:r w:rsidRPr="00DA3766">
        <w:rPr>
          <w:rFonts w:ascii="Times New Roman" w:hAnsi="Times New Roman" w:cs="Times New Roman"/>
        </w:rPr>
        <w:t>万元，上市公司资产总额呈现稳步增长趋势。各期末流动资产总额分别为</w:t>
      </w:r>
      <w:r w:rsidRPr="00DA3766">
        <w:rPr>
          <w:rFonts w:ascii="Times New Roman" w:hAnsi="Times New Roman" w:cs="Times New Roman"/>
        </w:rPr>
        <w:t>92,138.17</w:t>
      </w:r>
      <w:r w:rsidRPr="00DA3766">
        <w:rPr>
          <w:rFonts w:ascii="Times New Roman" w:hAnsi="Times New Roman" w:cs="Times New Roman"/>
        </w:rPr>
        <w:t>万元、</w:t>
      </w:r>
      <w:r w:rsidRPr="00DA3766">
        <w:rPr>
          <w:rFonts w:ascii="Times New Roman" w:hAnsi="Times New Roman" w:cs="Times New Roman"/>
        </w:rPr>
        <w:t>79,705.04</w:t>
      </w:r>
      <w:r w:rsidRPr="00DA3766">
        <w:rPr>
          <w:rFonts w:ascii="Times New Roman" w:hAnsi="Times New Roman" w:cs="Times New Roman"/>
        </w:rPr>
        <w:t>万元、</w:t>
      </w:r>
      <w:r w:rsidRPr="00DA3766">
        <w:rPr>
          <w:rFonts w:ascii="Times New Roman" w:hAnsi="Times New Roman" w:cs="Times New Roman"/>
        </w:rPr>
        <w:t>90,909.98</w:t>
      </w:r>
      <w:r w:rsidRPr="00DA3766">
        <w:rPr>
          <w:rFonts w:ascii="Times New Roman" w:hAnsi="Times New Roman" w:cs="Times New Roman"/>
        </w:rPr>
        <w:t>万元，流动资产占总资产的比例分别为</w:t>
      </w:r>
      <w:r w:rsidRPr="00DA3766">
        <w:rPr>
          <w:rFonts w:ascii="Times New Roman" w:hAnsi="Times New Roman" w:cs="Times New Roman"/>
        </w:rPr>
        <w:t>88.23%</w:t>
      </w:r>
      <w:r w:rsidRPr="00DA3766">
        <w:rPr>
          <w:rFonts w:ascii="Times New Roman" w:hAnsi="Times New Roman" w:cs="Times New Roman"/>
        </w:rPr>
        <w:t>、</w:t>
      </w:r>
      <w:r w:rsidRPr="00DA3766">
        <w:rPr>
          <w:rFonts w:ascii="Times New Roman" w:hAnsi="Times New Roman" w:cs="Times New Roman"/>
        </w:rPr>
        <w:t>59.76%</w:t>
      </w:r>
      <w:r w:rsidRPr="00DA3766">
        <w:rPr>
          <w:rFonts w:ascii="Times New Roman" w:hAnsi="Times New Roman" w:cs="Times New Roman"/>
        </w:rPr>
        <w:t>、</w:t>
      </w:r>
      <w:r w:rsidRPr="00DA3766">
        <w:rPr>
          <w:rFonts w:ascii="Times New Roman" w:hAnsi="Times New Roman" w:cs="Times New Roman"/>
        </w:rPr>
        <w:t>60.48%</w:t>
      </w:r>
      <w:r w:rsidRPr="00DA3766">
        <w:rPr>
          <w:rFonts w:ascii="Times New Roman" w:hAnsi="Times New Roman" w:cs="Times New Roman"/>
        </w:rPr>
        <w:t>，主要由日常经营业务密切相关的资产包括货币资金、应收账款、存货、其他流动资产等构成。</w:t>
      </w:r>
      <w:r w:rsidRPr="00DA3766">
        <w:rPr>
          <w:rFonts w:ascii="Times New Roman" w:hAnsi="Times New Roman" w:cs="Times New Roman"/>
        </w:rPr>
        <w:t>2024</w:t>
      </w:r>
      <w:r w:rsidRPr="00DA3766">
        <w:rPr>
          <w:rFonts w:ascii="Times New Roman" w:hAnsi="Times New Roman" w:cs="Times New Roman"/>
        </w:rPr>
        <w:t>年流动资产下降及非流动资产上升主要系公司拓展新能源业务、算力服务业务，固定资产投入力度加大所致。公司非流动资产主要由长期股权投资、固定资产、其他非流动资产构成。</w:t>
      </w:r>
    </w:p>
    <w:p w14:paraId="5C1244CD"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上市公司负债结构如下表所示：</w:t>
      </w:r>
    </w:p>
    <w:p w14:paraId="43E6622F" w14:textId="77777777" w:rsidR="00381FE3" w:rsidRPr="00DA3766" w:rsidRDefault="00381FE3" w:rsidP="00381FE3">
      <w:pPr>
        <w:keepNext/>
        <w:spacing w:beforeLines="0" w:before="163" w:afterLines="0" w:after="0" w:line="240" w:lineRule="auto"/>
        <w:ind w:firstLineChars="0" w:firstLine="482"/>
        <w:jc w:val="right"/>
        <w:rPr>
          <w:rFonts w:ascii="Times New Roman" w:hAnsi="Times New Roman" w:cs="Times New Roman"/>
          <w:sz w:val="21"/>
          <w:szCs w:val="21"/>
        </w:rPr>
      </w:pPr>
      <w:r w:rsidRPr="00DA3766">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302"/>
        <w:gridCol w:w="1205"/>
        <w:gridCol w:w="1205"/>
        <w:gridCol w:w="1204"/>
        <w:gridCol w:w="1204"/>
        <w:gridCol w:w="1204"/>
        <w:gridCol w:w="1204"/>
      </w:tblGrid>
      <w:tr w:rsidR="00381FE3" w:rsidRPr="00DA3766" w14:paraId="12705007" w14:textId="77777777" w:rsidTr="001076ED">
        <w:trPr>
          <w:trHeight w:val="397"/>
          <w:tblHeader/>
          <w:jc w:val="center"/>
        </w:trPr>
        <w:tc>
          <w:tcPr>
            <w:tcW w:w="763" w:type="pct"/>
            <w:vMerge w:val="restart"/>
            <w:shd w:val="solid" w:color="FFFFFF" w:fill="FFFFFF"/>
            <w:vAlign w:val="center"/>
          </w:tcPr>
          <w:p w14:paraId="78518C9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412" w:type="pct"/>
            <w:gridSpan w:val="2"/>
            <w:shd w:val="solid" w:color="FFFFFF" w:fill="FFFFFF"/>
            <w:vAlign w:val="center"/>
          </w:tcPr>
          <w:p w14:paraId="6B8CB103"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412" w:type="pct"/>
            <w:gridSpan w:val="2"/>
            <w:shd w:val="solid" w:color="FFFFFF" w:fill="FFFFFF"/>
            <w:vAlign w:val="center"/>
          </w:tcPr>
          <w:p w14:paraId="0F6FA6A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412" w:type="pct"/>
            <w:gridSpan w:val="2"/>
            <w:shd w:val="solid" w:color="FFFFFF" w:fill="FFFFFF"/>
            <w:vAlign w:val="center"/>
          </w:tcPr>
          <w:p w14:paraId="4959BB39"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52DE2EAD" w14:textId="77777777" w:rsidTr="001076ED">
        <w:trPr>
          <w:trHeight w:val="397"/>
          <w:tblHeader/>
          <w:jc w:val="center"/>
        </w:trPr>
        <w:tc>
          <w:tcPr>
            <w:tcW w:w="763" w:type="pct"/>
            <w:vMerge/>
            <w:shd w:val="solid" w:color="FFFFFF" w:fill="FFFFFF"/>
            <w:vAlign w:val="center"/>
          </w:tcPr>
          <w:p w14:paraId="79BAD99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06" w:type="pct"/>
            <w:shd w:val="solid" w:color="FFFFFF" w:fill="FFFFFF"/>
            <w:vAlign w:val="center"/>
          </w:tcPr>
          <w:p w14:paraId="103B10F0"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450583F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706" w:type="pct"/>
            <w:shd w:val="solid" w:color="FFFFFF" w:fill="FFFFFF"/>
            <w:vAlign w:val="center"/>
          </w:tcPr>
          <w:p w14:paraId="7FA40D6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53A2A8C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706" w:type="pct"/>
            <w:shd w:val="solid" w:color="FFFFFF" w:fill="FFFFFF"/>
            <w:vAlign w:val="center"/>
          </w:tcPr>
          <w:p w14:paraId="22324A2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7E530B1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r>
      <w:tr w:rsidR="00381FE3" w:rsidRPr="00DA3766" w14:paraId="2DD02E14" w14:textId="77777777" w:rsidTr="001076ED">
        <w:trPr>
          <w:trHeight w:val="397"/>
          <w:jc w:val="center"/>
        </w:trPr>
        <w:tc>
          <w:tcPr>
            <w:tcW w:w="763" w:type="pct"/>
            <w:shd w:val="solid" w:color="FFFFFF" w:fill="FFFFFF"/>
            <w:vAlign w:val="center"/>
          </w:tcPr>
          <w:p w14:paraId="30B18647"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流动负债</w:t>
            </w:r>
          </w:p>
        </w:tc>
        <w:tc>
          <w:tcPr>
            <w:tcW w:w="706" w:type="pct"/>
            <w:shd w:val="solid" w:color="FFFFFF" w:fill="FFFFFF"/>
            <w:vAlign w:val="center"/>
          </w:tcPr>
          <w:p w14:paraId="25792D0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44,556.51</w:t>
            </w:r>
          </w:p>
        </w:tc>
        <w:tc>
          <w:tcPr>
            <w:tcW w:w="706" w:type="pct"/>
            <w:shd w:val="solid" w:color="FFFFFF" w:fill="FFFFFF"/>
            <w:vAlign w:val="center"/>
          </w:tcPr>
          <w:p w14:paraId="34C2551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61.73%</w:t>
            </w:r>
          </w:p>
        </w:tc>
        <w:tc>
          <w:tcPr>
            <w:tcW w:w="706" w:type="pct"/>
            <w:shd w:val="solid" w:color="FFFFFF" w:fill="FFFFFF"/>
            <w:vAlign w:val="center"/>
          </w:tcPr>
          <w:p w14:paraId="1E4644F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50,313.82</w:t>
            </w:r>
          </w:p>
        </w:tc>
        <w:tc>
          <w:tcPr>
            <w:tcW w:w="706" w:type="pct"/>
            <w:shd w:val="solid" w:color="FFFFFF" w:fill="FFFFFF"/>
            <w:vAlign w:val="center"/>
          </w:tcPr>
          <w:p w14:paraId="08D1999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88.68%</w:t>
            </w:r>
          </w:p>
        </w:tc>
        <w:tc>
          <w:tcPr>
            <w:tcW w:w="706" w:type="pct"/>
            <w:shd w:val="solid" w:color="FFFFFF" w:fill="FFFFFF"/>
            <w:vAlign w:val="center"/>
          </w:tcPr>
          <w:p w14:paraId="6BFF17F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bookmarkStart w:id="175" w:name="_Hlk209038653"/>
            <w:r w:rsidRPr="00DA3766">
              <w:rPr>
                <w:rFonts w:ascii="Times New Roman" w:hAnsi="Times New Roman" w:cs="Times New Roman"/>
                <w:color w:val="000000"/>
                <w:sz w:val="21"/>
                <w:szCs w:val="21"/>
              </w:rPr>
              <w:t>19,814.71</w:t>
            </w:r>
            <w:bookmarkEnd w:id="175"/>
          </w:p>
        </w:tc>
        <w:tc>
          <w:tcPr>
            <w:tcW w:w="706" w:type="pct"/>
            <w:shd w:val="solid" w:color="FFFFFF" w:fill="FFFFFF"/>
            <w:vAlign w:val="center"/>
          </w:tcPr>
          <w:p w14:paraId="3447493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95.24%</w:t>
            </w:r>
          </w:p>
        </w:tc>
      </w:tr>
      <w:tr w:rsidR="00381FE3" w:rsidRPr="00DA3766" w14:paraId="0D39DB4F" w14:textId="77777777" w:rsidTr="001076ED">
        <w:trPr>
          <w:trHeight w:val="397"/>
          <w:jc w:val="center"/>
        </w:trPr>
        <w:tc>
          <w:tcPr>
            <w:tcW w:w="763" w:type="pct"/>
            <w:shd w:val="solid" w:color="FFFFFF" w:fill="FFFFFF"/>
            <w:vAlign w:val="center"/>
          </w:tcPr>
          <w:p w14:paraId="2684751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非流动负债</w:t>
            </w:r>
          </w:p>
        </w:tc>
        <w:tc>
          <w:tcPr>
            <w:tcW w:w="706" w:type="pct"/>
            <w:shd w:val="solid" w:color="FFFFFF" w:fill="FFFFFF"/>
            <w:vAlign w:val="center"/>
          </w:tcPr>
          <w:p w14:paraId="428D5D5B"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27,627.93</w:t>
            </w:r>
          </w:p>
        </w:tc>
        <w:tc>
          <w:tcPr>
            <w:tcW w:w="706" w:type="pct"/>
            <w:shd w:val="solid" w:color="FFFFFF" w:fill="FFFFFF"/>
            <w:vAlign w:val="center"/>
          </w:tcPr>
          <w:p w14:paraId="4443500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38.27%</w:t>
            </w:r>
          </w:p>
        </w:tc>
        <w:tc>
          <w:tcPr>
            <w:tcW w:w="706" w:type="pct"/>
            <w:shd w:val="solid" w:color="FFFFFF" w:fill="FFFFFF"/>
            <w:vAlign w:val="center"/>
          </w:tcPr>
          <w:p w14:paraId="656168C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6,421.18</w:t>
            </w:r>
          </w:p>
        </w:tc>
        <w:tc>
          <w:tcPr>
            <w:tcW w:w="706" w:type="pct"/>
            <w:shd w:val="solid" w:color="FFFFFF" w:fill="FFFFFF"/>
            <w:vAlign w:val="center"/>
          </w:tcPr>
          <w:p w14:paraId="64FD13B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11.32%</w:t>
            </w:r>
          </w:p>
        </w:tc>
        <w:tc>
          <w:tcPr>
            <w:tcW w:w="706" w:type="pct"/>
            <w:shd w:val="solid" w:color="FFFFFF" w:fill="FFFFFF"/>
            <w:vAlign w:val="center"/>
          </w:tcPr>
          <w:p w14:paraId="5BE9947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989.99</w:t>
            </w:r>
          </w:p>
        </w:tc>
        <w:tc>
          <w:tcPr>
            <w:tcW w:w="706" w:type="pct"/>
            <w:shd w:val="solid" w:color="FFFFFF" w:fill="FFFFFF"/>
            <w:vAlign w:val="center"/>
          </w:tcPr>
          <w:p w14:paraId="2AF17C4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4.76%</w:t>
            </w:r>
          </w:p>
        </w:tc>
      </w:tr>
      <w:tr w:rsidR="00381FE3" w:rsidRPr="001076ED" w14:paraId="4855820F" w14:textId="77777777" w:rsidTr="001076ED">
        <w:trPr>
          <w:trHeight w:val="397"/>
          <w:jc w:val="center"/>
        </w:trPr>
        <w:tc>
          <w:tcPr>
            <w:tcW w:w="763" w:type="pct"/>
            <w:shd w:val="solid" w:color="FFFFFF" w:fill="FFFFFF"/>
            <w:vAlign w:val="center"/>
          </w:tcPr>
          <w:p w14:paraId="7F9F108E" w14:textId="77777777" w:rsidR="00381FE3" w:rsidRPr="001076ED" w:rsidRDefault="00381FE3"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负债总计</w:t>
            </w:r>
          </w:p>
        </w:tc>
        <w:tc>
          <w:tcPr>
            <w:tcW w:w="706" w:type="pct"/>
            <w:shd w:val="solid" w:color="FFFFFF" w:fill="FFFFFF"/>
            <w:vAlign w:val="center"/>
          </w:tcPr>
          <w:p w14:paraId="144B13E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72,184.44</w:t>
            </w:r>
          </w:p>
        </w:tc>
        <w:tc>
          <w:tcPr>
            <w:tcW w:w="706" w:type="pct"/>
            <w:shd w:val="solid" w:color="FFFFFF" w:fill="FFFFFF"/>
            <w:vAlign w:val="center"/>
          </w:tcPr>
          <w:p w14:paraId="1F46F8DB"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w:t>
            </w:r>
          </w:p>
        </w:tc>
        <w:tc>
          <w:tcPr>
            <w:tcW w:w="706" w:type="pct"/>
            <w:shd w:val="solid" w:color="FFFFFF" w:fill="FFFFFF"/>
            <w:vAlign w:val="center"/>
          </w:tcPr>
          <w:p w14:paraId="00C5BA09"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56,734.99</w:t>
            </w:r>
          </w:p>
        </w:tc>
        <w:tc>
          <w:tcPr>
            <w:tcW w:w="706" w:type="pct"/>
            <w:shd w:val="solid" w:color="FFFFFF" w:fill="FFFFFF"/>
            <w:vAlign w:val="center"/>
          </w:tcPr>
          <w:p w14:paraId="3C7EA1E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c>
          <w:tcPr>
            <w:tcW w:w="706" w:type="pct"/>
            <w:shd w:val="solid" w:color="FFFFFF" w:fill="FFFFFF"/>
            <w:vAlign w:val="center"/>
          </w:tcPr>
          <w:p w14:paraId="611591A0"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20,804.70</w:t>
            </w:r>
          </w:p>
        </w:tc>
        <w:tc>
          <w:tcPr>
            <w:tcW w:w="706" w:type="pct"/>
            <w:shd w:val="solid" w:color="FFFFFF" w:fill="FFFFFF"/>
            <w:vAlign w:val="center"/>
          </w:tcPr>
          <w:p w14:paraId="13809EB7"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r>
    </w:tbl>
    <w:p w14:paraId="136B6067"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2023</w:t>
      </w:r>
      <w:r w:rsidRPr="00DA3766">
        <w:rPr>
          <w:rFonts w:ascii="Times New Roman" w:hAnsi="Times New Roman" w:cs="Times New Roman"/>
        </w:rPr>
        <w:t>年末、</w:t>
      </w:r>
      <w:r w:rsidRPr="00DA3766">
        <w:rPr>
          <w:rFonts w:ascii="Times New Roman" w:hAnsi="Times New Roman" w:cs="Times New Roman"/>
        </w:rPr>
        <w:t>2024</w:t>
      </w:r>
      <w:r w:rsidRPr="00DA3766">
        <w:rPr>
          <w:rFonts w:ascii="Times New Roman" w:hAnsi="Times New Roman" w:cs="Times New Roman"/>
        </w:rPr>
        <w:t>年末、</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月末，上市公司负债总额分别为</w:t>
      </w:r>
      <w:r w:rsidRPr="00DA3766">
        <w:rPr>
          <w:rFonts w:ascii="Times New Roman" w:hAnsi="Times New Roman" w:cs="Times New Roman"/>
        </w:rPr>
        <w:t>20,804.70</w:t>
      </w:r>
      <w:r w:rsidRPr="00DA3766">
        <w:rPr>
          <w:rFonts w:ascii="Times New Roman" w:hAnsi="Times New Roman" w:cs="Times New Roman"/>
        </w:rPr>
        <w:t>万元、</w:t>
      </w:r>
      <w:r w:rsidRPr="00DA3766">
        <w:rPr>
          <w:rFonts w:ascii="Times New Roman" w:hAnsi="Times New Roman" w:cs="Times New Roman"/>
        </w:rPr>
        <w:t>56,734.99</w:t>
      </w:r>
      <w:r w:rsidRPr="00DA3766">
        <w:rPr>
          <w:rFonts w:ascii="Times New Roman" w:hAnsi="Times New Roman" w:cs="Times New Roman"/>
        </w:rPr>
        <w:t>万元、</w:t>
      </w:r>
      <w:r w:rsidRPr="00DA3766">
        <w:rPr>
          <w:rFonts w:ascii="Times New Roman" w:hAnsi="Times New Roman" w:cs="Times New Roman"/>
        </w:rPr>
        <w:t>72,184.44</w:t>
      </w:r>
      <w:r w:rsidRPr="00DA3766">
        <w:rPr>
          <w:rFonts w:ascii="Times New Roman" w:hAnsi="Times New Roman" w:cs="Times New Roman"/>
        </w:rPr>
        <w:t>万元。上市公司负债以流动负债为主，报告期各期末流动负债占比分别为</w:t>
      </w:r>
      <w:r w:rsidRPr="00DA3766">
        <w:rPr>
          <w:rFonts w:ascii="Times New Roman" w:hAnsi="Times New Roman" w:cs="Times New Roman"/>
        </w:rPr>
        <w:t>95.24%</w:t>
      </w:r>
      <w:r w:rsidRPr="00DA3766">
        <w:rPr>
          <w:rFonts w:ascii="Times New Roman" w:hAnsi="Times New Roman" w:cs="Times New Roman"/>
        </w:rPr>
        <w:t>、</w:t>
      </w:r>
      <w:r w:rsidRPr="00DA3766">
        <w:rPr>
          <w:rFonts w:ascii="Times New Roman" w:hAnsi="Times New Roman" w:cs="Times New Roman"/>
        </w:rPr>
        <w:t>88.68%</w:t>
      </w:r>
      <w:r w:rsidRPr="00DA3766">
        <w:rPr>
          <w:rFonts w:ascii="Times New Roman" w:hAnsi="Times New Roman" w:cs="Times New Roman"/>
        </w:rPr>
        <w:t>、</w:t>
      </w:r>
      <w:r w:rsidRPr="00DA3766">
        <w:rPr>
          <w:rFonts w:ascii="Times New Roman" w:hAnsi="Times New Roman" w:cs="Times New Roman"/>
        </w:rPr>
        <w:t>61.73%</w:t>
      </w:r>
      <w:r w:rsidRPr="00DA3766">
        <w:rPr>
          <w:rFonts w:ascii="Times New Roman" w:hAnsi="Times New Roman" w:cs="Times New Roman"/>
        </w:rPr>
        <w:t>。</w:t>
      </w:r>
    </w:p>
    <w:p w14:paraId="195E18ED"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年末，上市公司负债总额较</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年末增加</w:t>
      </w:r>
      <w:r w:rsidRPr="00DA3766">
        <w:rPr>
          <w:rFonts w:ascii="Times New Roman" w:hAnsi="Times New Roman" w:cs="Times New Roman"/>
          <w:kern w:val="2"/>
          <w14:ligatures w14:val="standardContextual"/>
        </w:rPr>
        <w:t>35,930.29</w:t>
      </w:r>
      <w:r w:rsidRPr="00DA3766">
        <w:rPr>
          <w:rFonts w:ascii="Times New Roman" w:hAnsi="Times New Roman" w:cs="Times New Roman"/>
          <w:kern w:val="2"/>
          <w14:ligatures w14:val="standardContextual"/>
        </w:rPr>
        <w:t>万元，增幅</w:t>
      </w:r>
      <w:r w:rsidRPr="00DA3766">
        <w:rPr>
          <w:rFonts w:ascii="Times New Roman" w:hAnsi="Times New Roman" w:cs="Times New Roman"/>
          <w:kern w:val="2"/>
          <w14:ligatures w14:val="standardContextual"/>
        </w:rPr>
        <w:t>172.70%</w:t>
      </w:r>
      <w:r w:rsidRPr="00DA3766">
        <w:rPr>
          <w:rFonts w:ascii="Times New Roman" w:hAnsi="Times New Roman" w:cs="Times New Roman"/>
          <w:kern w:val="2"/>
          <w14:ligatures w14:val="standardContextual"/>
        </w:rPr>
        <w:t>，主要系企业投资建设光伏项目、算力网络集群项目，进行对应的光伏器件以及算力设备采购产生的应付账款增长所致。</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月末负债总额较</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年末增加</w:t>
      </w:r>
      <w:r w:rsidRPr="00DA3766">
        <w:rPr>
          <w:rFonts w:ascii="Times New Roman" w:hAnsi="Times New Roman" w:cs="Times New Roman"/>
          <w:kern w:val="2"/>
          <w14:ligatures w14:val="standardContextual"/>
        </w:rPr>
        <w:t>15,449.45</w:t>
      </w:r>
      <w:r w:rsidRPr="00DA3766">
        <w:rPr>
          <w:rFonts w:ascii="Times New Roman" w:hAnsi="Times New Roman" w:cs="Times New Roman"/>
          <w:kern w:val="2"/>
          <w14:ligatures w14:val="standardContextual"/>
        </w:rPr>
        <w:t>万元，涨幅</w:t>
      </w:r>
      <w:r w:rsidRPr="00DA3766">
        <w:rPr>
          <w:rFonts w:ascii="Times New Roman" w:hAnsi="Times New Roman" w:cs="Times New Roman"/>
          <w:kern w:val="2"/>
          <w14:ligatures w14:val="standardContextual"/>
        </w:rPr>
        <w:t>27.23%</w:t>
      </w:r>
      <w:r w:rsidRPr="00DA3766">
        <w:rPr>
          <w:rFonts w:ascii="Times New Roman" w:hAnsi="Times New Roman" w:cs="Times New Roman"/>
          <w:kern w:val="2"/>
          <w14:ligatures w14:val="standardContextual"/>
        </w:rPr>
        <w:t>，主要系公司长期借款增长导致。</w:t>
      </w:r>
    </w:p>
    <w:p w14:paraId="49EEF6D7"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w:t>
      </w:r>
      <w:bookmarkStart w:id="176" w:name="_Hlk209125674"/>
      <w:r w:rsidRPr="00DA3766">
        <w:rPr>
          <w:rFonts w:ascii="Times New Roman" w:hAnsi="Times New Roman" w:cs="Times New Roman"/>
        </w:rPr>
        <w:t>上市公司有息负债余额为</w:t>
      </w:r>
      <w:r w:rsidRPr="00DA3766">
        <w:rPr>
          <w:rFonts w:ascii="Times New Roman" w:hAnsi="Times New Roman" w:cs="Times New Roman"/>
        </w:rPr>
        <w:t>39,827.76</w:t>
      </w:r>
      <w:r w:rsidRPr="00DA3766">
        <w:rPr>
          <w:rFonts w:ascii="Times New Roman" w:hAnsi="Times New Roman" w:cs="Times New Roman"/>
        </w:rPr>
        <w:t>万元，一年内需偿还的有息负债本息和为</w:t>
      </w:r>
      <w:r w:rsidRPr="00DA3766">
        <w:rPr>
          <w:rFonts w:ascii="Times New Roman" w:hAnsi="Times New Roman" w:cs="Times New Roman"/>
        </w:rPr>
        <w:t>18,334.52</w:t>
      </w:r>
      <w:r w:rsidRPr="00DA3766">
        <w:rPr>
          <w:rFonts w:ascii="Times New Roman" w:hAnsi="Times New Roman" w:cs="Times New Roman"/>
        </w:rPr>
        <w:t>万元</w:t>
      </w:r>
      <w:bookmarkEnd w:id="176"/>
      <w:r w:rsidRPr="00DA3766">
        <w:rPr>
          <w:rFonts w:ascii="Times New Roman" w:hAnsi="Times New Roman" w:cs="Times New Roman"/>
        </w:rPr>
        <w:t>。</w:t>
      </w:r>
    </w:p>
    <w:p w14:paraId="6F807F87"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、偿债能力分析</w:t>
      </w:r>
    </w:p>
    <w:p w14:paraId="2FA94DB0"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报告期各期末，上市公司偿债能力指标如下：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36"/>
        <w:gridCol w:w="2164"/>
        <w:gridCol w:w="2164"/>
        <w:gridCol w:w="2164"/>
      </w:tblGrid>
      <w:tr w:rsidR="00381FE3" w:rsidRPr="00DA3766" w14:paraId="792A65BE" w14:textId="77777777" w:rsidTr="00DA3766">
        <w:trPr>
          <w:trHeight w:val="397"/>
          <w:tblHeader/>
          <w:jc w:val="center"/>
        </w:trPr>
        <w:tc>
          <w:tcPr>
            <w:tcW w:w="1193" w:type="pct"/>
            <w:shd w:val="solid" w:color="FFFFFF" w:fill="FFFFFF"/>
            <w:vAlign w:val="center"/>
          </w:tcPr>
          <w:p w14:paraId="0D16254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269" w:type="pct"/>
            <w:shd w:val="solid" w:color="FFFFFF" w:fill="FFFFFF"/>
            <w:vAlign w:val="center"/>
          </w:tcPr>
          <w:p w14:paraId="25A1653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269" w:type="pct"/>
            <w:shd w:val="solid" w:color="FFFFFF" w:fill="FFFFFF"/>
            <w:vAlign w:val="center"/>
          </w:tcPr>
          <w:p w14:paraId="3BB5E1CD"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269" w:type="pct"/>
            <w:shd w:val="solid" w:color="FFFFFF" w:fill="FFFFFF"/>
            <w:vAlign w:val="center"/>
          </w:tcPr>
          <w:p w14:paraId="4BA44CFD"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22F522AD" w14:textId="77777777" w:rsidTr="00DA3766">
        <w:trPr>
          <w:trHeight w:val="397"/>
          <w:jc w:val="center"/>
        </w:trPr>
        <w:tc>
          <w:tcPr>
            <w:tcW w:w="1193" w:type="pct"/>
            <w:shd w:val="solid" w:color="FFFFFF" w:fill="FFFFFF"/>
            <w:vAlign w:val="center"/>
          </w:tcPr>
          <w:p w14:paraId="6A8E101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流动比率（倍）</w:t>
            </w:r>
          </w:p>
        </w:tc>
        <w:tc>
          <w:tcPr>
            <w:tcW w:w="1269" w:type="pct"/>
            <w:shd w:val="solid" w:color="FFFFFF" w:fill="FFFFFF"/>
            <w:vAlign w:val="center"/>
          </w:tcPr>
          <w:p w14:paraId="670B920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2.04</w:t>
            </w:r>
          </w:p>
        </w:tc>
        <w:tc>
          <w:tcPr>
            <w:tcW w:w="1269" w:type="pct"/>
            <w:shd w:val="solid" w:color="FFFFFF" w:fill="FFFFFF"/>
            <w:vAlign w:val="center"/>
          </w:tcPr>
          <w:p w14:paraId="41EDEA50"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1.58</w:t>
            </w:r>
          </w:p>
        </w:tc>
        <w:tc>
          <w:tcPr>
            <w:tcW w:w="1269" w:type="pct"/>
            <w:shd w:val="solid" w:color="FFFFFF" w:fill="FFFFFF"/>
            <w:vAlign w:val="center"/>
          </w:tcPr>
          <w:p w14:paraId="5F42DBB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w:t>
            </w:r>
          </w:p>
        </w:tc>
      </w:tr>
      <w:tr w:rsidR="00381FE3" w:rsidRPr="00DA3766" w14:paraId="52AD6CAC" w14:textId="77777777" w:rsidTr="00DA3766">
        <w:trPr>
          <w:trHeight w:val="397"/>
          <w:jc w:val="center"/>
        </w:trPr>
        <w:tc>
          <w:tcPr>
            <w:tcW w:w="1193" w:type="pct"/>
            <w:shd w:val="solid" w:color="FFFFFF" w:fill="FFFFFF"/>
            <w:vAlign w:val="center"/>
          </w:tcPr>
          <w:p w14:paraId="31401D17"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速动比率（倍）</w:t>
            </w:r>
          </w:p>
        </w:tc>
        <w:tc>
          <w:tcPr>
            <w:tcW w:w="1269" w:type="pct"/>
            <w:shd w:val="solid" w:color="FFFFFF" w:fill="FFFFFF"/>
            <w:vAlign w:val="center"/>
          </w:tcPr>
          <w:p w14:paraId="03A8D7D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1.69</w:t>
            </w:r>
          </w:p>
        </w:tc>
        <w:tc>
          <w:tcPr>
            <w:tcW w:w="1269" w:type="pct"/>
            <w:shd w:val="solid" w:color="FFFFFF" w:fill="FFFFFF"/>
            <w:vAlign w:val="center"/>
          </w:tcPr>
          <w:p w14:paraId="7F6C4C4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1.42</w:t>
            </w:r>
          </w:p>
        </w:tc>
        <w:tc>
          <w:tcPr>
            <w:tcW w:w="1269" w:type="pct"/>
            <w:shd w:val="solid" w:color="FFFFFF" w:fill="FFFFFF"/>
            <w:vAlign w:val="center"/>
          </w:tcPr>
          <w:p w14:paraId="78B8554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4.46</w:t>
            </w:r>
          </w:p>
        </w:tc>
      </w:tr>
      <w:tr w:rsidR="00381FE3" w:rsidRPr="00DA3766" w14:paraId="36D14B2A" w14:textId="77777777" w:rsidTr="00DA3766">
        <w:trPr>
          <w:trHeight w:val="397"/>
          <w:jc w:val="center"/>
        </w:trPr>
        <w:tc>
          <w:tcPr>
            <w:tcW w:w="1193" w:type="pct"/>
            <w:shd w:val="solid" w:color="FFFFFF" w:fill="FFFFFF"/>
            <w:vAlign w:val="center"/>
          </w:tcPr>
          <w:p w14:paraId="622EEC82"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资产负债率</w:t>
            </w:r>
          </w:p>
        </w:tc>
        <w:tc>
          <w:tcPr>
            <w:tcW w:w="1269" w:type="pct"/>
            <w:shd w:val="solid" w:color="FFFFFF" w:fill="FFFFFF"/>
            <w:vAlign w:val="center"/>
          </w:tcPr>
          <w:p w14:paraId="3D3411E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48.03%</w:t>
            </w:r>
          </w:p>
        </w:tc>
        <w:tc>
          <w:tcPr>
            <w:tcW w:w="1269" w:type="pct"/>
            <w:shd w:val="solid" w:color="FFFFFF" w:fill="FFFFFF"/>
            <w:vAlign w:val="center"/>
          </w:tcPr>
          <w:p w14:paraId="119F296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42.54%</w:t>
            </w:r>
          </w:p>
        </w:tc>
        <w:tc>
          <w:tcPr>
            <w:tcW w:w="1269" w:type="pct"/>
            <w:shd w:val="solid" w:color="FFFFFF" w:fill="FFFFFF"/>
            <w:vAlign w:val="center"/>
          </w:tcPr>
          <w:p w14:paraId="22050D05"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19.92%</w:t>
            </w:r>
          </w:p>
        </w:tc>
      </w:tr>
    </w:tbl>
    <w:p w14:paraId="163D55A3" w14:textId="77777777" w:rsidR="00381FE3" w:rsidRPr="00DA3766" w:rsidRDefault="00381FE3" w:rsidP="00381FE3">
      <w:pPr>
        <w:widowControl w:val="0"/>
        <w:snapToGrid w:val="0"/>
        <w:spacing w:beforeLines="0" w:before="0" w:afterLines="0" w:after="120" w:line="240" w:lineRule="auto"/>
        <w:ind w:firstLine="420"/>
        <w:jc w:val="both"/>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注：速动比率＝（流动资产－存货）</w:t>
      </w:r>
      <w:r w:rsidRPr="00DA3766">
        <w:rPr>
          <w:rFonts w:ascii="Times New Roman" w:hAnsi="Times New Roman" w:cs="Times New Roman"/>
          <w:kern w:val="2"/>
          <w:sz w:val="21"/>
          <w14:ligatures w14:val="standardContextual"/>
        </w:rPr>
        <w:t>/</w:t>
      </w:r>
      <w:r w:rsidRPr="00DA3766">
        <w:rPr>
          <w:rFonts w:ascii="Times New Roman" w:hAnsi="Times New Roman" w:cs="Times New Roman"/>
          <w:kern w:val="2"/>
          <w:sz w:val="21"/>
          <w14:ligatures w14:val="standardContextual"/>
        </w:rPr>
        <w:t>流动负债</w:t>
      </w:r>
    </w:p>
    <w:p w14:paraId="4A0B1DB7"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截至各期末，上市公司流动比率分别为</w:t>
      </w:r>
      <w:r w:rsidRPr="00DA3766">
        <w:rPr>
          <w:rFonts w:ascii="Times New Roman" w:hAnsi="Times New Roman" w:cs="Times New Roman"/>
        </w:rPr>
        <w:t>4.65</w:t>
      </w:r>
      <w:r w:rsidRPr="00DA3766">
        <w:rPr>
          <w:rFonts w:ascii="Times New Roman" w:hAnsi="Times New Roman" w:cs="Times New Roman"/>
        </w:rPr>
        <w:t>、</w:t>
      </w:r>
      <w:r w:rsidRPr="00DA3766">
        <w:rPr>
          <w:rFonts w:ascii="Times New Roman" w:hAnsi="Times New Roman" w:cs="Times New Roman"/>
        </w:rPr>
        <w:t>1.58</w:t>
      </w:r>
      <w:r w:rsidRPr="00DA3766">
        <w:rPr>
          <w:rFonts w:ascii="Times New Roman" w:hAnsi="Times New Roman" w:cs="Times New Roman"/>
        </w:rPr>
        <w:t>、</w:t>
      </w:r>
      <w:r w:rsidRPr="00DA3766">
        <w:rPr>
          <w:rFonts w:ascii="Times New Roman" w:hAnsi="Times New Roman" w:cs="Times New Roman"/>
        </w:rPr>
        <w:t>2.04</w:t>
      </w:r>
      <w:r w:rsidRPr="00DA3766">
        <w:rPr>
          <w:rFonts w:ascii="Times New Roman" w:hAnsi="Times New Roman" w:cs="Times New Roman"/>
        </w:rPr>
        <w:t>；速动比率分别为</w:t>
      </w:r>
      <w:r w:rsidRPr="00DA3766">
        <w:rPr>
          <w:rFonts w:ascii="Times New Roman" w:hAnsi="Times New Roman" w:cs="Times New Roman"/>
        </w:rPr>
        <w:t>4.46</w:t>
      </w:r>
      <w:r w:rsidRPr="00DA3766">
        <w:rPr>
          <w:rFonts w:ascii="Times New Roman" w:hAnsi="Times New Roman" w:cs="Times New Roman"/>
        </w:rPr>
        <w:t>、</w:t>
      </w:r>
      <w:r w:rsidRPr="00DA3766">
        <w:rPr>
          <w:rFonts w:ascii="Times New Roman" w:hAnsi="Times New Roman" w:cs="Times New Roman"/>
        </w:rPr>
        <w:t>1.42</w:t>
      </w:r>
      <w:r w:rsidRPr="00DA3766">
        <w:rPr>
          <w:rFonts w:ascii="Times New Roman" w:hAnsi="Times New Roman" w:cs="Times New Roman"/>
        </w:rPr>
        <w:t>、</w:t>
      </w:r>
      <w:r w:rsidRPr="00DA3766">
        <w:rPr>
          <w:rFonts w:ascii="Times New Roman" w:hAnsi="Times New Roman" w:cs="Times New Roman"/>
        </w:rPr>
        <w:t>1.69</w:t>
      </w:r>
      <w:r w:rsidRPr="00DA3766">
        <w:rPr>
          <w:rFonts w:ascii="Times New Roman" w:hAnsi="Times New Roman" w:cs="Times New Roman"/>
        </w:rPr>
        <w:t>，资产负债率分别为</w:t>
      </w:r>
      <w:r w:rsidRPr="00DA3766">
        <w:rPr>
          <w:rFonts w:ascii="Times New Roman" w:hAnsi="Times New Roman" w:cs="Times New Roman"/>
        </w:rPr>
        <w:t>19.92%</w:t>
      </w:r>
      <w:r w:rsidRPr="00DA3766">
        <w:rPr>
          <w:rFonts w:ascii="Times New Roman" w:hAnsi="Times New Roman" w:cs="Times New Roman"/>
        </w:rPr>
        <w:t>、</w:t>
      </w:r>
      <w:r w:rsidRPr="00DA3766">
        <w:rPr>
          <w:rFonts w:ascii="Times New Roman" w:hAnsi="Times New Roman" w:cs="Times New Roman"/>
        </w:rPr>
        <w:t>42.54%</w:t>
      </w:r>
      <w:r w:rsidRPr="00DA3766">
        <w:rPr>
          <w:rFonts w:ascii="Times New Roman" w:hAnsi="Times New Roman" w:cs="Times New Roman"/>
        </w:rPr>
        <w:t>、</w:t>
      </w:r>
      <w:r w:rsidRPr="00DA3766">
        <w:rPr>
          <w:rFonts w:ascii="Times New Roman" w:hAnsi="Times New Roman" w:cs="Times New Roman"/>
        </w:rPr>
        <w:t>48.03%</w:t>
      </w:r>
      <w:r w:rsidRPr="00DA3766">
        <w:rPr>
          <w:rFonts w:ascii="Times New Roman" w:hAnsi="Times New Roman" w:cs="Times New Roman"/>
        </w:rPr>
        <w:t>。</w:t>
      </w:r>
      <w:r w:rsidRPr="00DA3766">
        <w:rPr>
          <w:rFonts w:ascii="Times New Roman" w:hAnsi="Times New Roman" w:cs="Times New Roman"/>
        </w:rPr>
        <w:t>2023</w:t>
      </w:r>
      <w:r w:rsidRPr="00DA3766">
        <w:rPr>
          <w:rFonts w:ascii="Times New Roman" w:hAnsi="Times New Roman" w:cs="Times New Roman"/>
        </w:rPr>
        <w:t>年末至</w:t>
      </w:r>
      <w:r w:rsidRPr="00DA3766">
        <w:rPr>
          <w:rFonts w:ascii="Times New Roman" w:hAnsi="Times New Roman" w:cs="Times New Roman"/>
        </w:rPr>
        <w:t>2024</w:t>
      </w:r>
      <w:r w:rsidRPr="00DA3766">
        <w:rPr>
          <w:rFonts w:ascii="Times New Roman" w:hAnsi="Times New Roman" w:cs="Times New Roman"/>
        </w:rPr>
        <w:t>年末流动比率和速动比率下降主要系公司开拓新业务，持续投入流动资金导致，而</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月末流动和速动比率上升主要系公司清偿大额应付账款所致。</w:t>
      </w:r>
      <w:r w:rsidRPr="00DA3766">
        <w:rPr>
          <w:rFonts w:ascii="Times New Roman" w:hAnsi="Times New Roman" w:cs="Times New Roman"/>
        </w:rPr>
        <w:t>2024</w:t>
      </w:r>
      <w:r w:rsidRPr="00DA3766">
        <w:rPr>
          <w:rFonts w:ascii="Times New Roman" w:hAnsi="Times New Roman" w:cs="Times New Roman"/>
        </w:rPr>
        <w:t>年，公司资产负债率上升主要系应付账款增长所致。</w:t>
      </w:r>
    </w:p>
    <w:p w14:paraId="277FC49B"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、上市公司现金流状况</w:t>
      </w:r>
    </w:p>
    <w:p w14:paraId="6BA640F4"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上市公司现金流量情况如下表所示：</w:t>
      </w:r>
    </w:p>
    <w:p w14:paraId="6416B7E4" w14:textId="77777777" w:rsidR="00381FE3" w:rsidRPr="00DA3766" w:rsidRDefault="00381FE3" w:rsidP="001076ED">
      <w:pPr>
        <w:pStyle w:val="009"/>
      </w:pPr>
      <w:r w:rsidRPr="00DA3766">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3316"/>
        <w:gridCol w:w="1736"/>
        <w:gridCol w:w="1738"/>
        <w:gridCol w:w="1738"/>
      </w:tblGrid>
      <w:tr w:rsidR="00381FE3" w:rsidRPr="00DA3766" w14:paraId="72E693DD" w14:textId="77777777" w:rsidTr="00DA3766">
        <w:trPr>
          <w:trHeight w:val="397"/>
          <w:tblHeader/>
          <w:jc w:val="center"/>
        </w:trPr>
        <w:tc>
          <w:tcPr>
            <w:tcW w:w="1944" w:type="pct"/>
            <w:shd w:val="solid" w:color="FFFFFF" w:fill="FFFFFF"/>
            <w:vAlign w:val="center"/>
          </w:tcPr>
          <w:p w14:paraId="56998B5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018" w:type="pct"/>
            <w:shd w:val="solid" w:color="FFFFFF" w:fill="FFFFFF"/>
            <w:vAlign w:val="center"/>
          </w:tcPr>
          <w:p w14:paraId="5B84009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1-9</w:t>
            </w:r>
            <w:r w:rsidRPr="00DA3766">
              <w:rPr>
                <w:rFonts w:ascii="Times New Roman" w:hAnsi="Times New Roman" w:cs="Times New Roman"/>
                <w:b/>
                <w:color w:val="000000"/>
                <w:sz w:val="21"/>
                <w:szCs w:val="21"/>
              </w:rPr>
              <w:t>月</w:t>
            </w:r>
          </w:p>
        </w:tc>
        <w:tc>
          <w:tcPr>
            <w:tcW w:w="1019" w:type="pct"/>
            <w:shd w:val="solid" w:color="FFFFFF" w:fill="FFFFFF"/>
            <w:vAlign w:val="center"/>
          </w:tcPr>
          <w:p w14:paraId="7218901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年年度</w:t>
            </w:r>
          </w:p>
        </w:tc>
        <w:tc>
          <w:tcPr>
            <w:tcW w:w="1019" w:type="pct"/>
            <w:shd w:val="solid" w:color="FFFFFF" w:fill="FFFFFF"/>
            <w:vAlign w:val="center"/>
          </w:tcPr>
          <w:p w14:paraId="335C3193"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381FE3" w:rsidRPr="00DA3766" w14:paraId="4B072D7C" w14:textId="77777777" w:rsidTr="00DA3766">
        <w:trPr>
          <w:trHeight w:val="397"/>
          <w:jc w:val="center"/>
        </w:trPr>
        <w:tc>
          <w:tcPr>
            <w:tcW w:w="1944" w:type="pct"/>
            <w:shd w:val="solid" w:color="FFFFFF" w:fill="FFFFFF"/>
            <w:vAlign w:val="center"/>
          </w:tcPr>
          <w:p w14:paraId="12C37FB9"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一、经营活动产生的现金流量：</w:t>
            </w:r>
          </w:p>
        </w:tc>
        <w:tc>
          <w:tcPr>
            <w:tcW w:w="1018" w:type="pct"/>
            <w:shd w:val="solid" w:color="FFFFFF" w:fill="FFFFFF"/>
            <w:vAlign w:val="center"/>
          </w:tcPr>
          <w:p w14:paraId="71078830"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49008B2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34E8335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7BBE8628" w14:textId="77777777" w:rsidTr="00DA3766">
        <w:trPr>
          <w:trHeight w:val="397"/>
          <w:jc w:val="center"/>
        </w:trPr>
        <w:tc>
          <w:tcPr>
            <w:tcW w:w="1944" w:type="pct"/>
            <w:shd w:val="solid" w:color="FFFFFF" w:fill="FFFFFF"/>
            <w:vAlign w:val="center"/>
          </w:tcPr>
          <w:p w14:paraId="6D68B87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经营活动现金流入小计</w:t>
            </w:r>
          </w:p>
        </w:tc>
        <w:tc>
          <w:tcPr>
            <w:tcW w:w="1018" w:type="pct"/>
            <w:shd w:val="solid" w:color="FFFFFF" w:fill="FFFFFF"/>
            <w:vAlign w:val="center"/>
          </w:tcPr>
          <w:p w14:paraId="6578FBC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29,154.73</w:t>
            </w:r>
          </w:p>
        </w:tc>
        <w:tc>
          <w:tcPr>
            <w:tcW w:w="1019" w:type="pct"/>
            <w:shd w:val="solid" w:color="FFFFFF" w:fill="FFFFFF"/>
            <w:vAlign w:val="center"/>
          </w:tcPr>
          <w:p w14:paraId="6D5FDFA0"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32,419.40</w:t>
            </w:r>
          </w:p>
        </w:tc>
        <w:tc>
          <w:tcPr>
            <w:tcW w:w="1019" w:type="pct"/>
            <w:shd w:val="solid" w:color="FFFFFF" w:fill="FFFFFF"/>
            <w:vAlign w:val="center"/>
          </w:tcPr>
          <w:p w14:paraId="1212F14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47,388.73</w:t>
            </w:r>
          </w:p>
        </w:tc>
      </w:tr>
      <w:tr w:rsidR="00381FE3" w:rsidRPr="00DA3766" w14:paraId="197E52CD" w14:textId="77777777" w:rsidTr="00DA3766">
        <w:trPr>
          <w:trHeight w:val="397"/>
          <w:jc w:val="center"/>
        </w:trPr>
        <w:tc>
          <w:tcPr>
            <w:tcW w:w="1944" w:type="pct"/>
            <w:shd w:val="solid" w:color="FFFFFF" w:fill="FFFFFF"/>
            <w:vAlign w:val="center"/>
          </w:tcPr>
          <w:p w14:paraId="572D9F2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经营活动现金流出小计</w:t>
            </w:r>
          </w:p>
        </w:tc>
        <w:tc>
          <w:tcPr>
            <w:tcW w:w="1018" w:type="pct"/>
            <w:shd w:val="solid" w:color="FFFFFF" w:fill="FFFFFF"/>
            <w:vAlign w:val="center"/>
          </w:tcPr>
          <w:p w14:paraId="0C40318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29,414.60</w:t>
            </w:r>
          </w:p>
        </w:tc>
        <w:tc>
          <w:tcPr>
            <w:tcW w:w="1019" w:type="pct"/>
            <w:shd w:val="solid" w:color="FFFFFF" w:fill="FFFFFF"/>
            <w:vAlign w:val="center"/>
          </w:tcPr>
          <w:p w14:paraId="15B8DA0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37,843.35</w:t>
            </w:r>
          </w:p>
        </w:tc>
        <w:tc>
          <w:tcPr>
            <w:tcW w:w="1019" w:type="pct"/>
            <w:shd w:val="solid" w:color="FFFFFF" w:fill="FFFFFF"/>
            <w:vAlign w:val="center"/>
          </w:tcPr>
          <w:p w14:paraId="6F909A5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46,550.66</w:t>
            </w:r>
          </w:p>
        </w:tc>
      </w:tr>
      <w:tr w:rsidR="00381FE3" w:rsidRPr="00DA3766" w14:paraId="09618606" w14:textId="77777777" w:rsidTr="00DA3766">
        <w:trPr>
          <w:trHeight w:val="397"/>
          <w:jc w:val="center"/>
        </w:trPr>
        <w:tc>
          <w:tcPr>
            <w:tcW w:w="1944" w:type="pct"/>
            <w:shd w:val="solid" w:color="FFFFFF" w:fill="FFFFFF"/>
            <w:vAlign w:val="center"/>
          </w:tcPr>
          <w:p w14:paraId="1E3B4FB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经营活动产生的现金流量净额</w:t>
            </w:r>
          </w:p>
        </w:tc>
        <w:tc>
          <w:tcPr>
            <w:tcW w:w="1018" w:type="pct"/>
            <w:shd w:val="solid" w:color="FFFFFF" w:fill="FFFFFF"/>
            <w:vAlign w:val="center"/>
          </w:tcPr>
          <w:p w14:paraId="646E507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-259.87</w:t>
            </w:r>
          </w:p>
        </w:tc>
        <w:tc>
          <w:tcPr>
            <w:tcW w:w="1019" w:type="pct"/>
            <w:shd w:val="solid" w:color="FFFFFF" w:fill="FFFFFF"/>
            <w:vAlign w:val="center"/>
          </w:tcPr>
          <w:p w14:paraId="77119A0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-5,423.95</w:t>
            </w:r>
          </w:p>
        </w:tc>
        <w:tc>
          <w:tcPr>
            <w:tcW w:w="1019" w:type="pct"/>
            <w:shd w:val="solid" w:color="FFFFFF" w:fill="FFFFFF"/>
            <w:vAlign w:val="center"/>
          </w:tcPr>
          <w:p w14:paraId="794FE71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838.07</w:t>
            </w:r>
          </w:p>
        </w:tc>
      </w:tr>
      <w:tr w:rsidR="00381FE3" w:rsidRPr="00DA3766" w14:paraId="0E496306" w14:textId="77777777" w:rsidTr="00DA3766">
        <w:trPr>
          <w:trHeight w:val="397"/>
          <w:jc w:val="center"/>
        </w:trPr>
        <w:tc>
          <w:tcPr>
            <w:tcW w:w="1944" w:type="pct"/>
            <w:shd w:val="solid" w:color="FFFFFF" w:fill="FFFFFF"/>
            <w:vAlign w:val="center"/>
          </w:tcPr>
          <w:p w14:paraId="7D5F42D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二、投资活动产生的现金流量：</w:t>
            </w:r>
          </w:p>
        </w:tc>
        <w:tc>
          <w:tcPr>
            <w:tcW w:w="1018" w:type="pct"/>
            <w:shd w:val="solid" w:color="FFFFFF" w:fill="FFFFFF"/>
            <w:vAlign w:val="center"/>
          </w:tcPr>
          <w:p w14:paraId="4A94D1F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4A485EED"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556E94A5"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51944D20" w14:textId="77777777" w:rsidTr="00DA3766">
        <w:trPr>
          <w:trHeight w:val="397"/>
          <w:jc w:val="center"/>
        </w:trPr>
        <w:tc>
          <w:tcPr>
            <w:tcW w:w="1944" w:type="pct"/>
            <w:shd w:val="solid" w:color="FFFFFF" w:fill="FFFFFF"/>
            <w:vAlign w:val="center"/>
          </w:tcPr>
          <w:p w14:paraId="306891E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投资活动现金流入小计</w:t>
            </w:r>
          </w:p>
        </w:tc>
        <w:tc>
          <w:tcPr>
            <w:tcW w:w="1018" w:type="pct"/>
            <w:shd w:val="solid" w:color="FFFFFF" w:fill="FFFFFF"/>
            <w:vAlign w:val="center"/>
          </w:tcPr>
          <w:p w14:paraId="36B32C8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6,062.50</w:t>
            </w:r>
          </w:p>
        </w:tc>
        <w:tc>
          <w:tcPr>
            <w:tcW w:w="1019" w:type="pct"/>
            <w:shd w:val="solid" w:color="FFFFFF" w:fill="FFFFFF"/>
            <w:vAlign w:val="center"/>
          </w:tcPr>
          <w:p w14:paraId="12BF30E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55,103.45</w:t>
            </w:r>
          </w:p>
        </w:tc>
        <w:tc>
          <w:tcPr>
            <w:tcW w:w="1019" w:type="pct"/>
            <w:shd w:val="solid" w:color="FFFFFF" w:fill="FFFFFF"/>
            <w:vAlign w:val="center"/>
          </w:tcPr>
          <w:p w14:paraId="4BC4A25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29,557.78</w:t>
            </w:r>
          </w:p>
        </w:tc>
      </w:tr>
      <w:tr w:rsidR="00381FE3" w:rsidRPr="00DA3766" w14:paraId="65E14AC9" w14:textId="77777777" w:rsidTr="00DA3766">
        <w:trPr>
          <w:trHeight w:val="397"/>
          <w:jc w:val="center"/>
        </w:trPr>
        <w:tc>
          <w:tcPr>
            <w:tcW w:w="1944" w:type="pct"/>
            <w:shd w:val="solid" w:color="FFFFFF" w:fill="FFFFFF"/>
            <w:vAlign w:val="center"/>
          </w:tcPr>
          <w:p w14:paraId="415FB1F2"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投资活动现金流出小计</w:t>
            </w:r>
          </w:p>
        </w:tc>
        <w:tc>
          <w:tcPr>
            <w:tcW w:w="1018" w:type="pct"/>
            <w:shd w:val="solid" w:color="FFFFFF" w:fill="FFFFFF"/>
            <w:vAlign w:val="center"/>
          </w:tcPr>
          <w:p w14:paraId="0F3A6B4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44,087.92</w:t>
            </w:r>
          </w:p>
        </w:tc>
        <w:tc>
          <w:tcPr>
            <w:tcW w:w="1019" w:type="pct"/>
            <w:shd w:val="solid" w:color="FFFFFF" w:fill="FFFFFF"/>
            <w:vAlign w:val="center"/>
          </w:tcPr>
          <w:p w14:paraId="4F325EE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49,753.49</w:t>
            </w:r>
          </w:p>
        </w:tc>
        <w:tc>
          <w:tcPr>
            <w:tcW w:w="1019" w:type="pct"/>
            <w:shd w:val="solid" w:color="FFFFFF" w:fill="FFFFFF"/>
            <w:vAlign w:val="center"/>
          </w:tcPr>
          <w:p w14:paraId="5A6EC0A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64,375.95</w:t>
            </w:r>
          </w:p>
        </w:tc>
      </w:tr>
      <w:tr w:rsidR="00381FE3" w:rsidRPr="00DA3766" w14:paraId="727E0863" w14:textId="77777777" w:rsidTr="00DA3766">
        <w:trPr>
          <w:trHeight w:val="397"/>
          <w:jc w:val="center"/>
        </w:trPr>
        <w:tc>
          <w:tcPr>
            <w:tcW w:w="1944" w:type="pct"/>
            <w:shd w:val="solid" w:color="FFFFFF" w:fill="FFFFFF"/>
            <w:vAlign w:val="center"/>
          </w:tcPr>
          <w:p w14:paraId="0EFF00D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投资活动产生的现金流量净额</w:t>
            </w:r>
          </w:p>
        </w:tc>
        <w:tc>
          <w:tcPr>
            <w:tcW w:w="1018" w:type="pct"/>
            <w:shd w:val="solid" w:color="FFFFFF" w:fill="FFFFFF"/>
            <w:vAlign w:val="center"/>
          </w:tcPr>
          <w:p w14:paraId="67D05A0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-38,025.42</w:t>
            </w:r>
          </w:p>
        </w:tc>
        <w:tc>
          <w:tcPr>
            <w:tcW w:w="1019" w:type="pct"/>
            <w:shd w:val="solid" w:color="FFFFFF" w:fill="FFFFFF"/>
            <w:vAlign w:val="center"/>
          </w:tcPr>
          <w:p w14:paraId="3F1A862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5,349.96</w:t>
            </w:r>
          </w:p>
        </w:tc>
        <w:tc>
          <w:tcPr>
            <w:tcW w:w="1019" w:type="pct"/>
            <w:shd w:val="solid" w:color="FFFFFF" w:fill="FFFFFF"/>
            <w:vAlign w:val="center"/>
          </w:tcPr>
          <w:p w14:paraId="779A38B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-34,818.17</w:t>
            </w:r>
          </w:p>
        </w:tc>
      </w:tr>
      <w:tr w:rsidR="00381FE3" w:rsidRPr="00DA3766" w14:paraId="6FD785CF" w14:textId="77777777" w:rsidTr="00DA3766">
        <w:trPr>
          <w:trHeight w:val="397"/>
          <w:jc w:val="center"/>
        </w:trPr>
        <w:tc>
          <w:tcPr>
            <w:tcW w:w="1944" w:type="pct"/>
            <w:shd w:val="solid" w:color="FFFFFF" w:fill="FFFFFF"/>
            <w:vAlign w:val="center"/>
          </w:tcPr>
          <w:p w14:paraId="6814A464"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三、筹资活动产生的现金流量：</w:t>
            </w:r>
          </w:p>
        </w:tc>
        <w:tc>
          <w:tcPr>
            <w:tcW w:w="1018" w:type="pct"/>
            <w:shd w:val="solid" w:color="FFFFFF" w:fill="FFFFFF"/>
            <w:vAlign w:val="center"/>
          </w:tcPr>
          <w:p w14:paraId="7AF375D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68FD311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54522EB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12B9AA85" w14:textId="77777777" w:rsidTr="00DA3766">
        <w:trPr>
          <w:trHeight w:val="397"/>
          <w:jc w:val="center"/>
        </w:trPr>
        <w:tc>
          <w:tcPr>
            <w:tcW w:w="1944" w:type="pct"/>
            <w:shd w:val="solid" w:color="FFFFFF" w:fill="FFFFFF"/>
            <w:vAlign w:val="center"/>
          </w:tcPr>
          <w:p w14:paraId="3A355A2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筹资活动现金流入小计</w:t>
            </w:r>
          </w:p>
        </w:tc>
        <w:tc>
          <w:tcPr>
            <w:tcW w:w="1018" w:type="pct"/>
            <w:shd w:val="solid" w:color="FFFFFF" w:fill="FFFFFF"/>
            <w:vAlign w:val="center"/>
          </w:tcPr>
          <w:p w14:paraId="2BD038B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42,137.28</w:t>
            </w:r>
          </w:p>
        </w:tc>
        <w:tc>
          <w:tcPr>
            <w:tcW w:w="1019" w:type="pct"/>
            <w:shd w:val="solid" w:color="FFFFFF" w:fill="FFFFFF"/>
            <w:vAlign w:val="center"/>
          </w:tcPr>
          <w:p w14:paraId="6E1BFD25"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16,333.95</w:t>
            </w:r>
          </w:p>
        </w:tc>
        <w:tc>
          <w:tcPr>
            <w:tcW w:w="1019" w:type="pct"/>
            <w:shd w:val="solid" w:color="FFFFFF" w:fill="FFFFFF"/>
            <w:vAlign w:val="center"/>
          </w:tcPr>
          <w:p w14:paraId="42CB77A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16,346.21</w:t>
            </w:r>
          </w:p>
        </w:tc>
      </w:tr>
      <w:tr w:rsidR="00381FE3" w:rsidRPr="00DA3766" w14:paraId="081B2F57" w14:textId="77777777" w:rsidTr="00DA3766">
        <w:trPr>
          <w:trHeight w:val="397"/>
          <w:jc w:val="center"/>
        </w:trPr>
        <w:tc>
          <w:tcPr>
            <w:tcW w:w="1944" w:type="pct"/>
            <w:shd w:val="solid" w:color="FFFFFF" w:fill="FFFFFF"/>
            <w:vAlign w:val="center"/>
          </w:tcPr>
          <w:p w14:paraId="77CF5EE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筹资活动现金流出小计</w:t>
            </w:r>
          </w:p>
        </w:tc>
        <w:tc>
          <w:tcPr>
            <w:tcW w:w="1018" w:type="pct"/>
            <w:shd w:val="solid" w:color="FFFFFF" w:fill="FFFFFF"/>
            <w:vAlign w:val="center"/>
          </w:tcPr>
          <w:p w14:paraId="69795CD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9,947.60</w:t>
            </w:r>
          </w:p>
        </w:tc>
        <w:tc>
          <w:tcPr>
            <w:tcW w:w="1019" w:type="pct"/>
            <w:shd w:val="solid" w:color="FFFFFF" w:fill="FFFFFF"/>
            <w:vAlign w:val="center"/>
          </w:tcPr>
          <w:p w14:paraId="6FEAE37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10,550.07</w:t>
            </w:r>
          </w:p>
        </w:tc>
        <w:tc>
          <w:tcPr>
            <w:tcW w:w="1019" w:type="pct"/>
            <w:shd w:val="solid" w:color="FFFFFF" w:fill="FFFFFF"/>
            <w:vAlign w:val="center"/>
          </w:tcPr>
          <w:p w14:paraId="2124494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16,260.36</w:t>
            </w:r>
          </w:p>
        </w:tc>
      </w:tr>
      <w:tr w:rsidR="00381FE3" w:rsidRPr="00DA3766" w14:paraId="56DC58D1" w14:textId="77777777" w:rsidTr="00DA3766">
        <w:trPr>
          <w:trHeight w:val="397"/>
          <w:jc w:val="center"/>
        </w:trPr>
        <w:tc>
          <w:tcPr>
            <w:tcW w:w="1944" w:type="pct"/>
            <w:shd w:val="solid" w:color="FFFFFF" w:fill="FFFFFF"/>
            <w:vAlign w:val="center"/>
          </w:tcPr>
          <w:p w14:paraId="15F3BF3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筹资活动产生的现金流量净额</w:t>
            </w:r>
          </w:p>
        </w:tc>
        <w:tc>
          <w:tcPr>
            <w:tcW w:w="1018" w:type="pct"/>
            <w:shd w:val="solid" w:color="FFFFFF" w:fill="FFFFFF"/>
            <w:vAlign w:val="center"/>
          </w:tcPr>
          <w:p w14:paraId="42FBC46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32,189.69</w:t>
            </w:r>
          </w:p>
        </w:tc>
        <w:tc>
          <w:tcPr>
            <w:tcW w:w="1019" w:type="pct"/>
            <w:shd w:val="solid" w:color="FFFFFF" w:fill="FFFFFF"/>
            <w:vAlign w:val="center"/>
          </w:tcPr>
          <w:p w14:paraId="4FAA5CF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5,783.88</w:t>
            </w:r>
          </w:p>
        </w:tc>
        <w:tc>
          <w:tcPr>
            <w:tcW w:w="1019" w:type="pct"/>
            <w:shd w:val="solid" w:color="FFFFFF" w:fill="FFFFFF"/>
            <w:vAlign w:val="center"/>
          </w:tcPr>
          <w:p w14:paraId="55BD366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85.85</w:t>
            </w:r>
          </w:p>
        </w:tc>
      </w:tr>
    </w:tbl>
    <w:p w14:paraId="5E48367F"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1-9</w:t>
      </w:r>
      <w:r w:rsidRPr="00DA3766">
        <w:rPr>
          <w:rFonts w:ascii="Times New Roman" w:hAnsi="Times New Roman" w:cs="Times New Roman"/>
        </w:rPr>
        <w:t>月，上市公司经营活动产生的现金流量净额分别为</w:t>
      </w:r>
      <w:r w:rsidRPr="00DA3766">
        <w:rPr>
          <w:rFonts w:ascii="Times New Roman" w:hAnsi="Times New Roman" w:cs="Times New Roman"/>
        </w:rPr>
        <w:t>838.07</w:t>
      </w:r>
      <w:r w:rsidRPr="00DA3766">
        <w:rPr>
          <w:rFonts w:ascii="Times New Roman" w:hAnsi="Times New Roman" w:cs="Times New Roman"/>
        </w:rPr>
        <w:t>万元、</w:t>
      </w:r>
      <w:r w:rsidRPr="00DA3766">
        <w:rPr>
          <w:rFonts w:ascii="Times New Roman" w:hAnsi="Times New Roman" w:cs="Times New Roman"/>
        </w:rPr>
        <w:t>-5,423.95</w:t>
      </w:r>
      <w:r w:rsidRPr="00DA3766">
        <w:rPr>
          <w:rFonts w:ascii="Times New Roman" w:hAnsi="Times New Roman" w:cs="Times New Roman"/>
        </w:rPr>
        <w:t>万元、</w:t>
      </w:r>
      <w:r w:rsidRPr="00DA3766">
        <w:rPr>
          <w:rFonts w:ascii="Times New Roman" w:hAnsi="Times New Roman" w:cs="Times New Roman"/>
        </w:rPr>
        <w:t>-259.87</w:t>
      </w:r>
      <w:r w:rsidRPr="00DA3766">
        <w:rPr>
          <w:rFonts w:ascii="Times New Roman" w:hAnsi="Times New Roman" w:cs="Times New Roman"/>
        </w:rPr>
        <w:t>万元，投资活动产生的现金流量净额分别</w:t>
      </w:r>
      <w:r w:rsidRPr="00DA3766">
        <w:rPr>
          <w:rFonts w:ascii="Times New Roman" w:hAnsi="Times New Roman" w:cs="Times New Roman"/>
        </w:rPr>
        <w:t>-34,818.17</w:t>
      </w:r>
      <w:r w:rsidRPr="00DA3766">
        <w:rPr>
          <w:rFonts w:ascii="Times New Roman" w:hAnsi="Times New Roman" w:cs="Times New Roman"/>
        </w:rPr>
        <w:t>万元、</w:t>
      </w:r>
      <w:r w:rsidRPr="00DA3766">
        <w:rPr>
          <w:rFonts w:ascii="Times New Roman" w:hAnsi="Times New Roman" w:cs="Times New Roman"/>
        </w:rPr>
        <w:t>5,349.96</w:t>
      </w:r>
      <w:r w:rsidRPr="00DA3766">
        <w:rPr>
          <w:rFonts w:ascii="Times New Roman" w:hAnsi="Times New Roman" w:cs="Times New Roman"/>
        </w:rPr>
        <w:t>万元、</w:t>
      </w:r>
      <w:r w:rsidRPr="00DA3766">
        <w:rPr>
          <w:rFonts w:ascii="Times New Roman" w:hAnsi="Times New Roman" w:cs="Times New Roman"/>
        </w:rPr>
        <w:t>-38,025.42</w:t>
      </w:r>
      <w:r w:rsidRPr="00DA3766">
        <w:rPr>
          <w:rFonts w:ascii="Times New Roman" w:hAnsi="Times New Roman" w:cs="Times New Roman"/>
        </w:rPr>
        <w:t>万元，筹资活动产生的现金流量净额分别为</w:t>
      </w:r>
      <w:r w:rsidRPr="00DA3766">
        <w:rPr>
          <w:rFonts w:ascii="Times New Roman" w:hAnsi="Times New Roman" w:cs="Times New Roman"/>
        </w:rPr>
        <w:t>85.85</w:t>
      </w:r>
      <w:r w:rsidRPr="00DA3766">
        <w:rPr>
          <w:rFonts w:ascii="Times New Roman" w:hAnsi="Times New Roman" w:cs="Times New Roman"/>
        </w:rPr>
        <w:t>万元、</w:t>
      </w:r>
      <w:r w:rsidRPr="00DA3766">
        <w:rPr>
          <w:rFonts w:ascii="Times New Roman" w:hAnsi="Times New Roman" w:cs="Times New Roman"/>
        </w:rPr>
        <w:t>5,783.88</w:t>
      </w:r>
      <w:r w:rsidRPr="00DA3766">
        <w:rPr>
          <w:rFonts w:ascii="Times New Roman" w:hAnsi="Times New Roman" w:cs="Times New Roman"/>
        </w:rPr>
        <w:t>万元、</w:t>
      </w:r>
      <w:r w:rsidRPr="00DA3766">
        <w:rPr>
          <w:rFonts w:ascii="Times New Roman" w:hAnsi="Times New Roman" w:cs="Times New Roman"/>
        </w:rPr>
        <w:t>32,189.69</w:t>
      </w:r>
      <w:r w:rsidRPr="00DA3766">
        <w:rPr>
          <w:rFonts w:ascii="Times New Roman" w:hAnsi="Times New Roman" w:cs="Times New Roman"/>
        </w:rPr>
        <w:t>万元。</w:t>
      </w:r>
    </w:p>
    <w:p w14:paraId="135F878C"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其中，</w:t>
      </w:r>
      <w:r w:rsidRPr="00DA3766">
        <w:rPr>
          <w:rFonts w:ascii="Times New Roman" w:hAnsi="Times New Roman" w:cs="Times New Roman"/>
        </w:rPr>
        <w:t>2024</w:t>
      </w:r>
      <w:r w:rsidRPr="00DA3766">
        <w:rPr>
          <w:rFonts w:ascii="Times New Roman" w:hAnsi="Times New Roman" w:cs="Times New Roman"/>
        </w:rPr>
        <w:t>年度经营活动现金流净额较</w:t>
      </w:r>
      <w:r w:rsidRPr="00DA3766">
        <w:rPr>
          <w:rFonts w:ascii="Times New Roman" w:hAnsi="Times New Roman" w:cs="Times New Roman"/>
        </w:rPr>
        <w:t>2023</w:t>
      </w:r>
      <w:r w:rsidRPr="00DA3766">
        <w:rPr>
          <w:rFonts w:ascii="Times New Roman" w:hAnsi="Times New Roman" w:cs="Times New Roman"/>
        </w:rPr>
        <w:t>年度大幅下降主要系地方客户财政资金预算不足，回款不足所致。投资活动现金流净额较</w:t>
      </w:r>
      <w:r w:rsidRPr="00DA3766">
        <w:rPr>
          <w:rFonts w:ascii="Times New Roman" w:hAnsi="Times New Roman" w:cs="Times New Roman"/>
        </w:rPr>
        <w:t>2023</w:t>
      </w:r>
      <w:r w:rsidRPr="00DA3766">
        <w:rPr>
          <w:rFonts w:ascii="Times New Roman" w:hAnsi="Times New Roman" w:cs="Times New Roman"/>
        </w:rPr>
        <w:t>年度存在显著差异主要系闲置资金定期存款到期收回，闲置资金投资减少所致。筹资活动现金流净额较</w:t>
      </w:r>
      <w:r w:rsidRPr="00DA3766">
        <w:rPr>
          <w:rFonts w:ascii="Times New Roman" w:hAnsi="Times New Roman" w:cs="Times New Roman"/>
        </w:rPr>
        <w:t>2023</w:t>
      </w:r>
      <w:r w:rsidRPr="00DA3766">
        <w:rPr>
          <w:rFonts w:ascii="Times New Roman" w:hAnsi="Times New Roman" w:cs="Times New Roman"/>
        </w:rPr>
        <w:t>年度大幅上升主要系新能源光伏项目建设的需要，金融杠杆融资有所增加所致。</w:t>
      </w:r>
    </w:p>
    <w:p w14:paraId="52DFBE6E"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随着上市公司销售规模逐年增长，为满足日常生产经营需要，上市公司每年需要一定金额的营运资金。</w:t>
      </w:r>
      <w:r w:rsidRPr="00DA3766">
        <w:rPr>
          <w:rFonts w:ascii="Times New Roman" w:hAnsi="Times New Roman" w:cs="Times New Roman"/>
        </w:rPr>
        <w:t>2023</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月末，上市公司营运资金（流动资产</w:t>
      </w:r>
      <w:r w:rsidRPr="00DA3766">
        <w:rPr>
          <w:rFonts w:ascii="Times New Roman" w:hAnsi="Times New Roman" w:cs="Times New Roman"/>
        </w:rPr>
        <w:t>-</w:t>
      </w:r>
      <w:r w:rsidRPr="00DA3766">
        <w:rPr>
          <w:rFonts w:ascii="Times New Roman" w:hAnsi="Times New Roman" w:cs="Times New Roman"/>
        </w:rPr>
        <w:t>流动负债）分别为</w:t>
      </w:r>
      <w:r w:rsidRPr="00DA3766">
        <w:rPr>
          <w:rFonts w:ascii="Times New Roman" w:hAnsi="Times New Roman" w:cs="Times New Roman"/>
        </w:rPr>
        <w:t>72,323.47</w:t>
      </w:r>
      <w:r w:rsidRPr="00DA3766">
        <w:rPr>
          <w:rFonts w:ascii="Times New Roman" w:hAnsi="Times New Roman" w:cs="Times New Roman"/>
        </w:rPr>
        <w:t>万元、</w:t>
      </w:r>
      <w:r w:rsidRPr="00DA3766">
        <w:rPr>
          <w:rFonts w:ascii="Times New Roman" w:hAnsi="Times New Roman" w:cs="Times New Roman"/>
        </w:rPr>
        <w:t>29,391.22</w:t>
      </w:r>
      <w:r w:rsidRPr="00DA3766">
        <w:rPr>
          <w:rFonts w:ascii="Times New Roman" w:hAnsi="Times New Roman" w:cs="Times New Roman"/>
        </w:rPr>
        <w:t>万元、</w:t>
      </w:r>
      <w:r w:rsidRPr="00DA3766">
        <w:rPr>
          <w:rFonts w:ascii="Times New Roman" w:hAnsi="Times New Roman" w:cs="Times New Roman"/>
        </w:rPr>
        <w:t>46,353.47</w:t>
      </w:r>
      <w:r w:rsidRPr="00DA3766">
        <w:rPr>
          <w:rFonts w:ascii="Times New Roman" w:hAnsi="Times New Roman" w:cs="Times New Roman"/>
        </w:rPr>
        <w:t>万元。未来随着业务扩张，以及对标的公司收购整合的完成，预计上市公司未来营业收入和资产规模将显著增长，对营运资金的需求亦将增加，上市公司的未来生产经营仍将保有一定的资金需求。</w:t>
      </w:r>
    </w:p>
    <w:p w14:paraId="6C99611E" w14:textId="42DF9042" w:rsidR="00381FE3" w:rsidRPr="00DA3766" w:rsidRDefault="00381FE3" w:rsidP="00635015">
      <w:pPr>
        <w:pStyle w:val="005"/>
        <w:spacing w:before="120" w:after="120"/>
        <w:ind w:firstLine="480"/>
      </w:pPr>
      <w:r w:rsidRPr="00DA3766">
        <w:t>根据上市公司在手订单执行约定及验收周期情况预计</w:t>
      </w:r>
      <w:r w:rsidRPr="00DA3766">
        <w:t>2025</w:t>
      </w:r>
      <w:r w:rsidRPr="00DA3766">
        <w:t>年度及</w:t>
      </w:r>
      <w:r w:rsidRPr="00DA3766">
        <w:t>2026</w:t>
      </w:r>
      <w:r w:rsidRPr="00DA3766">
        <w:t>年度</w:t>
      </w:r>
      <w:r w:rsidRPr="00DA3766">
        <w:lastRenderedPageBreak/>
        <w:t>营业收入，并假定经营性流动资产、经营性流动负债与营业收入的比例测算营运资金需求缺口为</w:t>
      </w:r>
      <w:r w:rsidR="00506CB2" w:rsidRPr="00DA3766">
        <w:t>6,652.75</w:t>
      </w:r>
      <w:r w:rsidRPr="00DA3766">
        <w:t>万元。目前上市公司经营情况良好，融资渠道畅通。目前上市公司经营情况良好，融资渠道畅通。截至</w:t>
      </w:r>
      <w:r w:rsidRPr="00DA3766">
        <w:t>2025</w:t>
      </w:r>
      <w:r w:rsidRPr="00DA3766">
        <w:t>年</w:t>
      </w:r>
      <w:r w:rsidRPr="00DA3766">
        <w:t xml:space="preserve">9 </w:t>
      </w:r>
      <w:r w:rsidRPr="00DA3766">
        <w:t>月末，上市公司已取得国内多家金融机构提供的授信额度合计</w:t>
      </w:r>
      <w:r w:rsidRPr="00DA3766">
        <w:t>53,243.46</w:t>
      </w:r>
      <w:r w:rsidRPr="00DA3766">
        <w:t>万元，其中已使用授信额度</w:t>
      </w:r>
      <w:r w:rsidRPr="00DA3766">
        <w:t>42,739.55</w:t>
      </w:r>
      <w:r w:rsidRPr="00DA3766">
        <w:t>万元，剩余未使用授信额度</w:t>
      </w:r>
      <w:r w:rsidRPr="00DA3766">
        <w:t>10,503.91</w:t>
      </w:r>
      <w:r w:rsidRPr="00DA3766">
        <w:t>万元，在不考虑未来经营收益以及配套募集资金的情况下，足以覆盖营运资金缺口。</w:t>
      </w:r>
    </w:p>
    <w:p w14:paraId="532FAFF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、相关安排对上市公司偿债能力和生产经营不存在不利影响，不会导致上市公司产生重大债务风险</w:t>
      </w:r>
    </w:p>
    <w:p w14:paraId="677E5824"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不考虑新增并购贷款情况下，交易前后，上市公司的资产负债率情况如下：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843"/>
        <w:gridCol w:w="2843"/>
        <w:gridCol w:w="2842"/>
      </w:tblGrid>
      <w:tr w:rsidR="00381FE3" w:rsidRPr="00DA3766" w14:paraId="18499179" w14:textId="77777777" w:rsidTr="00DA3766">
        <w:trPr>
          <w:trHeight w:val="397"/>
          <w:tblHeader/>
          <w:jc w:val="center"/>
        </w:trPr>
        <w:tc>
          <w:tcPr>
            <w:tcW w:w="1667" w:type="pct"/>
            <w:shd w:val="solid" w:color="FFFFFF" w:fill="FFFFFF"/>
            <w:vAlign w:val="center"/>
          </w:tcPr>
          <w:p w14:paraId="75084CD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667" w:type="pct"/>
            <w:shd w:val="solid" w:color="FFFFFF" w:fill="FFFFFF"/>
            <w:vAlign w:val="center"/>
          </w:tcPr>
          <w:p w14:paraId="5A79E126"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2025</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6</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30</w:t>
            </w:r>
            <w:r w:rsidRPr="00DA3766">
              <w:rPr>
                <w:rFonts w:ascii="Times New Roman" w:hAnsi="Times New Roman" w:cs="Times New Roman"/>
                <w:b/>
                <w:color w:val="000000"/>
                <w:kern w:val="2"/>
                <w:sz w:val="21"/>
                <w:szCs w:val="21"/>
              </w:rPr>
              <w:t>日</w:t>
            </w:r>
          </w:p>
        </w:tc>
        <w:tc>
          <w:tcPr>
            <w:tcW w:w="1666" w:type="pct"/>
            <w:shd w:val="solid" w:color="FFFFFF" w:fill="FFFFFF"/>
            <w:vAlign w:val="center"/>
          </w:tcPr>
          <w:p w14:paraId="10BF5C6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r>
      <w:tr w:rsidR="00381FE3" w:rsidRPr="00DA3766" w14:paraId="4666610F" w14:textId="77777777" w:rsidTr="00DA3766">
        <w:trPr>
          <w:trHeight w:val="397"/>
          <w:jc w:val="center"/>
        </w:trPr>
        <w:tc>
          <w:tcPr>
            <w:tcW w:w="1667" w:type="pct"/>
            <w:shd w:val="solid" w:color="FFFFFF" w:fill="FFFFFF"/>
            <w:vAlign w:val="center"/>
          </w:tcPr>
          <w:p w14:paraId="595E9A8F"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资产负债率</w:t>
            </w:r>
          </w:p>
        </w:tc>
        <w:tc>
          <w:tcPr>
            <w:tcW w:w="1667" w:type="pct"/>
            <w:shd w:val="solid" w:color="FFFFFF" w:fill="FFFFFF"/>
            <w:vAlign w:val="center"/>
          </w:tcPr>
          <w:p w14:paraId="1D5C445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45.91%</w:t>
            </w:r>
          </w:p>
        </w:tc>
        <w:tc>
          <w:tcPr>
            <w:tcW w:w="1666" w:type="pct"/>
            <w:shd w:val="solid" w:color="FFFFFF" w:fill="FFFFFF"/>
            <w:vAlign w:val="center"/>
          </w:tcPr>
          <w:p w14:paraId="77B719D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42.54%</w:t>
            </w:r>
          </w:p>
        </w:tc>
      </w:tr>
      <w:tr w:rsidR="00381FE3" w:rsidRPr="00DA3766" w14:paraId="47C14328" w14:textId="77777777" w:rsidTr="00DA3766">
        <w:trPr>
          <w:trHeight w:val="397"/>
          <w:jc w:val="center"/>
        </w:trPr>
        <w:tc>
          <w:tcPr>
            <w:tcW w:w="1667" w:type="pct"/>
            <w:shd w:val="solid" w:color="FFFFFF" w:fill="FFFFFF"/>
            <w:vAlign w:val="center"/>
          </w:tcPr>
          <w:p w14:paraId="60A65949"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备考资产负债率</w:t>
            </w:r>
          </w:p>
        </w:tc>
        <w:tc>
          <w:tcPr>
            <w:tcW w:w="1667" w:type="pct"/>
            <w:shd w:val="solid" w:color="FFFFFF" w:fill="FFFFFF"/>
            <w:vAlign w:val="center"/>
          </w:tcPr>
          <w:p w14:paraId="68BC216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50.74%</w:t>
            </w:r>
          </w:p>
        </w:tc>
        <w:tc>
          <w:tcPr>
            <w:tcW w:w="1666" w:type="pct"/>
            <w:shd w:val="solid" w:color="FFFFFF" w:fill="FFFFFF"/>
            <w:vAlign w:val="center"/>
          </w:tcPr>
          <w:p w14:paraId="14597A9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49.22%</w:t>
            </w:r>
          </w:p>
        </w:tc>
      </w:tr>
    </w:tbl>
    <w:p w14:paraId="5C3A2DDF"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不考虑新增并购贷款情况下，仅考虑合并标的公司，上市公司交易后资产负债率较交易前资产负债率变动不大。</w:t>
      </w:r>
    </w:p>
    <w:p w14:paraId="3EFEA3C5"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14:ligatures w14:val="standardContextual"/>
        </w:rPr>
      </w:pPr>
      <w:r w:rsidRPr="00DA3766">
        <w:rPr>
          <w:rFonts w:ascii="Times New Roman" w:hAnsi="Times New Roman" w:cs="Times New Roman"/>
          <w:kern w:val="2"/>
          <w:szCs w:val="21"/>
        </w:rPr>
        <w:t>本次并购贷款借款金额预计不超过本次交易现金对价的</w:t>
      </w:r>
      <w:r w:rsidRPr="00DA3766">
        <w:rPr>
          <w:rFonts w:ascii="Times New Roman" w:hAnsi="Times New Roman" w:cs="Times New Roman"/>
          <w:kern w:val="2"/>
          <w:szCs w:val="21"/>
        </w:rPr>
        <w:t>80%</w:t>
      </w:r>
      <w:r w:rsidRPr="00DA3766">
        <w:rPr>
          <w:rFonts w:ascii="Times New Roman" w:hAnsi="Times New Roman" w:cs="Times New Roman"/>
          <w:kern w:val="2"/>
          <w:szCs w:val="21"/>
        </w:rPr>
        <w:t>，即不超过</w:t>
      </w:r>
      <w:r w:rsidRPr="00DA3766">
        <w:rPr>
          <w:rFonts w:ascii="Times New Roman" w:hAnsi="Times New Roman" w:cs="Times New Roman"/>
          <w:kern w:val="2"/>
          <w:szCs w:val="21"/>
        </w:rPr>
        <w:t>48,491.02</w:t>
      </w:r>
      <w:r w:rsidRPr="00DA3766">
        <w:rPr>
          <w:rFonts w:ascii="Times New Roman" w:hAnsi="Times New Roman" w:cs="Times New Roman"/>
          <w:kern w:val="2"/>
          <w:szCs w:val="21"/>
        </w:rPr>
        <w:t>万元，假设新增并购贷款</w:t>
      </w:r>
      <w:r w:rsidRPr="00DA3766">
        <w:rPr>
          <w:rFonts w:ascii="Times New Roman" w:hAnsi="Times New Roman" w:cs="Times New Roman"/>
          <w:kern w:val="2"/>
          <w:szCs w:val="21"/>
        </w:rPr>
        <w:t>48,491.02</w:t>
      </w:r>
      <w:r w:rsidRPr="00DA3766">
        <w:rPr>
          <w:rFonts w:ascii="Times New Roman" w:hAnsi="Times New Roman" w:cs="Times New Roman"/>
          <w:kern w:val="2"/>
          <w:szCs w:val="21"/>
        </w:rPr>
        <w:t>万元，考虑新增并购贷款后，</w:t>
      </w:r>
      <w:r w:rsidRPr="00DA3766">
        <w:rPr>
          <w:rFonts w:ascii="Times New Roman" w:hAnsi="Times New Roman" w:cs="Times New Roman"/>
          <w:kern w:val="2"/>
          <w:szCs w:val="21"/>
        </w:rPr>
        <w:t>2025</w:t>
      </w:r>
      <w:r w:rsidRPr="00DA3766">
        <w:rPr>
          <w:rFonts w:ascii="Times New Roman" w:hAnsi="Times New Roman" w:cs="Times New Roman"/>
          <w:kern w:val="2"/>
          <w:szCs w:val="21"/>
        </w:rPr>
        <w:t>年上市公司交易后资产负债率</w:t>
      </w:r>
      <w:r w:rsidRPr="00DA3766">
        <w:rPr>
          <w:rFonts w:ascii="Times New Roman" w:hAnsi="Times New Roman" w:cs="Times New Roman"/>
          <w:kern w:val="2"/>
          <w:szCs w:val="21"/>
        </w:rPr>
        <w:t>67.94%</w:t>
      </w:r>
      <w:r w:rsidRPr="00DA3766">
        <w:rPr>
          <w:rFonts w:ascii="Times New Roman" w:hAnsi="Times New Roman" w:cs="Times New Roman"/>
          <w:kern w:val="2"/>
          <w:szCs w:val="21"/>
        </w:rPr>
        <w:t>，较目前备考资产负债率</w:t>
      </w:r>
      <w:r w:rsidRPr="00DA3766">
        <w:rPr>
          <w:rFonts w:ascii="Times New Roman" w:hAnsi="Times New Roman" w:cs="Times New Roman"/>
          <w:kern w:val="2"/>
          <w:szCs w:val="21"/>
        </w:rPr>
        <w:t>50.78%</w:t>
      </w:r>
      <w:r w:rsidRPr="00DA3766">
        <w:rPr>
          <w:rFonts w:ascii="Times New Roman" w:hAnsi="Times New Roman" w:cs="Times New Roman"/>
          <w:kern w:val="2"/>
          <w:szCs w:val="21"/>
        </w:rPr>
        <w:t>有所上升，考虑本次募配资金置换后的资产负债率为</w:t>
      </w:r>
      <w:r w:rsidRPr="00DA3766">
        <w:rPr>
          <w:rFonts w:ascii="Times New Roman" w:hAnsi="Times New Roman" w:cs="Times New Roman"/>
          <w:kern w:val="2"/>
          <w:szCs w:val="21"/>
        </w:rPr>
        <w:t>62.44%</w:t>
      </w:r>
      <w:r w:rsidRPr="00DA3766">
        <w:rPr>
          <w:rFonts w:ascii="Times New Roman" w:hAnsi="Times New Roman" w:cs="Times New Roman"/>
          <w:kern w:val="2"/>
          <w:szCs w:val="21"/>
        </w:rPr>
        <w:t>。因此，本次交易会导致上市公司资产负债率有一定程度提升，考虑到标的公司每年的净利润预计在</w:t>
      </w:r>
      <w:r w:rsidRPr="00DA3766">
        <w:rPr>
          <w:rFonts w:ascii="Times New Roman" w:hAnsi="Times New Roman" w:cs="Times New Roman"/>
          <w:kern w:val="2"/>
          <w:szCs w:val="21"/>
        </w:rPr>
        <w:t>1.20</w:t>
      </w:r>
      <w:r w:rsidRPr="00DA3766">
        <w:rPr>
          <w:rFonts w:ascii="Times New Roman" w:hAnsi="Times New Roman" w:cs="Times New Roman"/>
          <w:kern w:val="2"/>
          <w:szCs w:val="21"/>
        </w:rPr>
        <w:t>亿元及以上且现金流状况较好，足以支付上市公司并购贷每年支付的利息</w:t>
      </w:r>
      <w:r w:rsidRPr="00DA3766">
        <w:rPr>
          <w:rFonts w:ascii="Times New Roman" w:hAnsi="Times New Roman" w:cs="Times New Roman"/>
          <w:kern w:val="2"/>
          <w:szCs w:val="21"/>
        </w:rPr>
        <w:t>1,454.73</w:t>
      </w:r>
      <w:r w:rsidRPr="00DA3766">
        <w:rPr>
          <w:rFonts w:ascii="Times New Roman" w:hAnsi="Times New Roman" w:cs="Times New Roman"/>
          <w:kern w:val="2"/>
          <w:szCs w:val="21"/>
        </w:rPr>
        <w:t>万元，能够满足公司未来还本付息的资金需求，不存在较大还款压力。考虑到并购贷还本付息的要求以及本次募配资金置换以及自有资金情况，此后并购贷产生的财务费用金额逐渐减少，对业绩影响也逐渐降低，不会对上市公司生产经营产生不利影响。</w:t>
      </w:r>
    </w:p>
    <w:p w14:paraId="49DD9BA6"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综上，相关安排对上市公司偿债能力和生产经营不存在不利影响，不会导致上市公司产生重大债务风险。</w:t>
      </w:r>
    </w:p>
    <w:p w14:paraId="55A91C6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6</w:t>
      </w:r>
      <w:r w:rsidRPr="00DA3766">
        <w:rPr>
          <w:rFonts w:ascii="Times New Roman" w:hAnsi="Times New Roman" w:cs="Times New Roman"/>
          <w:b/>
          <w:bCs/>
          <w:kern w:val="2"/>
          <w:szCs w:val="28"/>
        </w:rPr>
        <w:t>、补充披露内容</w:t>
      </w:r>
    </w:p>
    <w:p w14:paraId="53B360E0"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上述内容已在《重组报告书》之</w:t>
      </w:r>
      <w:r w:rsidRPr="00DA3766">
        <w:rPr>
          <w:rFonts w:cs="Times New Roman"/>
          <w:kern w:val="2"/>
          <w14:ligatures w14:val="standardContextual"/>
        </w:rPr>
        <w:t>“</w:t>
      </w:r>
      <w:r w:rsidRPr="00DA3766">
        <w:rPr>
          <w:rFonts w:ascii="Times New Roman" w:hAnsi="Times New Roman" w:cs="Times New Roman"/>
          <w:kern w:val="2"/>
          <w14:ligatures w14:val="standardContextual"/>
        </w:rPr>
        <w:t>第八节</w:t>
      </w:r>
      <w:r w:rsidRPr="00DA3766">
        <w:rPr>
          <w:rFonts w:ascii="Times New Roman" w:hAnsi="Times New Roman" w:cs="Times New Roman"/>
          <w:kern w:val="2"/>
          <w14:ligatures w14:val="standardContextual"/>
        </w:rPr>
        <w:t xml:space="preserve"> </w:t>
      </w:r>
      <w:r w:rsidRPr="00DA3766">
        <w:rPr>
          <w:rFonts w:ascii="Times New Roman" w:hAnsi="Times New Roman" w:cs="Times New Roman"/>
          <w:kern w:val="2"/>
          <w14:ligatures w14:val="standardContextual"/>
        </w:rPr>
        <w:t>本次交易的合规性分析</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四、</w:t>
      </w:r>
      <w:r w:rsidRPr="00DA3766">
        <w:rPr>
          <w:rFonts w:ascii="Times New Roman" w:hAnsi="Times New Roman" w:cs="Times New Roman"/>
          <w:kern w:val="2"/>
          <w14:ligatures w14:val="standardContextual"/>
        </w:rPr>
        <w:lastRenderedPageBreak/>
        <w:t>本次交易符合《重组管理办法》第四十四条的规定的情形</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（一）本次交易有利于提高上市公司资产质量和增强持续经营能力，不会导致财务状况发生重大不利变化，不会导致新增重大不利影响的同业竞争及严重影响独立性或者显失公平的关联交易</w:t>
      </w:r>
      <w:r w:rsidRPr="00DA3766">
        <w:rPr>
          <w:rFonts w:cs="Times New Roman"/>
          <w:kern w:val="2"/>
          <w14:ligatures w14:val="standardContextual"/>
        </w:rPr>
        <w:t>”</w:t>
      </w:r>
      <w:r w:rsidRPr="00DA3766">
        <w:rPr>
          <w:rFonts w:ascii="Times New Roman" w:hAnsi="Times New Roman" w:cs="Times New Roman"/>
          <w:kern w:val="2"/>
          <w14:ligatures w14:val="standardContextual"/>
        </w:rPr>
        <w:t>补充披露。</w:t>
      </w:r>
    </w:p>
    <w:p w14:paraId="239859D4"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（三）本次交易方案支付安排的合理性与商业考虑，不存在规避重组上市的情形</w:t>
      </w:r>
    </w:p>
    <w:p w14:paraId="26BAD570"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本次交易中，上市公司以发行股份及支付现金方式向交易对方购买资产。根据上市公司与交易对方协商结果，交易对方获取对价的具体情况如下：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381FE3" w:rsidRPr="00DA3766" w14:paraId="5B442597" w14:textId="77777777" w:rsidTr="00DA3766">
        <w:trPr>
          <w:trHeight w:val="397"/>
          <w:tblHeader/>
          <w:jc w:val="center"/>
        </w:trPr>
        <w:tc>
          <w:tcPr>
            <w:tcW w:w="501" w:type="dxa"/>
            <w:vMerge w:val="restart"/>
            <w:shd w:val="clear" w:color="auto" w:fill="FFFFFF"/>
            <w:tcMar>
              <w:top w:w="0" w:type="dxa"/>
              <w:left w:w="108" w:type="dxa"/>
              <w:bottom w:w="0" w:type="dxa"/>
              <w:right w:w="108" w:type="dxa"/>
            </w:tcMar>
            <w:vAlign w:val="center"/>
          </w:tcPr>
          <w:p w14:paraId="689ADEB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77" w:name="_Hlk219131736"/>
            <w:r w:rsidRPr="00DA3766">
              <w:rPr>
                <w:rFonts w:ascii="Times New Roman" w:hAnsi="Times New Roman" w:cs="Times New Roman"/>
                <w:b/>
                <w:bCs/>
                <w:sz w:val="21"/>
                <w:szCs w:val="21"/>
              </w:rPr>
              <w:t>序号</w:t>
            </w:r>
          </w:p>
        </w:tc>
        <w:tc>
          <w:tcPr>
            <w:tcW w:w="1736" w:type="dxa"/>
            <w:vMerge w:val="restart"/>
            <w:shd w:val="clear" w:color="auto" w:fill="FFFFFF"/>
            <w:tcMar>
              <w:top w:w="0" w:type="dxa"/>
              <w:left w:w="108" w:type="dxa"/>
              <w:bottom w:w="0" w:type="dxa"/>
              <w:right w:w="108" w:type="dxa"/>
            </w:tcMar>
            <w:vAlign w:val="center"/>
          </w:tcPr>
          <w:p w14:paraId="185FC337"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交易对方</w:t>
            </w:r>
          </w:p>
        </w:tc>
        <w:tc>
          <w:tcPr>
            <w:tcW w:w="2408" w:type="dxa"/>
            <w:vMerge w:val="restart"/>
            <w:shd w:val="clear" w:color="auto" w:fill="FFFFFF"/>
            <w:tcMar>
              <w:top w:w="0" w:type="dxa"/>
              <w:left w:w="108" w:type="dxa"/>
              <w:bottom w:w="0" w:type="dxa"/>
              <w:right w:w="108" w:type="dxa"/>
            </w:tcMar>
            <w:vAlign w:val="center"/>
          </w:tcPr>
          <w:p w14:paraId="2CD0E48E"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交易标的名称</w:t>
            </w:r>
          </w:p>
          <w:p w14:paraId="64DCF1A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及权益比例</w:t>
            </w:r>
          </w:p>
        </w:tc>
        <w:tc>
          <w:tcPr>
            <w:tcW w:w="2268" w:type="dxa"/>
            <w:gridSpan w:val="2"/>
            <w:shd w:val="clear" w:color="auto" w:fill="FFFFFF"/>
            <w:tcMar>
              <w:top w:w="0" w:type="dxa"/>
              <w:left w:w="108" w:type="dxa"/>
              <w:bottom w:w="0" w:type="dxa"/>
              <w:right w:w="108" w:type="dxa"/>
            </w:tcMar>
            <w:vAlign w:val="center"/>
          </w:tcPr>
          <w:p w14:paraId="0B306EB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支付方式</w:t>
            </w:r>
          </w:p>
        </w:tc>
        <w:tc>
          <w:tcPr>
            <w:tcW w:w="1615" w:type="dxa"/>
            <w:vMerge w:val="restart"/>
            <w:shd w:val="clear" w:color="auto" w:fill="FFFFFF"/>
            <w:tcMar>
              <w:top w:w="0" w:type="dxa"/>
              <w:left w:w="108" w:type="dxa"/>
              <w:bottom w:w="0" w:type="dxa"/>
              <w:right w:w="108" w:type="dxa"/>
            </w:tcMar>
            <w:vAlign w:val="center"/>
          </w:tcPr>
          <w:p w14:paraId="5C1509E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向该交易对方</w:t>
            </w:r>
          </w:p>
          <w:p w14:paraId="2E2A8498"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支付的总对价</w:t>
            </w:r>
          </w:p>
          <w:p w14:paraId="302D773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r>
      <w:tr w:rsidR="00381FE3" w:rsidRPr="00DA3766" w14:paraId="0241FDDC" w14:textId="77777777" w:rsidTr="00DA3766">
        <w:trPr>
          <w:trHeight w:val="397"/>
          <w:tblHeader/>
          <w:jc w:val="center"/>
        </w:trPr>
        <w:tc>
          <w:tcPr>
            <w:tcW w:w="501" w:type="dxa"/>
            <w:vMerge/>
            <w:shd w:val="clear" w:color="auto" w:fill="FFFFFF"/>
            <w:tcMar>
              <w:top w:w="0" w:type="dxa"/>
              <w:left w:w="108" w:type="dxa"/>
              <w:bottom w:w="0" w:type="dxa"/>
              <w:right w:w="108" w:type="dxa"/>
            </w:tcMar>
            <w:vAlign w:val="center"/>
          </w:tcPr>
          <w:p w14:paraId="6063082A"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736" w:type="dxa"/>
            <w:vMerge/>
            <w:shd w:val="clear" w:color="auto" w:fill="FFFFFF"/>
            <w:tcMar>
              <w:top w:w="0" w:type="dxa"/>
              <w:left w:w="108" w:type="dxa"/>
              <w:bottom w:w="0" w:type="dxa"/>
              <w:right w:w="108" w:type="dxa"/>
            </w:tcMar>
            <w:vAlign w:val="center"/>
          </w:tcPr>
          <w:p w14:paraId="523D2C31"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2408" w:type="dxa"/>
            <w:vMerge/>
            <w:shd w:val="clear" w:color="auto" w:fill="FFFFFF"/>
            <w:tcMar>
              <w:top w:w="0" w:type="dxa"/>
              <w:left w:w="108" w:type="dxa"/>
              <w:bottom w:w="0" w:type="dxa"/>
              <w:right w:w="108" w:type="dxa"/>
            </w:tcMar>
            <w:vAlign w:val="center"/>
          </w:tcPr>
          <w:p w14:paraId="0FD53416"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134" w:type="dxa"/>
            <w:shd w:val="clear" w:color="auto" w:fill="FFFFFF"/>
            <w:tcMar>
              <w:top w:w="0" w:type="dxa"/>
              <w:left w:w="108" w:type="dxa"/>
              <w:bottom w:w="0" w:type="dxa"/>
              <w:right w:w="108" w:type="dxa"/>
            </w:tcMar>
            <w:vAlign w:val="center"/>
          </w:tcPr>
          <w:p w14:paraId="013BF322"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现金对价</w:t>
            </w:r>
          </w:p>
          <w:p w14:paraId="73EB093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c>
          <w:tcPr>
            <w:tcW w:w="1134" w:type="dxa"/>
            <w:shd w:val="clear" w:color="auto" w:fill="FFFFFF"/>
            <w:tcMar>
              <w:top w:w="0" w:type="dxa"/>
              <w:left w:w="108" w:type="dxa"/>
              <w:bottom w:w="0" w:type="dxa"/>
              <w:right w:w="108" w:type="dxa"/>
            </w:tcMar>
            <w:vAlign w:val="center"/>
          </w:tcPr>
          <w:p w14:paraId="1ACE313F"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股份对价</w:t>
            </w:r>
          </w:p>
          <w:p w14:paraId="7343F2D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c>
          <w:tcPr>
            <w:tcW w:w="1615" w:type="dxa"/>
            <w:vMerge/>
            <w:shd w:val="clear" w:color="auto" w:fill="FFFFFF"/>
            <w:tcMar>
              <w:top w:w="0" w:type="dxa"/>
              <w:left w:w="108" w:type="dxa"/>
              <w:bottom w:w="0" w:type="dxa"/>
              <w:right w:w="108" w:type="dxa"/>
            </w:tcMar>
            <w:vAlign w:val="center"/>
          </w:tcPr>
          <w:p w14:paraId="10C8CBE0"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r>
      <w:tr w:rsidR="00381FE3" w:rsidRPr="00DA3766" w14:paraId="3D8700B9"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8B49E3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w:t>
            </w:r>
          </w:p>
        </w:tc>
        <w:tc>
          <w:tcPr>
            <w:tcW w:w="1736" w:type="dxa"/>
            <w:shd w:val="clear" w:color="auto" w:fill="FFFFFF"/>
            <w:tcMar>
              <w:top w:w="0" w:type="dxa"/>
              <w:left w:w="108" w:type="dxa"/>
              <w:bottom w:w="0" w:type="dxa"/>
              <w:right w:w="108" w:type="dxa"/>
            </w:tcMar>
            <w:vAlign w:val="center"/>
          </w:tcPr>
          <w:p w14:paraId="04266DC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陈耿豪</w:t>
            </w:r>
          </w:p>
        </w:tc>
        <w:tc>
          <w:tcPr>
            <w:tcW w:w="2408" w:type="dxa"/>
            <w:shd w:val="clear" w:color="auto" w:fill="FFFFFF"/>
            <w:tcMar>
              <w:top w:w="0" w:type="dxa"/>
              <w:left w:w="108" w:type="dxa"/>
              <w:bottom w:w="0" w:type="dxa"/>
              <w:right w:w="108" w:type="dxa"/>
            </w:tcMar>
            <w:vAlign w:val="center"/>
          </w:tcPr>
          <w:p w14:paraId="514EA5A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22.4316%</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1355473" w14:textId="18F88A4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26,418.41</w:t>
            </w:r>
          </w:p>
        </w:tc>
        <w:tc>
          <w:tcPr>
            <w:tcW w:w="1134" w:type="dxa"/>
            <w:shd w:val="clear" w:color="auto" w:fill="FFFFFF"/>
            <w:tcMar>
              <w:top w:w="0" w:type="dxa"/>
              <w:left w:w="108" w:type="dxa"/>
              <w:bottom w:w="0" w:type="dxa"/>
              <w:right w:w="108" w:type="dxa"/>
            </w:tcMar>
            <w:vAlign w:val="center"/>
          </w:tcPr>
          <w:p w14:paraId="05F5B1BF" w14:textId="11DD982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11,613.84</w:t>
            </w:r>
          </w:p>
        </w:tc>
        <w:tc>
          <w:tcPr>
            <w:tcW w:w="1615" w:type="dxa"/>
            <w:shd w:val="clear" w:color="auto" w:fill="FFFFFF"/>
            <w:tcMar>
              <w:top w:w="0" w:type="dxa"/>
              <w:left w:w="108" w:type="dxa"/>
              <w:bottom w:w="0" w:type="dxa"/>
              <w:right w:w="108" w:type="dxa"/>
            </w:tcMar>
            <w:vAlign w:val="center"/>
          </w:tcPr>
          <w:p w14:paraId="3DB0AA6E" w14:textId="2C0E200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38,032.25</w:t>
            </w:r>
          </w:p>
        </w:tc>
      </w:tr>
      <w:tr w:rsidR="00381FE3" w:rsidRPr="00DA3766" w14:paraId="0CEE7F7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F338CF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w:t>
            </w:r>
          </w:p>
        </w:tc>
        <w:tc>
          <w:tcPr>
            <w:tcW w:w="1736" w:type="dxa"/>
            <w:shd w:val="clear" w:color="auto" w:fill="FFFFFF"/>
            <w:tcMar>
              <w:top w:w="0" w:type="dxa"/>
              <w:left w:w="108" w:type="dxa"/>
              <w:bottom w:w="0" w:type="dxa"/>
              <w:right w:w="108" w:type="dxa"/>
            </w:tcMar>
            <w:vAlign w:val="center"/>
          </w:tcPr>
          <w:p w14:paraId="77B42F8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南通成为常青</w:t>
            </w:r>
          </w:p>
        </w:tc>
        <w:tc>
          <w:tcPr>
            <w:tcW w:w="2408" w:type="dxa"/>
            <w:shd w:val="clear" w:color="auto" w:fill="FFFFFF"/>
            <w:tcMar>
              <w:top w:w="0" w:type="dxa"/>
              <w:left w:w="108" w:type="dxa"/>
              <w:bottom w:w="0" w:type="dxa"/>
              <w:right w:w="108" w:type="dxa"/>
            </w:tcMar>
            <w:vAlign w:val="center"/>
          </w:tcPr>
          <w:p w14:paraId="568F5C3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19.0635%</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4D1FA5B" w14:textId="3FEC8EE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7,777.91</w:t>
            </w:r>
          </w:p>
        </w:tc>
        <w:tc>
          <w:tcPr>
            <w:tcW w:w="1134" w:type="dxa"/>
            <w:shd w:val="clear" w:color="auto" w:fill="FFFFFF"/>
            <w:tcMar>
              <w:top w:w="0" w:type="dxa"/>
              <w:left w:w="108" w:type="dxa"/>
              <w:bottom w:w="0" w:type="dxa"/>
              <w:right w:w="108" w:type="dxa"/>
            </w:tcMar>
            <w:vAlign w:val="center"/>
          </w:tcPr>
          <w:p w14:paraId="167E545F" w14:textId="72867FD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7,472.90</w:t>
            </w:r>
          </w:p>
        </w:tc>
        <w:tc>
          <w:tcPr>
            <w:tcW w:w="1615" w:type="dxa"/>
            <w:shd w:val="clear" w:color="auto" w:fill="FFFFFF"/>
            <w:tcMar>
              <w:top w:w="0" w:type="dxa"/>
              <w:left w:w="108" w:type="dxa"/>
              <w:bottom w:w="0" w:type="dxa"/>
              <w:right w:w="108" w:type="dxa"/>
            </w:tcMar>
            <w:vAlign w:val="center"/>
          </w:tcPr>
          <w:p w14:paraId="077775CA" w14:textId="0A8B588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15,250.81</w:t>
            </w:r>
          </w:p>
        </w:tc>
      </w:tr>
      <w:tr w:rsidR="00381FE3" w:rsidRPr="00DA3766" w14:paraId="28B2B9B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49D54E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w:t>
            </w:r>
          </w:p>
        </w:tc>
        <w:tc>
          <w:tcPr>
            <w:tcW w:w="1736" w:type="dxa"/>
            <w:shd w:val="clear" w:color="auto" w:fill="FFFFFF"/>
            <w:tcMar>
              <w:top w:w="0" w:type="dxa"/>
              <w:left w:w="108" w:type="dxa"/>
              <w:bottom w:w="0" w:type="dxa"/>
              <w:right w:w="108" w:type="dxa"/>
            </w:tcMar>
            <w:vAlign w:val="center"/>
          </w:tcPr>
          <w:p w14:paraId="12CEAC6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广发信德科文</w:t>
            </w:r>
          </w:p>
        </w:tc>
        <w:tc>
          <w:tcPr>
            <w:tcW w:w="2408" w:type="dxa"/>
            <w:shd w:val="clear" w:color="auto" w:fill="FFFFFF"/>
            <w:tcMar>
              <w:top w:w="0" w:type="dxa"/>
              <w:left w:w="108" w:type="dxa"/>
              <w:bottom w:w="0" w:type="dxa"/>
              <w:right w:w="108" w:type="dxa"/>
            </w:tcMar>
            <w:vAlign w:val="center"/>
          </w:tcPr>
          <w:p w14:paraId="1DB8FC1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13.3268%</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CAC67FB" w14:textId="0E87DC7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5,437.33</w:t>
            </w:r>
          </w:p>
        </w:tc>
        <w:tc>
          <w:tcPr>
            <w:tcW w:w="1134" w:type="dxa"/>
            <w:shd w:val="clear" w:color="auto" w:fill="FFFFFF"/>
            <w:tcMar>
              <w:top w:w="0" w:type="dxa"/>
              <w:left w:w="108" w:type="dxa"/>
              <w:bottom w:w="0" w:type="dxa"/>
              <w:right w:w="108" w:type="dxa"/>
            </w:tcMar>
            <w:vAlign w:val="center"/>
          </w:tcPr>
          <w:p w14:paraId="5D1DEFA8" w14:textId="75B2D9E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5,224.10</w:t>
            </w:r>
          </w:p>
        </w:tc>
        <w:tc>
          <w:tcPr>
            <w:tcW w:w="1615" w:type="dxa"/>
            <w:shd w:val="clear" w:color="auto" w:fill="FFFFFF"/>
            <w:tcMar>
              <w:top w:w="0" w:type="dxa"/>
              <w:left w:w="108" w:type="dxa"/>
              <w:bottom w:w="0" w:type="dxa"/>
              <w:right w:w="108" w:type="dxa"/>
            </w:tcMar>
            <w:vAlign w:val="center"/>
          </w:tcPr>
          <w:p w14:paraId="607FFA50" w14:textId="062EBBF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10,661.43</w:t>
            </w:r>
          </w:p>
        </w:tc>
      </w:tr>
      <w:tr w:rsidR="00381FE3" w:rsidRPr="00DA3766" w14:paraId="798F77A5"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B8A5A9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4</w:t>
            </w:r>
          </w:p>
        </w:tc>
        <w:tc>
          <w:tcPr>
            <w:tcW w:w="1736" w:type="dxa"/>
            <w:shd w:val="clear" w:color="auto" w:fill="FFFFFF"/>
            <w:tcMar>
              <w:top w:w="0" w:type="dxa"/>
              <w:left w:w="108" w:type="dxa"/>
              <w:bottom w:w="0" w:type="dxa"/>
              <w:right w:w="108" w:type="dxa"/>
            </w:tcMar>
            <w:vAlign w:val="center"/>
          </w:tcPr>
          <w:p w14:paraId="35C35CC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苏州市德同合心</w:t>
            </w:r>
          </w:p>
        </w:tc>
        <w:tc>
          <w:tcPr>
            <w:tcW w:w="2408" w:type="dxa"/>
            <w:shd w:val="clear" w:color="auto" w:fill="FFFFFF"/>
            <w:tcMar>
              <w:top w:w="0" w:type="dxa"/>
              <w:left w:w="108" w:type="dxa"/>
              <w:bottom w:w="0" w:type="dxa"/>
              <w:right w:w="108" w:type="dxa"/>
            </w:tcMar>
            <w:vAlign w:val="center"/>
          </w:tcPr>
          <w:p w14:paraId="22CA2D9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5.9710%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14476D0" w14:textId="48682E2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2,436.18</w:t>
            </w:r>
          </w:p>
        </w:tc>
        <w:tc>
          <w:tcPr>
            <w:tcW w:w="1134" w:type="dxa"/>
            <w:shd w:val="clear" w:color="auto" w:fill="FFFFFF"/>
            <w:tcMar>
              <w:top w:w="0" w:type="dxa"/>
              <w:left w:w="108" w:type="dxa"/>
              <w:bottom w:w="0" w:type="dxa"/>
              <w:right w:w="108" w:type="dxa"/>
            </w:tcMar>
            <w:vAlign w:val="center"/>
          </w:tcPr>
          <w:p w14:paraId="7A8EEBCA" w14:textId="71BA9FA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2,340.65</w:t>
            </w:r>
          </w:p>
        </w:tc>
        <w:tc>
          <w:tcPr>
            <w:tcW w:w="1615" w:type="dxa"/>
            <w:shd w:val="clear" w:color="auto" w:fill="FFFFFF"/>
            <w:tcMar>
              <w:top w:w="0" w:type="dxa"/>
              <w:left w:w="108" w:type="dxa"/>
              <w:bottom w:w="0" w:type="dxa"/>
              <w:right w:w="108" w:type="dxa"/>
            </w:tcMar>
            <w:vAlign w:val="center"/>
          </w:tcPr>
          <w:p w14:paraId="57F8A99B" w14:textId="2D4DFA7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4,776.83</w:t>
            </w:r>
          </w:p>
        </w:tc>
      </w:tr>
      <w:tr w:rsidR="00381FE3" w:rsidRPr="00DA3766" w14:paraId="75AADAD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0FEDFB1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5</w:t>
            </w:r>
          </w:p>
        </w:tc>
        <w:tc>
          <w:tcPr>
            <w:tcW w:w="1736" w:type="dxa"/>
            <w:shd w:val="clear" w:color="auto" w:fill="FFFFFF"/>
            <w:tcMar>
              <w:top w:w="0" w:type="dxa"/>
              <w:left w:w="108" w:type="dxa"/>
              <w:bottom w:w="0" w:type="dxa"/>
              <w:right w:w="108" w:type="dxa"/>
            </w:tcMar>
            <w:vAlign w:val="center"/>
          </w:tcPr>
          <w:p w14:paraId="37C5740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乐陶陶</w:t>
            </w:r>
          </w:p>
        </w:tc>
        <w:tc>
          <w:tcPr>
            <w:tcW w:w="2408" w:type="dxa"/>
            <w:shd w:val="clear" w:color="auto" w:fill="FFFFFF"/>
            <w:tcMar>
              <w:top w:w="0" w:type="dxa"/>
              <w:left w:w="108" w:type="dxa"/>
              <w:bottom w:w="0" w:type="dxa"/>
              <w:right w:w="108" w:type="dxa"/>
            </w:tcMar>
            <w:vAlign w:val="center"/>
          </w:tcPr>
          <w:p w14:paraId="2D01C508"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5.9697%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37F08120" w14:textId="47211403"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2,435.63</w:t>
            </w:r>
          </w:p>
        </w:tc>
        <w:tc>
          <w:tcPr>
            <w:tcW w:w="1134" w:type="dxa"/>
            <w:shd w:val="clear" w:color="auto" w:fill="FFFFFF"/>
            <w:tcMar>
              <w:top w:w="0" w:type="dxa"/>
              <w:left w:w="108" w:type="dxa"/>
              <w:bottom w:w="0" w:type="dxa"/>
              <w:right w:w="108" w:type="dxa"/>
            </w:tcMar>
            <w:vAlign w:val="center"/>
          </w:tcPr>
          <w:p w14:paraId="20966B77" w14:textId="17E77933"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2,340.11</w:t>
            </w:r>
          </w:p>
        </w:tc>
        <w:tc>
          <w:tcPr>
            <w:tcW w:w="1615" w:type="dxa"/>
            <w:shd w:val="clear" w:color="auto" w:fill="FFFFFF"/>
            <w:tcMar>
              <w:top w:w="0" w:type="dxa"/>
              <w:left w:w="108" w:type="dxa"/>
              <w:bottom w:w="0" w:type="dxa"/>
              <w:right w:w="108" w:type="dxa"/>
            </w:tcMar>
            <w:vAlign w:val="center"/>
          </w:tcPr>
          <w:p w14:paraId="45A5689B" w14:textId="65A55BC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4,775.74</w:t>
            </w:r>
          </w:p>
        </w:tc>
      </w:tr>
      <w:tr w:rsidR="00381FE3" w:rsidRPr="00DA3766" w14:paraId="303FBDBD"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69B91AD"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6</w:t>
            </w:r>
          </w:p>
        </w:tc>
        <w:tc>
          <w:tcPr>
            <w:tcW w:w="1736" w:type="dxa"/>
            <w:shd w:val="clear" w:color="auto" w:fill="FFFFFF"/>
            <w:tcMar>
              <w:top w:w="0" w:type="dxa"/>
              <w:left w:w="108" w:type="dxa"/>
              <w:bottom w:w="0" w:type="dxa"/>
              <w:right w:w="108" w:type="dxa"/>
            </w:tcMar>
            <w:vAlign w:val="center"/>
          </w:tcPr>
          <w:p w14:paraId="09306CA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林芝利新</w:t>
            </w:r>
          </w:p>
        </w:tc>
        <w:tc>
          <w:tcPr>
            <w:tcW w:w="2408" w:type="dxa"/>
            <w:shd w:val="clear" w:color="auto" w:fill="FFFFFF"/>
            <w:tcMar>
              <w:top w:w="0" w:type="dxa"/>
              <w:left w:w="108" w:type="dxa"/>
              <w:bottom w:w="0" w:type="dxa"/>
              <w:right w:w="108" w:type="dxa"/>
            </w:tcMar>
            <w:vAlign w:val="center"/>
          </w:tcPr>
          <w:p w14:paraId="21C4C4C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5.0811%</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4BD7058" w14:textId="0B1183C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3,109.62</w:t>
            </w:r>
          </w:p>
        </w:tc>
        <w:tc>
          <w:tcPr>
            <w:tcW w:w="1134" w:type="dxa"/>
            <w:shd w:val="clear" w:color="auto" w:fill="FFFFFF"/>
            <w:tcMar>
              <w:top w:w="0" w:type="dxa"/>
              <w:left w:w="108" w:type="dxa"/>
              <w:bottom w:w="0" w:type="dxa"/>
              <w:right w:w="108" w:type="dxa"/>
            </w:tcMar>
            <w:vAlign w:val="center"/>
          </w:tcPr>
          <w:p w14:paraId="428B8AFA" w14:textId="3D4349B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2,987.67</w:t>
            </w:r>
          </w:p>
        </w:tc>
        <w:tc>
          <w:tcPr>
            <w:tcW w:w="1615" w:type="dxa"/>
            <w:shd w:val="clear" w:color="auto" w:fill="FFFFFF"/>
            <w:tcMar>
              <w:top w:w="0" w:type="dxa"/>
              <w:left w:w="108" w:type="dxa"/>
              <w:bottom w:w="0" w:type="dxa"/>
              <w:right w:w="108" w:type="dxa"/>
            </w:tcMar>
            <w:vAlign w:val="center"/>
          </w:tcPr>
          <w:p w14:paraId="7E5F7CB2" w14:textId="14D9BCE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6,097.29</w:t>
            </w:r>
          </w:p>
        </w:tc>
      </w:tr>
      <w:tr w:rsidR="00381FE3" w:rsidRPr="00DA3766" w14:paraId="0531C19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85EC5E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7</w:t>
            </w:r>
          </w:p>
        </w:tc>
        <w:tc>
          <w:tcPr>
            <w:tcW w:w="1736" w:type="dxa"/>
            <w:shd w:val="clear" w:color="auto" w:fill="FFFFFF"/>
            <w:tcMar>
              <w:top w:w="0" w:type="dxa"/>
              <w:left w:w="108" w:type="dxa"/>
              <w:bottom w:w="0" w:type="dxa"/>
              <w:right w:w="108" w:type="dxa"/>
            </w:tcMar>
            <w:vAlign w:val="center"/>
          </w:tcPr>
          <w:p w14:paraId="06DB7C1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杨凯然</w:t>
            </w:r>
          </w:p>
        </w:tc>
        <w:tc>
          <w:tcPr>
            <w:tcW w:w="2408" w:type="dxa"/>
            <w:shd w:val="clear" w:color="auto" w:fill="FFFFFF"/>
            <w:tcMar>
              <w:top w:w="0" w:type="dxa"/>
              <w:left w:w="108" w:type="dxa"/>
              <w:bottom w:w="0" w:type="dxa"/>
              <w:right w:w="108" w:type="dxa"/>
            </w:tcMar>
            <w:vAlign w:val="center"/>
          </w:tcPr>
          <w:p w14:paraId="2D33A51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4.3499%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31523CED" w14:textId="3AA13AB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1,151.84</w:t>
            </w:r>
          </w:p>
        </w:tc>
        <w:tc>
          <w:tcPr>
            <w:tcW w:w="1134" w:type="dxa"/>
            <w:shd w:val="clear" w:color="auto" w:fill="FFFFFF"/>
            <w:tcMar>
              <w:top w:w="0" w:type="dxa"/>
              <w:left w:w="108" w:type="dxa"/>
              <w:bottom w:w="0" w:type="dxa"/>
              <w:right w:w="108" w:type="dxa"/>
            </w:tcMar>
            <w:vAlign w:val="center"/>
          </w:tcPr>
          <w:p w14:paraId="3AF81F73" w14:textId="3B0DE88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6,223.41</w:t>
            </w:r>
          </w:p>
        </w:tc>
        <w:tc>
          <w:tcPr>
            <w:tcW w:w="1615" w:type="dxa"/>
            <w:shd w:val="clear" w:color="auto" w:fill="FFFFFF"/>
            <w:tcMar>
              <w:top w:w="0" w:type="dxa"/>
              <w:left w:w="108" w:type="dxa"/>
              <w:bottom w:w="0" w:type="dxa"/>
              <w:right w:w="108" w:type="dxa"/>
            </w:tcMar>
            <w:vAlign w:val="center"/>
          </w:tcPr>
          <w:p w14:paraId="5BDB3FF7" w14:textId="38029AD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7,375.24</w:t>
            </w:r>
          </w:p>
        </w:tc>
      </w:tr>
      <w:tr w:rsidR="00381FE3" w:rsidRPr="00DA3766" w14:paraId="674D7C4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0DDB0E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8</w:t>
            </w:r>
          </w:p>
        </w:tc>
        <w:tc>
          <w:tcPr>
            <w:tcW w:w="1736" w:type="dxa"/>
            <w:shd w:val="clear" w:color="auto" w:fill="FFFFFF"/>
            <w:tcMar>
              <w:top w:w="0" w:type="dxa"/>
              <w:left w:w="108" w:type="dxa"/>
              <w:bottom w:w="0" w:type="dxa"/>
              <w:right w:w="108" w:type="dxa"/>
            </w:tcMar>
            <w:vAlign w:val="center"/>
          </w:tcPr>
          <w:p w14:paraId="33D853F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张杰波</w:t>
            </w:r>
          </w:p>
        </w:tc>
        <w:tc>
          <w:tcPr>
            <w:tcW w:w="2408" w:type="dxa"/>
            <w:shd w:val="clear" w:color="auto" w:fill="FFFFFF"/>
            <w:tcMar>
              <w:top w:w="0" w:type="dxa"/>
              <w:left w:w="108" w:type="dxa"/>
              <w:bottom w:w="0" w:type="dxa"/>
              <w:right w:w="108" w:type="dxa"/>
            </w:tcMar>
            <w:vAlign w:val="center"/>
          </w:tcPr>
          <w:p w14:paraId="0D1A714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4.0062%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A790B0F" w14:textId="7B9E955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1,060.81</w:t>
            </w:r>
          </w:p>
        </w:tc>
        <w:tc>
          <w:tcPr>
            <w:tcW w:w="1134" w:type="dxa"/>
            <w:shd w:val="clear" w:color="auto" w:fill="FFFFFF"/>
            <w:tcMar>
              <w:top w:w="0" w:type="dxa"/>
              <w:left w:w="108" w:type="dxa"/>
              <w:bottom w:w="0" w:type="dxa"/>
              <w:right w:w="108" w:type="dxa"/>
            </w:tcMar>
            <w:vAlign w:val="center"/>
          </w:tcPr>
          <w:p w14:paraId="20AA1CDC" w14:textId="3CE925E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5,731.62</w:t>
            </w:r>
          </w:p>
        </w:tc>
        <w:tc>
          <w:tcPr>
            <w:tcW w:w="1615" w:type="dxa"/>
            <w:shd w:val="clear" w:color="auto" w:fill="FFFFFF"/>
            <w:tcMar>
              <w:top w:w="0" w:type="dxa"/>
              <w:left w:w="108" w:type="dxa"/>
              <w:bottom w:w="0" w:type="dxa"/>
              <w:right w:w="108" w:type="dxa"/>
            </w:tcMar>
            <w:vAlign w:val="center"/>
          </w:tcPr>
          <w:p w14:paraId="3921F8AB" w14:textId="1DB1ED1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6,792.43</w:t>
            </w:r>
          </w:p>
        </w:tc>
      </w:tr>
      <w:tr w:rsidR="00381FE3" w:rsidRPr="00DA3766" w14:paraId="6AF7E9C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2A6A16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9</w:t>
            </w:r>
          </w:p>
        </w:tc>
        <w:tc>
          <w:tcPr>
            <w:tcW w:w="1736" w:type="dxa"/>
            <w:shd w:val="clear" w:color="auto" w:fill="FFFFFF"/>
            <w:tcMar>
              <w:top w:w="0" w:type="dxa"/>
              <w:left w:w="108" w:type="dxa"/>
              <w:bottom w:w="0" w:type="dxa"/>
              <w:right w:w="108" w:type="dxa"/>
            </w:tcMar>
            <w:vAlign w:val="center"/>
          </w:tcPr>
          <w:p w14:paraId="6D8B3A9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璀璨远见</w:t>
            </w:r>
          </w:p>
        </w:tc>
        <w:tc>
          <w:tcPr>
            <w:tcW w:w="2408" w:type="dxa"/>
            <w:shd w:val="clear" w:color="auto" w:fill="FFFFFF"/>
            <w:tcMar>
              <w:top w:w="0" w:type="dxa"/>
              <w:left w:w="108" w:type="dxa"/>
              <w:bottom w:w="0" w:type="dxa"/>
              <w:right w:w="108" w:type="dxa"/>
            </w:tcMar>
            <w:vAlign w:val="center"/>
          </w:tcPr>
          <w:p w14:paraId="1154BAC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2.8180%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7A8F50F7" w14:textId="60E49C6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1,386.06</w:t>
            </w:r>
          </w:p>
        </w:tc>
        <w:tc>
          <w:tcPr>
            <w:tcW w:w="1134" w:type="dxa"/>
            <w:shd w:val="clear" w:color="auto" w:fill="FFFFFF"/>
            <w:tcMar>
              <w:top w:w="0" w:type="dxa"/>
              <w:left w:w="108" w:type="dxa"/>
              <w:bottom w:w="0" w:type="dxa"/>
              <w:right w:w="108" w:type="dxa"/>
            </w:tcMar>
            <w:vAlign w:val="center"/>
          </w:tcPr>
          <w:p w14:paraId="672215A7" w14:textId="038B00D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1,331.70</w:t>
            </w:r>
          </w:p>
        </w:tc>
        <w:tc>
          <w:tcPr>
            <w:tcW w:w="1615" w:type="dxa"/>
            <w:shd w:val="clear" w:color="auto" w:fill="FFFFFF"/>
            <w:tcMar>
              <w:top w:w="0" w:type="dxa"/>
              <w:left w:w="108" w:type="dxa"/>
              <w:bottom w:w="0" w:type="dxa"/>
              <w:right w:w="108" w:type="dxa"/>
            </w:tcMar>
            <w:vAlign w:val="center"/>
          </w:tcPr>
          <w:p w14:paraId="21A5A6AC" w14:textId="12A39DC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2,717.76</w:t>
            </w:r>
          </w:p>
        </w:tc>
      </w:tr>
      <w:tr w:rsidR="00381FE3" w:rsidRPr="00DA3766" w14:paraId="7CFC65C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43CF5FB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10</w:t>
            </w:r>
          </w:p>
        </w:tc>
        <w:tc>
          <w:tcPr>
            <w:tcW w:w="1736" w:type="dxa"/>
            <w:shd w:val="clear" w:color="auto" w:fill="FFFFFF"/>
            <w:tcMar>
              <w:top w:w="0" w:type="dxa"/>
              <w:left w:w="108" w:type="dxa"/>
              <w:bottom w:w="0" w:type="dxa"/>
              <w:right w:w="108" w:type="dxa"/>
            </w:tcMar>
            <w:vAlign w:val="center"/>
          </w:tcPr>
          <w:p w14:paraId="0597B7C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乐熙熙</w:t>
            </w:r>
          </w:p>
        </w:tc>
        <w:tc>
          <w:tcPr>
            <w:tcW w:w="2408" w:type="dxa"/>
            <w:shd w:val="clear" w:color="auto" w:fill="FFFFFF"/>
            <w:tcMar>
              <w:top w:w="0" w:type="dxa"/>
              <w:left w:w="108" w:type="dxa"/>
              <w:bottom w:w="0" w:type="dxa"/>
              <w:right w:w="108" w:type="dxa"/>
            </w:tcMar>
            <w:vAlign w:val="center"/>
          </w:tcPr>
          <w:p w14:paraId="28727EB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2.5122%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B745DD7" w14:textId="020C3CD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2,172.24</w:t>
            </w:r>
          </w:p>
        </w:tc>
        <w:tc>
          <w:tcPr>
            <w:tcW w:w="1134" w:type="dxa"/>
            <w:shd w:val="clear" w:color="auto" w:fill="FFFFFF"/>
            <w:tcMar>
              <w:top w:w="0" w:type="dxa"/>
              <w:left w:w="108" w:type="dxa"/>
              <w:bottom w:w="0" w:type="dxa"/>
              <w:right w:w="108" w:type="dxa"/>
            </w:tcMar>
            <w:vAlign w:val="center"/>
          </w:tcPr>
          <w:p w14:paraId="4A40EAC1" w14:textId="0319F59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2,087.06</w:t>
            </w:r>
          </w:p>
        </w:tc>
        <w:tc>
          <w:tcPr>
            <w:tcW w:w="1615" w:type="dxa"/>
            <w:shd w:val="clear" w:color="auto" w:fill="FFFFFF"/>
            <w:tcMar>
              <w:top w:w="0" w:type="dxa"/>
              <w:left w:w="108" w:type="dxa"/>
              <w:bottom w:w="0" w:type="dxa"/>
              <w:right w:w="108" w:type="dxa"/>
            </w:tcMar>
            <w:vAlign w:val="center"/>
          </w:tcPr>
          <w:p w14:paraId="377ACC4D" w14:textId="174DCAB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4,259.30</w:t>
            </w:r>
          </w:p>
        </w:tc>
      </w:tr>
      <w:tr w:rsidR="00381FE3" w:rsidRPr="00DA3766" w14:paraId="4EDF8F6D"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9DAAD1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11</w:t>
            </w:r>
          </w:p>
        </w:tc>
        <w:tc>
          <w:tcPr>
            <w:tcW w:w="1736" w:type="dxa"/>
            <w:shd w:val="clear" w:color="auto" w:fill="FFFFFF"/>
            <w:tcMar>
              <w:top w:w="0" w:type="dxa"/>
              <w:left w:w="108" w:type="dxa"/>
              <w:bottom w:w="0" w:type="dxa"/>
              <w:right w:w="108" w:type="dxa"/>
            </w:tcMar>
            <w:vAlign w:val="center"/>
          </w:tcPr>
          <w:p w14:paraId="552FEF3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乐腾腾</w:t>
            </w:r>
          </w:p>
        </w:tc>
        <w:tc>
          <w:tcPr>
            <w:tcW w:w="2408" w:type="dxa"/>
            <w:shd w:val="clear" w:color="auto" w:fill="FFFFFF"/>
            <w:tcMar>
              <w:top w:w="0" w:type="dxa"/>
              <w:left w:w="108" w:type="dxa"/>
              <w:bottom w:w="0" w:type="dxa"/>
              <w:right w:w="108" w:type="dxa"/>
            </w:tcMar>
            <w:vAlign w:val="center"/>
          </w:tcPr>
          <w:p w14:paraId="2AF86440"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2.2656%</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62AB43C" w14:textId="5E6BFBF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1,959.03</w:t>
            </w:r>
          </w:p>
        </w:tc>
        <w:tc>
          <w:tcPr>
            <w:tcW w:w="1134" w:type="dxa"/>
            <w:shd w:val="clear" w:color="auto" w:fill="FFFFFF"/>
            <w:tcMar>
              <w:top w:w="0" w:type="dxa"/>
              <w:left w:w="108" w:type="dxa"/>
              <w:bottom w:w="0" w:type="dxa"/>
              <w:right w:w="108" w:type="dxa"/>
            </w:tcMar>
            <w:vAlign w:val="center"/>
          </w:tcPr>
          <w:p w14:paraId="7F51121F" w14:textId="13FFAC9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1,882.21</w:t>
            </w:r>
          </w:p>
        </w:tc>
        <w:tc>
          <w:tcPr>
            <w:tcW w:w="1615" w:type="dxa"/>
            <w:shd w:val="clear" w:color="auto" w:fill="FFFFFF"/>
            <w:tcMar>
              <w:top w:w="0" w:type="dxa"/>
              <w:left w:w="108" w:type="dxa"/>
              <w:bottom w:w="0" w:type="dxa"/>
              <w:right w:w="108" w:type="dxa"/>
            </w:tcMar>
            <w:vAlign w:val="center"/>
          </w:tcPr>
          <w:p w14:paraId="64313588" w14:textId="0930AAA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3,841.24</w:t>
            </w:r>
          </w:p>
        </w:tc>
      </w:tr>
      <w:tr w:rsidR="00381FE3" w:rsidRPr="00DA3766" w14:paraId="19B6E376"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18E2D7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12</w:t>
            </w:r>
          </w:p>
        </w:tc>
        <w:tc>
          <w:tcPr>
            <w:tcW w:w="1736" w:type="dxa"/>
            <w:shd w:val="clear" w:color="auto" w:fill="FFFFFF"/>
            <w:tcMar>
              <w:top w:w="0" w:type="dxa"/>
              <w:left w:w="108" w:type="dxa"/>
              <w:bottom w:w="0" w:type="dxa"/>
              <w:right w:w="108" w:type="dxa"/>
            </w:tcMar>
            <w:vAlign w:val="center"/>
          </w:tcPr>
          <w:p w14:paraId="76728158"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深圳市前海千意智合三期</w:t>
            </w:r>
          </w:p>
        </w:tc>
        <w:tc>
          <w:tcPr>
            <w:tcW w:w="2408" w:type="dxa"/>
            <w:shd w:val="clear" w:color="auto" w:fill="FFFFFF"/>
            <w:tcMar>
              <w:top w:w="0" w:type="dxa"/>
              <w:left w:w="108" w:type="dxa"/>
              <w:bottom w:w="0" w:type="dxa"/>
              <w:right w:w="108" w:type="dxa"/>
            </w:tcMar>
            <w:vAlign w:val="center"/>
          </w:tcPr>
          <w:p w14:paraId="21D914D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2.1312%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000558B" w14:textId="32D76AF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869.53</w:t>
            </w:r>
          </w:p>
        </w:tc>
        <w:tc>
          <w:tcPr>
            <w:tcW w:w="1134" w:type="dxa"/>
            <w:shd w:val="clear" w:color="auto" w:fill="FFFFFF"/>
            <w:tcMar>
              <w:top w:w="0" w:type="dxa"/>
              <w:left w:w="108" w:type="dxa"/>
              <w:bottom w:w="0" w:type="dxa"/>
              <w:right w:w="108" w:type="dxa"/>
            </w:tcMar>
            <w:vAlign w:val="center"/>
          </w:tcPr>
          <w:p w14:paraId="47DE7124" w14:textId="47676BD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835.43</w:t>
            </w:r>
          </w:p>
        </w:tc>
        <w:tc>
          <w:tcPr>
            <w:tcW w:w="1615" w:type="dxa"/>
            <w:shd w:val="clear" w:color="auto" w:fill="FFFFFF"/>
            <w:tcMar>
              <w:top w:w="0" w:type="dxa"/>
              <w:left w:w="108" w:type="dxa"/>
              <w:bottom w:w="0" w:type="dxa"/>
              <w:right w:w="108" w:type="dxa"/>
            </w:tcMar>
            <w:vAlign w:val="center"/>
          </w:tcPr>
          <w:p w14:paraId="3BA73C08" w14:textId="1224BA7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1,704.95</w:t>
            </w:r>
          </w:p>
        </w:tc>
      </w:tr>
      <w:tr w:rsidR="00381FE3" w:rsidRPr="00DA3766" w14:paraId="47147E14"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840F69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w:t>
            </w:r>
          </w:p>
        </w:tc>
        <w:tc>
          <w:tcPr>
            <w:tcW w:w="1736" w:type="dxa"/>
            <w:shd w:val="clear" w:color="auto" w:fill="FFFFFF"/>
            <w:tcMar>
              <w:top w:w="0" w:type="dxa"/>
              <w:left w:w="108" w:type="dxa"/>
              <w:bottom w:w="0" w:type="dxa"/>
              <w:right w:w="108" w:type="dxa"/>
            </w:tcMar>
            <w:vAlign w:val="center"/>
          </w:tcPr>
          <w:p w14:paraId="0F3FE43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胡俊</w:t>
            </w:r>
          </w:p>
        </w:tc>
        <w:tc>
          <w:tcPr>
            <w:tcW w:w="2408" w:type="dxa"/>
            <w:shd w:val="clear" w:color="auto" w:fill="FFFFFF"/>
            <w:tcMar>
              <w:top w:w="0" w:type="dxa"/>
              <w:left w:w="108" w:type="dxa"/>
              <w:bottom w:w="0" w:type="dxa"/>
              <w:right w:w="108" w:type="dxa"/>
            </w:tcMar>
            <w:vAlign w:val="center"/>
          </w:tcPr>
          <w:p w14:paraId="21227C5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1.7657%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3086966" w14:textId="3A45302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467.55</w:t>
            </w:r>
          </w:p>
        </w:tc>
        <w:tc>
          <w:tcPr>
            <w:tcW w:w="1134" w:type="dxa"/>
            <w:shd w:val="clear" w:color="auto" w:fill="FFFFFF"/>
            <w:tcMar>
              <w:top w:w="0" w:type="dxa"/>
              <w:left w:w="108" w:type="dxa"/>
              <w:bottom w:w="0" w:type="dxa"/>
              <w:right w:w="108" w:type="dxa"/>
            </w:tcMar>
            <w:vAlign w:val="center"/>
          </w:tcPr>
          <w:p w14:paraId="34C04173" w14:textId="54DC8AE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2,526.17</w:t>
            </w:r>
          </w:p>
        </w:tc>
        <w:tc>
          <w:tcPr>
            <w:tcW w:w="1615" w:type="dxa"/>
            <w:shd w:val="clear" w:color="auto" w:fill="FFFFFF"/>
            <w:tcMar>
              <w:top w:w="0" w:type="dxa"/>
              <w:left w:w="108" w:type="dxa"/>
              <w:bottom w:w="0" w:type="dxa"/>
              <w:right w:w="108" w:type="dxa"/>
            </w:tcMar>
            <w:vAlign w:val="center"/>
          </w:tcPr>
          <w:p w14:paraId="4E9BB8FC" w14:textId="78DE944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2,993.71</w:t>
            </w:r>
          </w:p>
        </w:tc>
      </w:tr>
      <w:tr w:rsidR="00381FE3" w:rsidRPr="00DA3766" w14:paraId="15128DF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83599A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14</w:t>
            </w:r>
          </w:p>
        </w:tc>
        <w:tc>
          <w:tcPr>
            <w:tcW w:w="1736" w:type="dxa"/>
            <w:shd w:val="clear" w:color="auto" w:fill="FFFFFF"/>
            <w:tcMar>
              <w:top w:w="0" w:type="dxa"/>
              <w:left w:w="108" w:type="dxa"/>
              <w:bottom w:w="0" w:type="dxa"/>
              <w:right w:w="108" w:type="dxa"/>
            </w:tcMar>
            <w:vAlign w:val="center"/>
          </w:tcPr>
          <w:p w14:paraId="3B53C9E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王佳</w:t>
            </w:r>
          </w:p>
        </w:tc>
        <w:tc>
          <w:tcPr>
            <w:tcW w:w="2408" w:type="dxa"/>
            <w:shd w:val="clear" w:color="auto" w:fill="FFFFFF"/>
            <w:tcMar>
              <w:top w:w="0" w:type="dxa"/>
              <w:left w:w="108" w:type="dxa"/>
              <w:bottom w:w="0" w:type="dxa"/>
              <w:right w:w="108" w:type="dxa"/>
            </w:tcMar>
            <w:vAlign w:val="center"/>
          </w:tcPr>
          <w:p w14:paraId="1876362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1.5833%</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0A077033" w14:textId="10A72AA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419.26</w:t>
            </w:r>
          </w:p>
        </w:tc>
        <w:tc>
          <w:tcPr>
            <w:tcW w:w="1134" w:type="dxa"/>
            <w:shd w:val="clear" w:color="auto" w:fill="FFFFFF"/>
            <w:tcMar>
              <w:top w:w="0" w:type="dxa"/>
              <w:left w:w="108" w:type="dxa"/>
              <w:bottom w:w="0" w:type="dxa"/>
              <w:right w:w="108" w:type="dxa"/>
            </w:tcMar>
            <w:vAlign w:val="center"/>
          </w:tcPr>
          <w:p w14:paraId="5A6810B2" w14:textId="3DA00A8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2,265.26</w:t>
            </w:r>
          </w:p>
        </w:tc>
        <w:tc>
          <w:tcPr>
            <w:tcW w:w="1615" w:type="dxa"/>
            <w:shd w:val="clear" w:color="auto" w:fill="FFFFFF"/>
            <w:tcMar>
              <w:top w:w="0" w:type="dxa"/>
              <w:left w:w="108" w:type="dxa"/>
              <w:bottom w:w="0" w:type="dxa"/>
              <w:right w:w="108" w:type="dxa"/>
            </w:tcMar>
            <w:vAlign w:val="center"/>
          </w:tcPr>
          <w:p w14:paraId="65555108" w14:textId="55533F9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2,684.52</w:t>
            </w:r>
          </w:p>
        </w:tc>
      </w:tr>
      <w:tr w:rsidR="00381FE3" w:rsidRPr="00DA3766" w14:paraId="5754E634"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03DD832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w:t>
            </w:r>
          </w:p>
        </w:tc>
        <w:tc>
          <w:tcPr>
            <w:tcW w:w="1736" w:type="dxa"/>
            <w:shd w:val="clear" w:color="auto" w:fill="FFFFFF"/>
            <w:tcMar>
              <w:top w:w="0" w:type="dxa"/>
              <w:left w:w="108" w:type="dxa"/>
              <w:bottom w:w="0" w:type="dxa"/>
              <w:right w:w="108" w:type="dxa"/>
            </w:tcMar>
            <w:vAlign w:val="center"/>
          </w:tcPr>
          <w:p w14:paraId="63FCD55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乐哈哈</w:t>
            </w:r>
          </w:p>
        </w:tc>
        <w:tc>
          <w:tcPr>
            <w:tcW w:w="2408" w:type="dxa"/>
            <w:shd w:val="clear" w:color="auto" w:fill="FFFFFF"/>
            <w:tcMar>
              <w:top w:w="0" w:type="dxa"/>
              <w:left w:w="108" w:type="dxa"/>
              <w:bottom w:w="0" w:type="dxa"/>
              <w:right w:w="108" w:type="dxa"/>
            </w:tcMar>
            <w:vAlign w:val="center"/>
          </w:tcPr>
          <w:p w14:paraId="75906B1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1.3809%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068B243" w14:textId="21C3AB9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1,194.09</w:t>
            </w:r>
          </w:p>
        </w:tc>
        <w:tc>
          <w:tcPr>
            <w:tcW w:w="1134" w:type="dxa"/>
            <w:shd w:val="clear" w:color="auto" w:fill="FFFFFF"/>
            <w:tcMar>
              <w:top w:w="0" w:type="dxa"/>
              <w:left w:w="108" w:type="dxa"/>
              <w:bottom w:w="0" w:type="dxa"/>
              <w:right w:w="108" w:type="dxa"/>
            </w:tcMar>
            <w:vAlign w:val="center"/>
          </w:tcPr>
          <w:p w14:paraId="0B8B7FA5" w14:textId="39293E9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1,147.26</w:t>
            </w:r>
          </w:p>
        </w:tc>
        <w:tc>
          <w:tcPr>
            <w:tcW w:w="1615" w:type="dxa"/>
            <w:shd w:val="clear" w:color="auto" w:fill="FFFFFF"/>
            <w:tcMar>
              <w:top w:w="0" w:type="dxa"/>
              <w:left w:w="108" w:type="dxa"/>
              <w:bottom w:w="0" w:type="dxa"/>
              <w:right w:w="108" w:type="dxa"/>
            </w:tcMar>
            <w:vAlign w:val="center"/>
          </w:tcPr>
          <w:p w14:paraId="01ACA57A" w14:textId="2A4C7F9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2,341.35</w:t>
            </w:r>
          </w:p>
        </w:tc>
      </w:tr>
      <w:tr w:rsidR="00381FE3" w:rsidRPr="00DA3766" w14:paraId="51F2954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F102B2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16</w:t>
            </w:r>
          </w:p>
        </w:tc>
        <w:tc>
          <w:tcPr>
            <w:tcW w:w="1736" w:type="dxa"/>
            <w:shd w:val="clear" w:color="auto" w:fill="FFFFFF"/>
            <w:tcMar>
              <w:top w:w="0" w:type="dxa"/>
              <w:left w:w="108" w:type="dxa"/>
              <w:bottom w:w="0" w:type="dxa"/>
              <w:right w:w="108" w:type="dxa"/>
            </w:tcMar>
            <w:vAlign w:val="center"/>
          </w:tcPr>
          <w:p w14:paraId="5A54C5A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广发信德二期</w:t>
            </w:r>
          </w:p>
        </w:tc>
        <w:tc>
          <w:tcPr>
            <w:tcW w:w="2408" w:type="dxa"/>
            <w:shd w:val="clear" w:color="auto" w:fill="FFFFFF"/>
            <w:tcMar>
              <w:top w:w="0" w:type="dxa"/>
              <w:left w:w="108" w:type="dxa"/>
              <w:bottom w:w="0" w:type="dxa"/>
              <w:right w:w="108" w:type="dxa"/>
            </w:tcMar>
            <w:vAlign w:val="center"/>
          </w:tcPr>
          <w:p w14:paraId="0130220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1.2457%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E96A935" w14:textId="4F74EEA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762.37</w:t>
            </w:r>
          </w:p>
        </w:tc>
        <w:tc>
          <w:tcPr>
            <w:tcW w:w="1134" w:type="dxa"/>
            <w:shd w:val="clear" w:color="auto" w:fill="FFFFFF"/>
            <w:tcMar>
              <w:top w:w="0" w:type="dxa"/>
              <w:left w:w="108" w:type="dxa"/>
              <w:bottom w:w="0" w:type="dxa"/>
              <w:right w:w="108" w:type="dxa"/>
            </w:tcMar>
            <w:vAlign w:val="center"/>
          </w:tcPr>
          <w:p w14:paraId="64E62C59" w14:textId="73FA60D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732.47</w:t>
            </w:r>
          </w:p>
        </w:tc>
        <w:tc>
          <w:tcPr>
            <w:tcW w:w="1615" w:type="dxa"/>
            <w:shd w:val="clear" w:color="auto" w:fill="FFFFFF"/>
            <w:tcMar>
              <w:top w:w="0" w:type="dxa"/>
              <w:left w:w="108" w:type="dxa"/>
              <w:bottom w:w="0" w:type="dxa"/>
              <w:right w:w="108" w:type="dxa"/>
            </w:tcMar>
            <w:vAlign w:val="center"/>
          </w:tcPr>
          <w:p w14:paraId="6D402C5B" w14:textId="143D8B3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1,494.85</w:t>
            </w:r>
          </w:p>
        </w:tc>
      </w:tr>
      <w:tr w:rsidR="00381FE3" w:rsidRPr="00DA3766" w14:paraId="4581947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256505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17</w:t>
            </w:r>
          </w:p>
        </w:tc>
        <w:tc>
          <w:tcPr>
            <w:tcW w:w="1736" w:type="dxa"/>
            <w:shd w:val="clear" w:color="auto" w:fill="FFFFFF"/>
            <w:tcMar>
              <w:top w:w="0" w:type="dxa"/>
              <w:left w:w="108" w:type="dxa"/>
              <w:bottom w:w="0" w:type="dxa"/>
              <w:right w:w="108" w:type="dxa"/>
            </w:tcMar>
            <w:vAlign w:val="center"/>
          </w:tcPr>
          <w:p w14:paraId="2455CBC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璀璨德商</w:t>
            </w:r>
          </w:p>
        </w:tc>
        <w:tc>
          <w:tcPr>
            <w:tcW w:w="2408" w:type="dxa"/>
            <w:shd w:val="clear" w:color="auto" w:fill="FFFFFF"/>
            <w:tcMar>
              <w:top w:w="0" w:type="dxa"/>
              <w:left w:w="108" w:type="dxa"/>
              <w:bottom w:w="0" w:type="dxa"/>
              <w:right w:w="108" w:type="dxa"/>
            </w:tcMar>
            <w:vAlign w:val="center"/>
          </w:tcPr>
          <w:p w14:paraId="0A76D8B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0.8899%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0C6505BB" w14:textId="25BEF9E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437.71</w:t>
            </w:r>
          </w:p>
        </w:tc>
        <w:tc>
          <w:tcPr>
            <w:tcW w:w="1134" w:type="dxa"/>
            <w:shd w:val="clear" w:color="auto" w:fill="FFFFFF"/>
            <w:tcMar>
              <w:top w:w="0" w:type="dxa"/>
              <w:left w:w="108" w:type="dxa"/>
              <w:bottom w:w="0" w:type="dxa"/>
              <w:right w:w="108" w:type="dxa"/>
            </w:tcMar>
            <w:vAlign w:val="center"/>
          </w:tcPr>
          <w:p w14:paraId="1A998637" w14:textId="7222DA4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420.54</w:t>
            </w:r>
          </w:p>
        </w:tc>
        <w:tc>
          <w:tcPr>
            <w:tcW w:w="1615" w:type="dxa"/>
            <w:shd w:val="clear" w:color="auto" w:fill="FFFFFF"/>
            <w:tcMar>
              <w:top w:w="0" w:type="dxa"/>
              <w:left w:w="108" w:type="dxa"/>
              <w:bottom w:w="0" w:type="dxa"/>
              <w:right w:w="108" w:type="dxa"/>
            </w:tcMar>
            <w:vAlign w:val="center"/>
          </w:tcPr>
          <w:p w14:paraId="0EBEB710" w14:textId="4E0036C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858.25</w:t>
            </w:r>
          </w:p>
        </w:tc>
      </w:tr>
      <w:tr w:rsidR="00381FE3" w:rsidRPr="00DA3766" w14:paraId="1F738753"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7286C4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18</w:t>
            </w:r>
          </w:p>
        </w:tc>
        <w:tc>
          <w:tcPr>
            <w:tcW w:w="1736" w:type="dxa"/>
            <w:shd w:val="clear" w:color="auto" w:fill="FFFFFF"/>
            <w:tcMar>
              <w:top w:w="0" w:type="dxa"/>
              <w:left w:w="108" w:type="dxa"/>
              <w:bottom w:w="0" w:type="dxa"/>
              <w:right w:w="108" w:type="dxa"/>
            </w:tcMar>
            <w:vAlign w:val="center"/>
          </w:tcPr>
          <w:p w14:paraId="04CF70C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广州信德创业营</w:t>
            </w:r>
          </w:p>
        </w:tc>
        <w:tc>
          <w:tcPr>
            <w:tcW w:w="2408" w:type="dxa"/>
            <w:shd w:val="clear" w:color="auto" w:fill="FFFFFF"/>
            <w:tcMar>
              <w:top w:w="0" w:type="dxa"/>
              <w:left w:w="108" w:type="dxa"/>
              <w:bottom w:w="0" w:type="dxa"/>
              <w:right w:w="108" w:type="dxa"/>
            </w:tcMar>
            <w:vAlign w:val="center"/>
          </w:tcPr>
          <w:p w14:paraId="2525917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0.8701%</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D49D3DA" w14:textId="201D303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532.52</w:t>
            </w:r>
          </w:p>
        </w:tc>
        <w:tc>
          <w:tcPr>
            <w:tcW w:w="1134" w:type="dxa"/>
            <w:shd w:val="clear" w:color="auto" w:fill="FFFFFF"/>
            <w:tcMar>
              <w:top w:w="0" w:type="dxa"/>
              <w:left w:w="108" w:type="dxa"/>
              <w:bottom w:w="0" w:type="dxa"/>
              <w:right w:w="108" w:type="dxa"/>
            </w:tcMar>
            <w:vAlign w:val="center"/>
          </w:tcPr>
          <w:p w14:paraId="04511B54" w14:textId="06F041A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511.64</w:t>
            </w:r>
          </w:p>
        </w:tc>
        <w:tc>
          <w:tcPr>
            <w:tcW w:w="1615" w:type="dxa"/>
            <w:shd w:val="clear" w:color="auto" w:fill="FFFFFF"/>
            <w:tcMar>
              <w:top w:w="0" w:type="dxa"/>
              <w:left w:w="108" w:type="dxa"/>
              <w:bottom w:w="0" w:type="dxa"/>
              <w:right w:w="108" w:type="dxa"/>
            </w:tcMar>
            <w:vAlign w:val="center"/>
          </w:tcPr>
          <w:p w14:paraId="369223C8" w14:textId="73C976E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1,044.16</w:t>
            </w:r>
          </w:p>
        </w:tc>
      </w:tr>
      <w:tr w:rsidR="00381FE3" w:rsidRPr="00DA3766" w14:paraId="2B920F0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E1B428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w:t>
            </w:r>
          </w:p>
        </w:tc>
        <w:tc>
          <w:tcPr>
            <w:tcW w:w="1736" w:type="dxa"/>
            <w:shd w:val="clear" w:color="auto" w:fill="FFFFFF"/>
            <w:tcMar>
              <w:top w:w="0" w:type="dxa"/>
              <w:left w:w="108" w:type="dxa"/>
              <w:bottom w:w="0" w:type="dxa"/>
              <w:right w:w="108" w:type="dxa"/>
            </w:tcMar>
            <w:vAlign w:val="center"/>
          </w:tcPr>
          <w:p w14:paraId="66D545C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乐摇</w:t>
            </w:r>
          </w:p>
        </w:tc>
        <w:tc>
          <w:tcPr>
            <w:tcW w:w="2408" w:type="dxa"/>
            <w:shd w:val="clear" w:color="auto" w:fill="FFFFFF"/>
            <w:tcMar>
              <w:top w:w="0" w:type="dxa"/>
              <w:left w:w="108" w:type="dxa"/>
              <w:bottom w:w="0" w:type="dxa"/>
              <w:right w:w="108" w:type="dxa"/>
            </w:tcMar>
            <w:vAlign w:val="center"/>
          </w:tcPr>
          <w:p w14:paraId="1EE20D3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0.4475%</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612142AE" w14:textId="337DE65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386.93</w:t>
            </w:r>
          </w:p>
        </w:tc>
        <w:tc>
          <w:tcPr>
            <w:tcW w:w="1134" w:type="dxa"/>
            <w:shd w:val="clear" w:color="auto" w:fill="FFFFFF"/>
            <w:tcMar>
              <w:top w:w="0" w:type="dxa"/>
              <w:left w:w="108" w:type="dxa"/>
              <w:bottom w:w="0" w:type="dxa"/>
              <w:right w:w="108" w:type="dxa"/>
            </w:tcMar>
            <w:vAlign w:val="center"/>
          </w:tcPr>
          <w:p w14:paraId="5407EF4B" w14:textId="3879AE5F"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371.76</w:t>
            </w:r>
          </w:p>
        </w:tc>
        <w:tc>
          <w:tcPr>
            <w:tcW w:w="1615" w:type="dxa"/>
            <w:shd w:val="clear" w:color="auto" w:fill="FFFFFF"/>
            <w:tcMar>
              <w:top w:w="0" w:type="dxa"/>
              <w:left w:w="108" w:type="dxa"/>
              <w:bottom w:w="0" w:type="dxa"/>
              <w:right w:w="108" w:type="dxa"/>
            </w:tcMar>
            <w:vAlign w:val="center"/>
          </w:tcPr>
          <w:p w14:paraId="4F73E12B" w14:textId="7909A0C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758.69</w:t>
            </w:r>
          </w:p>
        </w:tc>
      </w:tr>
      <w:tr w:rsidR="00381FE3" w:rsidRPr="00DA3766" w14:paraId="6BEABA51"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D585D2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20</w:t>
            </w:r>
          </w:p>
        </w:tc>
        <w:tc>
          <w:tcPr>
            <w:tcW w:w="1736" w:type="dxa"/>
            <w:shd w:val="clear" w:color="auto" w:fill="FFFFFF"/>
            <w:tcMar>
              <w:top w:w="0" w:type="dxa"/>
              <w:left w:w="108" w:type="dxa"/>
              <w:bottom w:w="0" w:type="dxa"/>
              <w:right w:w="108" w:type="dxa"/>
            </w:tcMar>
            <w:vAlign w:val="center"/>
          </w:tcPr>
          <w:p w14:paraId="61FAB5E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珠海康远</w:t>
            </w:r>
          </w:p>
        </w:tc>
        <w:tc>
          <w:tcPr>
            <w:tcW w:w="2408" w:type="dxa"/>
            <w:shd w:val="clear" w:color="auto" w:fill="FFFFFF"/>
            <w:tcMar>
              <w:top w:w="0" w:type="dxa"/>
              <w:left w:w="108" w:type="dxa"/>
              <w:bottom w:w="0" w:type="dxa"/>
              <w:right w:w="108" w:type="dxa"/>
            </w:tcMar>
            <w:vAlign w:val="center"/>
          </w:tcPr>
          <w:p w14:paraId="6A2127B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0.4233%</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4FEB982" w14:textId="6FC1386F"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186.53</w:t>
            </w:r>
          </w:p>
        </w:tc>
        <w:tc>
          <w:tcPr>
            <w:tcW w:w="1134" w:type="dxa"/>
            <w:shd w:val="clear" w:color="auto" w:fill="FFFFFF"/>
            <w:tcMar>
              <w:top w:w="0" w:type="dxa"/>
              <w:left w:w="108" w:type="dxa"/>
              <w:bottom w:w="0" w:type="dxa"/>
              <w:right w:w="108" w:type="dxa"/>
            </w:tcMar>
            <w:vAlign w:val="center"/>
          </w:tcPr>
          <w:p w14:paraId="0B1F7204" w14:textId="081D88D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179.22</w:t>
            </w:r>
          </w:p>
        </w:tc>
        <w:tc>
          <w:tcPr>
            <w:tcW w:w="1615" w:type="dxa"/>
            <w:shd w:val="clear" w:color="auto" w:fill="FFFFFF"/>
            <w:tcMar>
              <w:top w:w="0" w:type="dxa"/>
              <w:left w:w="108" w:type="dxa"/>
              <w:bottom w:w="0" w:type="dxa"/>
              <w:right w:w="108" w:type="dxa"/>
            </w:tcMar>
            <w:vAlign w:val="center"/>
          </w:tcPr>
          <w:p w14:paraId="5065C95C" w14:textId="42E9BDA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365.75</w:t>
            </w:r>
          </w:p>
        </w:tc>
      </w:tr>
      <w:tr w:rsidR="00381FE3" w:rsidRPr="00DA3766" w14:paraId="735D55A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6FAA4D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21</w:t>
            </w:r>
          </w:p>
        </w:tc>
        <w:tc>
          <w:tcPr>
            <w:tcW w:w="1736" w:type="dxa"/>
            <w:shd w:val="clear" w:color="auto" w:fill="FFFFFF"/>
            <w:tcMar>
              <w:top w:w="0" w:type="dxa"/>
              <w:left w:w="108" w:type="dxa"/>
              <w:bottom w:w="0" w:type="dxa"/>
              <w:right w:w="108" w:type="dxa"/>
            </w:tcMar>
            <w:vAlign w:val="center"/>
          </w:tcPr>
          <w:p w14:paraId="7892D03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上海德盾</w:t>
            </w:r>
          </w:p>
        </w:tc>
        <w:tc>
          <w:tcPr>
            <w:tcW w:w="2408" w:type="dxa"/>
            <w:shd w:val="clear" w:color="auto" w:fill="FFFFFF"/>
            <w:tcMar>
              <w:top w:w="0" w:type="dxa"/>
              <w:left w:w="108" w:type="dxa"/>
              <w:bottom w:w="0" w:type="dxa"/>
              <w:right w:w="108" w:type="dxa"/>
            </w:tcMar>
            <w:vAlign w:val="center"/>
          </w:tcPr>
          <w:p w14:paraId="334A3DA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0.0300%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22BCC5E" w14:textId="127056A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12.23</w:t>
            </w:r>
          </w:p>
        </w:tc>
        <w:tc>
          <w:tcPr>
            <w:tcW w:w="1134" w:type="dxa"/>
            <w:shd w:val="clear" w:color="auto" w:fill="FFFFFF"/>
            <w:tcMar>
              <w:top w:w="0" w:type="dxa"/>
              <w:left w:w="108" w:type="dxa"/>
              <w:bottom w:w="0" w:type="dxa"/>
              <w:right w:w="108" w:type="dxa"/>
            </w:tcMar>
            <w:vAlign w:val="center"/>
          </w:tcPr>
          <w:p w14:paraId="254BFB6E" w14:textId="2A3EB9A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11.75</w:t>
            </w:r>
          </w:p>
        </w:tc>
        <w:tc>
          <w:tcPr>
            <w:tcW w:w="1615" w:type="dxa"/>
            <w:shd w:val="clear" w:color="auto" w:fill="FFFFFF"/>
            <w:tcMar>
              <w:top w:w="0" w:type="dxa"/>
              <w:left w:w="108" w:type="dxa"/>
              <w:bottom w:w="0" w:type="dxa"/>
              <w:right w:w="108" w:type="dxa"/>
            </w:tcMar>
            <w:vAlign w:val="center"/>
          </w:tcPr>
          <w:p w14:paraId="6EF97729" w14:textId="6D46199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23.98</w:t>
            </w:r>
          </w:p>
        </w:tc>
      </w:tr>
      <w:tr w:rsidR="00381FE3" w:rsidRPr="00DA3766" w14:paraId="595F3C96" w14:textId="77777777" w:rsidTr="00DA3766">
        <w:trPr>
          <w:trHeight w:val="397"/>
          <w:jc w:val="center"/>
        </w:trPr>
        <w:tc>
          <w:tcPr>
            <w:tcW w:w="2237" w:type="dxa"/>
            <w:gridSpan w:val="2"/>
            <w:shd w:val="clear" w:color="auto" w:fill="FFFFFF"/>
            <w:tcMar>
              <w:top w:w="0" w:type="dxa"/>
              <w:left w:w="108" w:type="dxa"/>
              <w:bottom w:w="0" w:type="dxa"/>
              <w:right w:w="108" w:type="dxa"/>
            </w:tcMar>
            <w:vAlign w:val="center"/>
          </w:tcPr>
          <w:p w14:paraId="5EACE2B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lang w:bidi="ar"/>
              </w:rPr>
              <w:lastRenderedPageBreak/>
              <w:t>合计</w:t>
            </w:r>
          </w:p>
        </w:tc>
        <w:tc>
          <w:tcPr>
            <w:tcW w:w="2408" w:type="dxa"/>
            <w:shd w:val="clear" w:color="auto" w:fill="FFFFFF"/>
            <w:tcMar>
              <w:top w:w="0" w:type="dxa"/>
              <w:left w:w="108" w:type="dxa"/>
              <w:bottom w:w="0" w:type="dxa"/>
              <w:right w:w="108" w:type="dxa"/>
            </w:tcMar>
            <w:vAlign w:val="center"/>
          </w:tcPr>
          <w:p w14:paraId="2982F6C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lang w:bidi="ar"/>
              </w:rPr>
              <w:t>星云开物</w:t>
            </w:r>
            <w:r w:rsidRPr="00DA3766">
              <w:rPr>
                <w:rFonts w:ascii="Times New Roman" w:hAnsi="Times New Roman" w:cs="Times New Roman"/>
                <w:b/>
                <w:bCs/>
                <w:color w:val="000000"/>
                <w:sz w:val="21"/>
                <w:szCs w:val="21"/>
                <w:lang w:bidi="ar"/>
              </w:rPr>
              <w:t>98.5632%</w:t>
            </w:r>
            <w:r w:rsidRPr="00DA3766">
              <w:rPr>
                <w:rFonts w:ascii="Times New Roman" w:hAnsi="Times New Roman" w:cs="Times New Roman"/>
                <w:b/>
                <w:bCs/>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041F7C7" w14:textId="7777777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bookmarkStart w:id="178" w:name="OLE_LINK137"/>
            <w:r w:rsidRPr="00DA3766">
              <w:rPr>
                <w:rFonts w:ascii="Times New Roman" w:hAnsi="Times New Roman" w:cs="Times New Roman"/>
                <w:b/>
                <w:bCs/>
                <w:color w:val="000000"/>
                <w:sz w:val="21"/>
                <w:szCs w:val="21"/>
                <w:lang w:bidi="ar"/>
              </w:rPr>
              <w:t>60,613.77</w:t>
            </w:r>
            <w:bookmarkEnd w:id="178"/>
          </w:p>
        </w:tc>
        <w:tc>
          <w:tcPr>
            <w:tcW w:w="1134" w:type="dxa"/>
            <w:shd w:val="clear" w:color="auto" w:fill="FFFFFF"/>
            <w:tcMar>
              <w:top w:w="0" w:type="dxa"/>
              <w:left w:w="108" w:type="dxa"/>
              <w:bottom w:w="0" w:type="dxa"/>
              <w:right w:w="108" w:type="dxa"/>
            </w:tcMar>
            <w:vAlign w:val="center"/>
          </w:tcPr>
          <w:p w14:paraId="1DCB4BB6" w14:textId="3550C5A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58,236.76</w:t>
            </w:r>
          </w:p>
        </w:tc>
        <w:tc>
          <w:tcPr>
            <w:tcW w:w="1615" w:type="dxa"/>
            <w:shd w:val="clear" w:color="auto" w:fill="FFFFFF"/>
            <w:tcMar>
              <w:top w:w="0" w:type="dxa"/>
              <w:left w:w="108" w:type="dxa"/>
              <w:bottom w:w="0" w:type="dxa"/>
              <w:right w:w="108" w:type="dxa"/>
            </w:tcMar>
            <w:vAlign w:val="center"/>
          </w:tcPr>
          <w:p w14:paraId="1B24445C" w14:textId="7777777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118,850.53</w:t>
            </w:r>
          </w:p>
        </w:tc>
      </w:tr>
    </w:tbl>
    <w:bookmarkEnd w:id="177"/>
    <w:p w14:paraId="35A4250D"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根据上表，本次交易对价为</w:t>
      </w:r>
      <w:r w:rsidRPr="00DA3766">
        <w:rPr>
          <w:rFonts w:ascii="Times New Roman" w:hAnsi="Times New Roman" w:cs="Times New Roman"/>
          <w:kern w:val="2"/>
          <w:szCs w:val="22"/>
        </w:rPr>
        <w:t>118,850.53</w:t>
      </w:r>
      <w:r w:rsidRPr="00DA3766">
        <w:rPr>
          <w:rFonts w:ascii="Times New Roman" w:hAnsi="Times New Roman" w:cs="Times New Roman"/>
          <w:kern w:val="2"/>
          <w:szCs w:val="22"/>
        </w:rPr>
        <w:t>万元，其中上市公司以发行股份的方式支付对价为</w:t>
      </w:r>
      <w:r w:rsidRPr="00DA3766">
        <w:rPr>
          <w:rFonts w:ascii="Times New Roman" w:hAnsi="Times New Roman" w:cs="Times New Roman"/>
          <w:kern w:val="2"/>
          <w:szCs w:val="22"/>
        </w:rPr>
        <w:t>58,236.76</w:t>
      </w:r>
      <w:r w:rsidRPr="00DA3766">
        <w:rPr>
          <w:rFonts w:ascii="Times New Roman" w:hAnsi="Times New Roman" w:cs="Times New Roman"/>
          <w:kern w:val="2"/>
          <w:szCs w:val="22"/>
        </w:rPr>
        <w:t>万元，以支付现金的方式支付对价</w:t>
      </w:r>
      <w:r w:rsidRPr="00DA3766">
        <w:rPr>
          <w:rFonts w:ascii="Times New Roman" w:hAnsi="Times New Roman" w:cs="Times New Roman"/>
          <w:kern w:val="2"/>
          <w:szCs w:val="22"/>
        </w:rPr>
        <w:t>60,613.77</w:t>
      </w:r>
      <w:r w:rsidRPr="00DA3766">
        <w:rPr>
          <w:rFonts w:ascii="Times New Roman" w:hAnsi="Times New Roman" w:cs="Times New Roman"/>
          <w:kern w:val="2"/>
          <w:szCs w:val="22"/>
        </w:rPr>
        <w:t>万元，现金对价比例为</w:t>
      </w:r>
      <w:r w:rsidRPr="00DA3766">
        <w:rPr>
          <w:rFonts w:ascii="Times New Roman" w:hAnsi="Times New Roman" w:cs="Times New Roman"/>
          <w:kern w:val="2"/>
          <w:szCs w:val="22"/>
        </w:rPr>
        <w:t>51.00%</w:t>
      </w:r>
      <w:r w:rsidRPr="00DA3766">
        <w:rPr>
          <w:rFonts w:ascii="Times New Roman" w:hAnsi="Times New Roman" w:cs="Times New Roman"/>
          <w:kern w:val="2"/>
          <w:szCs w:val="22"/>
        </w:rPr>
        <w:t>。</w:t>
      </w:r>
    </w:p>
    <w:p w14:paraId="752E4666"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本次交易中对除核心管理人员外的其余交易对方的现金对价比例统一按照</w:t>
      </w:r>
      <w:r w:rsidRPr="00DA3766">
        <w:rPr>
          <w:rFonts w:ascii="Times New Roman" w:hAnsi="Times New Roman" w:cs="Times New Roman"/>
          <w:kern w:val="2"/>
          <w:szCs w:val="22"/>
        </w:rPr>
        <w:t>51.00%</w:t>
      </w:r>
      <w:r w:rsidRPr="00DA3766">
        <w:rPr>
          <w:rFonts w:ascii="Times New Roman" w:hAnsi="Times New Roman" w:cs="Times New Roman"/>
          <w:kern w:val="2"/>
          <w:szCs w:val="22"/>
        </w:rPr>
        <w:t>进行确定，核心管理人员各自的现金对价比例则为上市公司和交易对方市场化商业谈判的结果，具体情况如下：</w:t>
      </w:r>
    </w:p>
    <w:p w14:paraId="0B4FBFBA"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陈耿豪、杨凯然、张杰波、胡俊及王佳为标的公司的核心管理人员，分别直接持有标的公司股权比例为</w:t>
      </w:r>
      <w:r w:rsidRPr="00DA3766">
        <w:rPr>
          <w:rFonts w:ascii="Times New Roman" w:hAnsi="Times New Roman" w:cs="Times New Roman"/>
          <w:kern w:val="2"/>
          <w:szCs w:val="22"/>
        </w:rPr>
        <w:t>22.43%</w:t>
      </w:r>
      <w:r w:rsidRPr="00DA3766">
        <w:rPr>
          <w:rFonts w:ascii="Times New Roman" w:hAnsi="Times New Roman" w:cs="Times New Roman"/>
          <w:kern w:val="2"/>
          <w:szCs w:val="22"/>
        </w:rPr>
        <w:t>、</w:t>
      </w:r>
      <w:r w:rsidRPr="00DA3766">
        <w:rPr>
          <w:rFonts w:ascii="Times New Roman" w:hAnsi="Times New Roman" w:cs="Times New Roman"/>
          <w:kern w:val="2"/>
          <w:szCs w:val="22"/>
        </w:rPr>
        <w:t>4.35%</w:t>
      </w:r>
      <w:r w:rsidRPr="00DA3766">
        <w:rPr>
          <w:rFonts w:ascii="Times New Roman" w:hAnsi="Times New Roman" w:cs="Times New Roman"/>
          <w:kern w:val="2"/>
          <w:szCs w:val="22"/>
        </w:rPr>
        <w:t>、</w:t>
      </w:r>
      <w:r w:rsidRPr="00DA3766">
        <w:rPr>
          <w:rFonts w:ascii="Times New Roman" w:hAnsi="Times New Roman" w:cs="Times New Roman"/>
          <w:kern w:val="2"/>
          <w:szCs w:val="22"/>
        </w:rPr>
        <w:t>4.01%</w:t>
      </w:r>
      <w:r w:rsidRPr="00DA3766">
        <w:rPr>
          <w:rFonts w:ascii="Times New Roman" w:hAnsi="Times New Roman" w:cs="Times New Roman"/>
          <w:kern w:val="2"/>
          <w:szCs w:val="22"/>
        </w:rPr>
        <w:t>、</w:t>
      </w:r>
      <w:r w:rsidRPr="00DA3766">
        <w:rPr>
          <w:rFonts w:ascii="Times New Roman" w:hAnsi="Times New Roman" w:cs="Times New Roman"/>
          <w:kern w:val="2"/>
          <w:szCs w:val="22"/>
        </w:rPr>
        <w:t>1.77%</w:t>
      </w:r>
      <w:r w:rsidRPr="00DA3766">
        <w:rPr>
          <w:rFonts w:ascii="Times New Roman" w:hAnsi="Times New Roman" w:cs="Times New Roman"/>
          <w:kern w:val="2"/>
          <w:szCs w:val="22"/>
        </w:rPr>
        <w:t>及</w:t>
      </w:r>
      <w:r w:rsidRPr="00DA3766">
        <w:rPr>
          <w:rFonts w:ascii="Times New Roman" w:hAnsi="Times New Roman" w:cs="Times New Roman"/>
          <w:kern w:val="2"/>
          <w:szCs w:val="22"/>
        </w:rPr>
        <w:t>1.58%</w:t>
      </w:r>
      <w:r w:rsidRPr="00DA3766">
        <w:rPr>
          <w:rFonts w:ascii="Times New Roman" w:hAnsi="Times New Roman" w:cs="Times New Roman"/>
          <w:kern w:val="2"/>
          <w:szCs w:val="22"/>
        </w:rPr>
        <w:t>。除陈耿豪外，另外四名核心管理人员所持标的公司股份占比较小，为更好地将标的公司管理人员与上市公司利益进行深度绑定，决定在五名核心管理人员整体现金支付比例仍保持与其余交易对方相同的前提下调高除陈耿豪外其余四名核心管理人员股份支付的比例。</w:t>
      </w:r>
    </w:p>
    <w:p w14:paraId="0D7B020A"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本次交易的支付安排系交易各方商业谈判的结果，其中核心管理人员间现金及股份比例的内部调整系为更好地将其与上市公司进行深度利益绑定，有利于保护上市公司及中小投资者权益，交易安排具有合理性。</w:t>
      </w:r>
    </w:p>
    <w:p w14:paraId="4309E757"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本次交易完成后，若不考虑募集配套资金，陈耿豪持有上市公司股份的比例</w:t>
      </w:r>
      <w:r w:rsidRPr="00DA3766">
        <w:rPr>
          <w:rFonts w:ascii="Times New Roman" w:hAnsi="Times New Roman" w:cs="Times New Roman"/>
          <w:kern w:val="2"/>
          <w:szCs w:val="22"/>
        </w:rPr>
        <w:t>4.90%</w:t>
      </w:r>
      <w:r w:rsidRPr="00DA3766">
        <w:rPr>
          <w:rFonts w:ascii="Times New Roman" w:hAnsi="Times New Roman" w:cs="Times New Roman"/>
          <w:kern w:val="2"/>
          <w:szCs w:val="22"/>
        </w:rPr>
        <w:t>，远低于上市公司实际控制人林明玲及马学沛持有的上市公司股权比例，本次交易不会造成上市公司控制权变更，不构成重组上市。</w:t>
      </w:r>
    </w:p>
    <w:p w14:paraId="6DFCC6CD"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标的公司核心管理层陈耿豪、杨凯然、张杰波、胡俊及王佳已出具《关于不谋求上市公司控制权的承诺函》，承诺内容如下：</w:t>
      </w:r>
    </w:p>
    <w:p w14:paraId="15638A48"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、本承诺人通过本次交易成为上市公司股东后，将依法自主行使股东权利，不会通过一致行动、表决权委托等方式谋求上市公司的控制权。</w:t>
      </w:r>
    </w:p>
    <w:p w14:paraId="26BC9D89"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、上述承诺内容真实、准确、完整，不存在虚假记载、误导性陈述，不存在重大遗漏，本承诺人完全了解作出虚假声明承诺可能导致的后果，并愿承担因</w:t>
      </w:r>
      <w:r w:rsidRPr="00DA3766">
        <w:rPr>
          <w:rFonts w:ascii="Times New Roman" w:hAnsi="Times New Roman" w:cs="Times New Roman"/>
          <w:kern w:val="2"/>
          <w:szCs w:val="22"/>
        </w:rPr>
        <w:lastRenderedPageBreak/>
        <w:t>此产生的一切法律后果。</w:t>
      </w:r>
      <w:r w:rsidRPr="00DA3766">
        <w:rPr>
          <w:rFonts w:cs="Times New Roman"/>
          <w:kern w:val="2"/>
          <w:szCs w:val="22"/>
        </w:rPr>
        <w:t>”</w:t>
      </w:r>
      <w:r w:rsidRPr="00DA3766">
        <w:rPr>
          <w:rFonts w:ascii="Times New Roman" w:hAnsi="Times New Roman" w:cs="Times New Roman"/>
          <w:kern w:val="2"/>
          <w:szCs w:val="22"/>
        </w:rPr>
        <w:t xml:space="preserve"> </w:t>
      </w:r>
    </w:p>
    <w:p w14:paraId="2CF45F25"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w:t>
      </w:r>
    </w:p>
    <w:p w14:paraId="35F2E822"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（四）本次交易方案支付安排对上市公司财务报表的具体影响分析</w:t>
      </w:r>
    </w:p>
    <w:p w14:paraId="42C02416"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本次交易方案支付安排对上市公司财务报表的具体影响审慎论证分析如下：</w:t>
      </w:r>
    </w:p>
    <w:p w14:paraId="6035419F"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、现金支付产生的借款利息每年所需增加的财务费用如下：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956"/>
        <w:gridCol w:w="3572"/>
      </w:tblGrid>
      <w:tr w:rsidR="00381FE3" w:rsidRPr="00DA3766" w14:paraId="49F559EC" w14:textId="77777777" w:rsidTr="00DA3766">
        <w:trPr>
          <w:trHeight w:val="397"/>
          <w:tblHeader/>
          <w:jc w:val="center"/>
        </w:trPr>
        <w:tc>
          <w:tcPr>
            <w:tcW w:w="2906" w:type="pct"/>
            <w:shd w:val="solid" w:color="FFFFFF" w:fill="FFFFFF"/>
            <w:vAlign w:val="center"/>
          </w:tcPr>
          <w:p w14:paraId="76236499"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2094" w:type="pct"/>
            <w:shd w:val="solid" w:color="FFFFFF" w:fill="FFFFFF"/>
            <w:vAlign w:val="center"/>
          </w:tcPr>
          <w:p w14:paraId="46D73AB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金额（万元）</w:t>
            </w:r>
          </w:p>
        </w:tc>
      </w:tr>
      <w:tr w:rsidR="00381FE3" w:rsidRPr="00DA3766" w14:paraId="1B661E51" w14:textId="77777777" w:rsidTr="00DA3766">
        <w:trPr>
          <w:trHeight w:val="397"/>
          <w:jc w:val="center"/>
        </w:trPr>
        <w:tc>
          <w:tcPr>
            <w:tcW w:w="2906" w:type="pct"/>
            <w:shd w:val="solid" w:color="FFFFFF" w:fill="FFFFFF"/>
            <w:vAlign w:val="center"/>
          </w:tcPr>
          <w:p w14:paraId="648796D6" w14:textId="77777777" w:rsidR="00381FE3" w:rsidRPr="00DA3766" w:rsidRDefault="00381FE3"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sz w:val="21"/>
                <w:szCs w:val="21"/>
              </w:rPr>
              <w:t>并购贷借款总额</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a</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40B2835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sz w:val="21"/>
                <w:szCs w:val="21"/>
              </w:rPr>
              <w:t>48,491.02</w:t>
            </w:r>
            <w:r w:rsidRPr="00DA3766">
              <w:rPr>
                <w:rFonts w:ascii="Times New Roman" w:hAnsi="Times New Roman" w:cs="Times New Roman"/>
                <w:color w:val="000000"/>
                <w:kern w:val="2"/>
                <w:sz w:val="21"/>
                <w:szCs w:val="21"/>
              </w:rPr>
              <w:t xml:space="preserve"> </w:t>
            </w:r>
          </w:p>
        </w:tc>
      </w:tr>
      <w:tr w:rsidR="00381FE3" w:rsidRPr="00DA3766" w14:paraId="17B8DB48" w14:textId="77777777" w:rsidTr="00DA3766">
        <w:trPr>
          <w:trHeight w:val="397"/>
          <w:jc w:val="center"/>
        </w:trPr>
        <w:tc>
          <w:tcPr>
            <w:tcW w:w="2906" w:type="pct"/>
            <w:shd w:val="solid" w:color="FFFFFF" w:fill="FFFFFF"/>
            <w:vAlign w:val="center"/>
          </w:tcPr>
          <w:p w14:paraId="37A5BE40"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并购贷款年化利率（</w:t>
            </w:r>
            <w:r w:rsidRPr="00DA3766">
              <w:rPr>
                <w:rFonts w:ascii="Times New Roman" w:hAnsi="Times New Roman" w:cs="Times New Roman"/>
                <w:color w:val="000000"/>
                <w:kern w:val="2"/>
                <w:sz w:val="21"/>
                <w:szCs w:val="21"/>
              </w:rPr>
              <w:t>b</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6C80794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3.00%</w:t>
            </w:r>
          </w:p>
        </w:tc>
      </w:tr>
      <w:tr w:rsidR="00381FE3" w:rsidRPr="00DA3766" w14:paraId="29FE9912" w14:textId="77777777" w:rsidTr="00DA3766">
        <w:trPr>
          <w:trHeight w:val="397"/>
          <w:jc w:val="center"/>
        </w:trPr>
        <w:tc>
          <w:tcPr>
            <w:tcW w:w="2906" w:type="pct"/>
            <w:shd w:val="solid" w:color="FFFFFF" w:fill="FFFFFF"/>
            <w:vAlign w:val="center"/>
          </w:tcPr>
          <w:p w14:paraId="29C107D7"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并购贷款每年利息（</w:t>
            </w:r>
            <w:r w:rsidRPr="00DA3766">
              <w:rPr>
                <w:rFonts w:ascii="Times New Roman" w:hAnsi="Times New Roman" w:cs="Times New Roman"/>
                <w:color w:val="000000"/>
                <w:kern w:val="2"/>
                <w:sz w:val="21"/>
                <w:szCs w:val="21"/>
              </w:rPr>
              <w:t>c=a*b</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6D567CC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 xml:space="preserve">1,454.73 </w:t>
            </w:r>
          </w:p>
        </w:tc>
      </w:tr>
    </w:tbl>
    <w:p w14:paraId="2742FDDD" w14:textId="77777777" w:rsidR="00381FE3" w:rsidRPr="00DA3766" w:rsidRDefault="00381FE3" w:rsidP="00381FE3">
      <w:pPr>
        <w:widowControl w:val="0"/>
        <w:snapToGrid w:val="0"/>
        <w:spacing w:beforeLines="0" w:before="0" w:afterLines="0" w:after="120" w:line="240" w:lineRule="auto"/>
        <w:ind w:firstLineChars="0" w:firstLine="420"/>
        <w:jc w:val="both"/>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注：并购贷款利息以拟使用本金</w:t>
      </w:r>
      <w:r w:rsidRPr="00DA3766">
        <w:rPr>
          <w:rFonts w:ascii="Times New Roman" w:hAnsi="Times New Roman" w:cs="Times New Roman"/>
          <w:color w:val="000000"/>
          <w:sz w:val="21"/>
          <w:szCs w:val="21"/>
          <w14:ligatures w14:val="standardContextual"/>
        </w:rPr>
        <w:t>48,491.02</w:t>
      </w:r>
      <w:r w:rsidRPr="00DA3766">
        <w:rPr>
          <w:rFonts w:ascii="Times New Roman" w:hAnsi="Times New Roman" w:cs="Times New Roman"/>
          <w:kern w:val="2"/>
          <w:sz w:val="21"/>
          <w14:ligatures w14:val="standardContextual"/>
        </w:rPr>
        <w:t>万元及《授信意向书》所列示最高利率</w:t>
      </w:r>
      <w:r w:rsidRPr="00DA3766">
        <w:rPr>
          <w:rFonts w:ascii="Times New Roman" w:hAnsi="Times New Roman" w:cs="Times New Roman"/>
          <w:kern w:val="2"/>
          <w:sz w:val="21"/>
          <w14:ligatures w14:val="standardContextual"/>
        </w:rPr>
        <w:t>3.00%</w:t>
      </w:r>
      <w:r w:rsidRPr="00DA3766">
        <w:rPr>
          <w:rFonts w:ascii="Times New Roman" w:hAnsi="Times New Roman" w:cs="Times New Roman"/>
          <w:kern w:val="2"/>
          <w:sz w:val="21"/>
          <w14:ligatures w14:val="standardContextual"/>
        </w:rPr>
        <w:t>作为年化利率进行测算。</w:t>
      </w:r>
    </w:p>
    <w:p w14:paraId="5011D53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、发行股份完成交易后，上市公司交易前后的主要财务数据如下：</w:t>
      </w:r>
    </w:p>
    <w:p w14:paraId="572D4EDC" w14:textId="77777777" w:rsidR="00381FE3" w:rsidRPr="00DA3766" w:rsidRDefault="00381FE3" w:rsidP="00381FE3">
      <w:pPr>
        <w:keepNext/>
        <w:widowControl w:val="0"/>
        <w:snapToGrid w:val="0"/>
        <w:spacing w:beforeLines="0" w:before="120" w:afterLines="0" w:after="0" w:line="240" w:lineRule="auto"/>
        <w:ind w:firstLineChars="0" w:firstLine="42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629"/>
        <w:gridCol w:w="1808"/>
        <w:gridCol w:w="1629"/>
        <w:gridCol w:w="1808"/>
      </w:tblGrid>
      <w:tr w:rsidR="00381FE3" w:rsidRPr="00DA3766" w14:paraId="4B795FE4" w14:textId="77777777" w:rsidTr="00DA3766">
        <w:trPr>
          <w:trHeight w:val="397"/>
          <w:tblHeader/>
          <w:jc w:val="center"/>
        </w:trPr>
        <w:tc>
          <w:tcPr>
            <w:tcW w:w="969" w:type="pct"/>
            <w:vMerge w:val="restart"/>
            <w:vAlign w:val="center"/>
          </w:tcPr>
          <w:p w14:paraId="00372A63"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2015" w:type="pct"/>
            <w:gridSpan w:val="2"/>
            <w:vAlign w:val="center"/>
          </w:tcPr>
          <w:p w14:paraId="5F61D0FC"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2025</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6</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30</w:t>
            </w:r>
            <w:r w:rsidRPr="00DA3766">
              <w:rPr>
                <w:rFonts w:ascii="Times New Roman" w:hAnsi="Times New Roman" w:cs="Times New Roman"/>
                <w:b/>
                <w:color w:val="000000"/>
                <w:kern w:val="2"/>
                <w:sz w:val="21"/>
                <w14:ligatures w14:val="standardContextual"/>
              </w:rPr>
              <w:t>日</w:t>
            </w:r>
            <w:r w:rsidRPr="00DA3766">
              <w:rPr>
                <w:rFonts w:ascii="Times New Roman" w:hAnsi="Times New Roman" w:cs="Times New Roman"/>
                <w:b/>
                <w:color w:val="000000"/>
                <w:kern w:val="2"/>
                <w:sz w:val="21"/>
                <w14:ligatures w14:val="standardContextual"/>
              </w:rPr>
              <w:t>/2025</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1-6</w:t>
            </w:r>
            <w:r w:rsidRPr="00DA3766">
              <w:rPr>
                <w:rFonts w:ascii="Times New Roman" w:hAnsi="Times New Roman" w:cs="Times New Roman"/>
                <w:b/>
                <w:color w:val="000000"/>
                <w:kern w:val="2"/>
                <w:sz w:val="21"/>
                <w14:ligatures w14:val="standardContextual"/>
              </w:rPr>
              <w:t>月</w:t>
            </w:r>
          </w:p>
        </w:tc>
        <w:tc>
          <w:tcPr>
            <w:tcW w:w="2015" w:type="pct"/>
            <w:gridSpan w:val="2"/>
            <w:vAlign w:val="center"/>
          </w:tcPr>
          <w:p w14:paraId="469B3627"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年度</w:t>
            </w:r>
          </w:p>
        </w:tc>
      </w:tr>
      <w:tr w:rsidR="00381FE3" w:rsidRPr="00DA3766" w14:paraId="31E69930" w14:textId="77777777" w:rsidTr="00DA3766">
        <w:trPr>
          <w:trHeight w:val="397"/>
          <w:tblHeader/>
          <w:jc w:val="center"/>
        </w:trPr>
        <w:tc>
          <w:tcPr>
            <w:tcW w:w="969" w:type="pct"/>
            <w:vMerge/>
            <w:vAlign w:val="center"/>
          </w:tcPr>
          <w:p w14:paraId="0A6092FC"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955" w:type="pct"/>
            <w:vAlign w:val="center"/>
          </w:tcPr>
          <w:p w14:paraId="35F38944"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交易前</w:t>
            </w:r>
          </w:p>
        </w:tc>
        <w:tc>
          <w:tcPr>
            <w:tcW w:w="1060" w:type="pct"/>
            <w:vAlign w:val="center"/>
          </w:tcPr>
          <w:p w14:paraId="5AE5C6A0"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交易后（备考）</w:t>
            </w:r>
          </w:p>
        </w:tc>
        <w:tc>
          <w:tcPr>
            <w:tcW w:w="955" w:type="pct"/>
            <w:vAlign w:val="center"/>
          </w:tcPr>
          <w:p w14:paraId="3C01C88F"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交易前</w:t>
            </w:r>
          </w:p>
        </w:tc>
        <w:tc>
          <w:tcPr>
            <w:tcW w:w="1060" w:type="pct"/>
            <w:vAlign w:val="center"/>
          </w:tcPr>
          <w:p w14:paraId="2B77E706"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交易后（备考）</w:t>
            </w:r>
          </w:p>
        </w:tc>
      </w:tr>
      <w:tr w:rsidR="00381FE3" w:rsidRPr="00DA3766" w14:paraId="502EE111" w14:textId="77777777" w:rsidTr="00DA3766">
        <w:trPr>
          <w:trHeight w:val="397"/>
          <w:jc w:val="center"/>
        </w:trPr>
        <w:tc>
          <w:tcPr>
            <w:tcW w:w="969" w:type="pct"/>
            <w:vAlign w:val="center"/>
          </w:tcPr>
          <w:p w14:paraId="768F8F44"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资产总计</w:t>
            </w:r>
          </w:p>
        </w:tc>
        <w:tc>
          <w:tcPr>
            <w:tcW w:w="955" w:type="pct"/>
            <w:vAlign w:val="center"/>
          </w:tcPr>
          <w:p w14:paraId="7C7812D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143,936.94</w:t>
            </w:r>
          </w:p>
        </w:tc>
        <w:tc>
          <w:tcPr>
            <w:tcW w:w="1060" w:type="pct"/>
            <w:vAlign w:val="center"/>
          </w:tcPr>
          <w:p w14:paraId="2576EA8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282,009.70</w:t>
            </w:r>
          </w:p>
        </w:tc>
        <w:tc>
          <w:tcPr>
            <w:tcW w:w="955" w:type="pct"/>
            <w:vAlign w:val="center"/>
          </w:tcPr>
          <w:p w14:paraId="5E0F96E7"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133,376.68</w:t>
            </w:r>
          </w:p>
        </w:tc>
        <w:tc>
          <w:tcPr>
            <w:tcW w:w="1060" w:type="pct"/>
            <w:vAlign w:val="center"/>
          </w:tcPr>
          <w:p w14:paraId="171D0AAA"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267,989.45</w:t>
            </w:r>
          </w:p>
        </w:tc>
      </w:tr>
      <w:tr w:rsidR="00381FE3" w:rsidRPr="00DA3766" w14:paraId="703CA9DD" w14:textId="77777777" w:rsidTr="00DA3766">
        <w:trPr>
          <w:trHeight w:val="397"/>
          <w:jc w:val="center"/>
        </w:trPr>
        <w:tc>
          <w:tcPr>
            <w:tcW w:w="969" w:type="pct"/>
            <w:vAlign w:val="center"/>
          </w:tcPr>
          <w:p w14:paraId="317D23B1"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负债合计</w:t>
            </w:r>
          </w:p>
        </w:tc>
        <w:tc>
          <w:tcPr>
            <w:tcW w:w="955" w:type="pct"/>
            <w:vAlign w:val="center"/>
          </w:tcPr>
          <w:p w14:paraId="28CF00F6"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66,084.73</w:t>
            </w:r>
          </w:p>
        </w:tc>
        <w:tc>
          <w:tcPr>
            <w:tcW w:w="1060" w:type="pct"/>
            <w:vAlign w:val="center"/>
          </w:tcPr>
          <w:p w14:paraId="2864B808"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143,099.90</w:t>
            </w:r>
          </w:p>
        </w:tc>
        <w:tc>
          <w:tcPr>
            <w:tcW w:w="955" w:type="pct"/>
            <w:vAlign w:val="center"/>
          </w:tcPr>
          <w:p w14:paraId="3AF4DC8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56,734.99</w:t>
            </w:r>
          </w:p>
        </w:tc>
        <w:tc>
          <w:tcPr>
            <w:tcW w:w="1060" w:type="pct"/>
            <w:vAlign w:val="center"/>
          </w:tcPr>
          <w:p w14:paraId="5EBC1348"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131,911.21</w:t>
            </w:r>
          </w:p>
        </w:tc>
      </w:tr>
      <w:tr w:rsidR="00381FE3" w:rsidRPr="00DA3766" w14:paraId="5FCDB985" w14:textId="77777777" w:rsidTr="00DA3766">
        <w:trPr>
          <w:trHeight w:val="397"/>
          <w:jc w:val="center"/>
        </w:trPr>
        <w:tc>
          <w:tcPr>
            <w:tcW w:w="969" w:type="pct"/>
            <w:vAlign w:val="center"/>
          </w:tcPr>
          <w:p w14:paraId="624D7506"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资产负债率</w:t>
            </w:r>
          </w:p>
        </w:tc>
        <w:tc>
          <w:tcPr>
            <w:tcW w:w="955" w:type="pct"/>
            <w:vAlign w:val="center"/>
          </w:tcPr>
          <w:p w14:paraId="508F5D3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45.91%</w:t>
            </w:r>
          </w:p>
        </w:tc>
        <w:tc>
          <w:tcPr>
            <w:tcW w:w="1060" w:type="pct"/>
            <w:vAlign w:val="center"/>
          </w:tcPr>
          <w:p w14:paraId="26F6FDDD"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50.74%</w:t>
            </w:r>
          </w:p>
        </w:tc>
        <w:tc>
          <w:tcPr>
            <w:tcW w:w="955" w:type="pct"/>
            <w:vAlign w:val="center"/>
          </w:tcPr>
          <w:p w14:paraId="6C75D1B0"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42.54%</w:t>
            </w:r>
          </w:p>
        </w:tc>
        <w:tc>
          <w:tcPr>
            <w:tcW w:w="1060" w:type="pct"/>
            <w:vAlign w:val="center"/>
          </w:tcPr>
          <w:p w14:paraId="7EFA34EF"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49.22%</w:t>
            </w:r>
          </w:p>
        </w:tc>
      </w:tr>
      <w:tr w:rsidR="00381FE3" w:rsidRPr="00DA3766" w14:paraId="60C4BC8C" w14:textId="77777777" w:rsidTr="00DA3766">
        <w:trPr>
          <w:trHeight w:val="397"/>
          <w:jc w:val="center"/>
        </w:trPr>
        <w:tc>
          <w:tcPr>
            <w:tcW w:w="969" w:type="pct"/>
            <w:vAlign w:val="center"/>
          </w:tcPr>
          <w:p w14:paraId="72531787"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w:t>
            </w:r>
          </w:p>
        </w:tc>
        <w:tc>
          <w:tcPr>
            <w:tcW w:w="955" w:type="pct"/>
            <w:vAlign w:val="center"/>
          </w:tcPr>
          <w:p w14:paraId="78BA8BAD"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14,562.95</w:t>
            </w:r>
          </w:p>
        </w:tc>
        <w:tc>
          <w:tcPr>
            <w:tcW w:w="1060" w:type="pct"/>
            <w:vAlign w:val="center"/>
          </w:tcPr>
          <w:p w14:paraId="278D72F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39,362.81</w:t>
            </w:r>
          </w:p>
        </w:tc>
        <w:tc>
          <w:tcPr>
            <w:tcW w:w="955" w:type="pct"/>
            <w:vAlign w:val="center"/>
          </w:tcPr>
          <w:p w14:paraId="787F749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1060" w:type="pct"/>
            <w:vAlign w:val="center"/>
          </w:tcPr>
          <w:p w14:paraId="4CA7E9E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67,079.74</w:t>
            </w:r>
          </w:p>
        </w:tc>
      </w:tr>
      <w:tr w:rsidR="00381FE3" w:rsidRPr="00DA3766" w14:paraId="6CBC4AD4" w14:textId="77777777" w:rsidTr="00DA3766">
        <w:trPr>
          <w:trHeight w:val="397"/>
          <w:jc w:val="center"/>
        </w:trPr>
        <w:tc>
          <w:tcPr>
            <w:tcW w:w="969" w:type="pct"/>
            <w:vAlign w:val="center"/>
          </w:tcPr>
          <w:p w14:paraId="76823633"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净利润</w:t>
            </w:r>
          </w:p>
        </w:tc>
        <w:tc>
          <w:tcPr>
            <w:tcW w:w="955" w:type="pct"/>
            <w:vAlign w:val="center"/>
          </w:tcPr>
          <w:p w14:paraId="7C663F9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600.98</w:t>
            </w:r>
          </w:p>
        </w:tc>
        <w:tc>
          <w:tcPr>
            <w:tcW w:w="1060" w:type="pct"/>
            <w:vAlign w:val="center"/>
          </w:tcPr>
          <w:p w14:paraId="79A2171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6,642.42</w:t>
            </w:r>
          </w:p>
        </w:tc>
        <w:tc>
          <w:tcPr>
            <w:tcW w:w="955" w:type="pct"/>
            <w:vAlign w:val="center"/>
          </w:tcPr>
          <w:p w14:paraId="5A5D813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1060" w:type="pct"/>
            <w:vAlign w:val="center"/>
          </w:tcPr>
          <w:p w14:paraId="5033C29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4,117.78</w:t>
            </w:r>
          </w:p>
        </w:tc>
      </w:tr>
      <w:tr w:rsidR="00381FE3" w:rsidRPr="00DA3766" w14:paraId="5F70C6D7" w14:textId="77777777" w:rsidTr="00DA3766">
        <w:trPr>
          <w:trHeight w:val="397"/>
          <w:jc w:val="center"/>
        </w:trPr>
        <w:tc>
          <w:tcPr>
            <w:tcW w:w="969" w:type="pct"/>
            <w:vAlign w:val="center"/>
          </w:tcPr>
          <w:p w14:paraId="0E8FA785"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归属于母公司股东的净利润</w:t>
            </w:r>
          </w:p>
        </w:tc>
        <w:tc>
          <w:tcPr>
            <w:tcW w:w="955" w:type="pct"/>
            <w:vAlign w:val="center"/>
          </w:tcPr>
          <w:p w14:paraId="381A6093"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605.91</w:t>
            </w:r>
          </w:p>
        </w:tc>
        <w:tc>
          <w:tcPr>
            <w:tcW w:w="1060" w:type="pct"/>
            <w:vAlign w:val="center"/>
          </w:tcPr>
          <w:p w14:paraId="66F7B746"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5,984.14</w:t>
            </w:r>
          </w:p>
        </w:tc>
        <w:tc>
          <w:tcPr>
            <w:tcW w:w="955" w:type="pct"/>
            <w:vAlign w:val="center"/>
          </w:tcPr>
          <w:p w14:paraId="483EEA65"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-4,955.28</w:t>
            </w:r>
          </w:p>
        </w:tc>
        <w:tc>
          <w:tcPr>
            <w:tcW w:w="1060" w:type="pct"/>
            <w:vAlign w:val="center"/>
          </w:tcPr>
          <w:p w14:paraId="30B30919"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3,632.45</w:t>
            </w:r>
          </w:p>
        </w:tc>
      </w:tr>
    </w:tbl>
    <w:p w14:paraId="0489203E"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综上，若以新增并购贷款</w:t>
      </w:r>
      <w:r w:rsidRPr="00DA3766">
        <w:rPr>
          <w:rFonts w:ascii="Times New Roman" w:hAnsi="Times New Roman" w:cs="Times New Roman"/>
          <w:kern w:val="2"/>
          <w14:ligatures w14:val="standardContextual"/>
        </w:rPr>
        <w:t>48,491.02</w:t>
      </w:r>
      <w:r w:rsidRPr="00DA3766">
        <w:rPr>
          <w:rFonts w:ascii="Times New Roman" w:hAnsi="Times New Roman" w:cs="Times New Roman"/>
          <w:kern w:val="2"/>
          <w14:ligatures w14:val="standardContextual"/>
        </w:rPr>
        <w:t>万元及目前已取得相关银行授信意向书的利率测算，上市公司预计每年将新增财务费用约</w:t>
      </w:r>
      <w:r w:rsidRPr="00DA3766">
        <w:rPr>
          <w:rFonts w:ascii="Times New Roman" w:hAnsi="Times New Roman" w:cs="Times New Roman"/>
          <w:kern w:val="2"/>
          <w14:ligatures w14:val="standardContextual"/>
        </w:rPr>
        <w:t>1,454.73</w:t>
      </w:r>
      <w:r w:rsidRPr="00DA3766">
        <w:rPr>
          <w:rFonts w:ascii="Times New Roman" w:hAnsi="Times New Roman" w:cs="Times New Roman"/>
          <w:kern w:val="2"/>
          <w14:ligatures w14:val="standardContextual"/>
        </w:rPr>
        <w:t>万元，根据上市公司与拟购买资产交易对方所签订的《业绩补偿协议》，标的公司管理承诺</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2026</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2027</w:t>
      </w:r>
      <w:r w:rsidRPr="00DA3766">
        <w:rPr>
          <w:rFonts w:ascii="Times New Roman" w:hAnsi="Times New Roman" w:cs="Times New Roman"/>
          <w:kern w:val="2"/>
          <w14:ligatures w14:val="standardContextual"/>
        </w:rPr>
        <w:t>年拟实现的扣除非经常性损益后的归属于母公司股东的净利润分别为</w:t>
      </w:r>
      <w:r w:rsidRPr="00DA3766">
        <w:rPr>
          <w:rFonts w:ascii="Times New Roman" w:hAnsi="Times New Roman" w:cs="Times New Roman"/>
          <w:kern w:val="2"/>
          <w14:ligatures w14:val="standardContextual"/>
        </w:rPr>
        <w:t>9,000.00</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9,500.00</w:t>
      </w:r>
      <w:r w:rsidRPr="00DA3766">
        <w:rPr>
          <w:rFonts w:ascii="Times New Roman" w:hAnsi="Times New Roman" w:cs="Times New Roman"/>
          <w:kern w:val="2"/>
          <w14:ligatures w14:val="standardContextual"/>
        </w:rPr>
        <w:t>万元以及</w:t>
      </w:r>
      <w:r w:rsidRPr="00DA3766">
        <w:rPr>
          <w:rFonts w:ascii="Times New Roman" w:hAnsi="Times New Roman" w:cs="Times New Roman"/>
          <w:kern w:val="2"/>
          <w14:ligatures w14:val="standardContextual"/>
        </w:rPr>
        <w:t>10,500.00</w:t>
      </w:r>
      <w:r w:rsidRPr="00DA3766">
        <w:rPr>
          <w:rFonts w:ascii="Times New Roman" w:hAnsi="Times New Roman" w:cs="Times New Roman"/>
          <w:kern w:val="2"/>
          <w14:ligatures w14:val="standardContextual"/>
        </w:rPr>
        <w:t>万元，按上市公司此次收购后</w:t>
      </w:r>
      <w:r w:rsidRPr="00DA3766">
        <w:rPr>
          <w:rFonts w:ascii="Times New Roman" w:hAnsi="Times New Roman" w:cs="Times New Roman"/>
          <w:kern w:val="2"/>
          <w14:ligatures w14:val="standardContextual"/>
        </w:rPr>
        <w:lastRenderedPageBreak/>
        <w:t>所持有标的公司股权比例</w:t>
      </w:r>
      <w:r w:rsidRPr="00DA3766">
        <w:rPr>
          <w:rFonts w:ascii="Times New Roman" w:hAnsi="Times New Roman" w:cs="Times New Roman"/>
          <w:kern w:val="2"/>
          <w14:ligatures w14:val="standardContextual"/>
        </w:rPr>
        <w:t>98.5632%</w:t>
      </w:r>
      <w:r w:rsidRPr="00DA3766">
        <w:rPr>
          <w:rFonts w:ascii="Times New Roman" w:hAnsi="Times New Roman" w:cs="Times New Roman"/>
          <w:kern w:val="2"/>
          <w14:ligatures w14:val="standardContextual"/>
        </w:rPr>
        <w:t>计算，归属于上市公司的扣除非经常性损益后净利润分别为</w:t>
      </w:r>
      <w:r w:rsidRPr="00DA3766">
        <w:rPr>
          <w:rFonts w:ascii="Times New Roman" w:hAnsi="Times New Roman" w:cs="Times New Roman"/>
          <w:kern w:val="2"/>
          <w14:ligatures w14:val="standardContextual"/>
        </w:rPr>
        <w:t>8,870.68</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9,363.50</w:t>
      </w:r>
      <w:r w:rsidRPr="00DA3766">
        <w:rPr>
          <w:rFonts w:ascii="Times New Roman" w:hAnsi="Times New Roman" w:cs="Times New Roman"/>
          <w:kern w:val="2"/>
          <w14:ligatures w14:val="standardContextual"/>
        </w:rPr>
        <w:t>万元以及</w:t>
      </w:r>
      <w:r w:rsidRPr="00DA3766">
        <w:rPr>
          <w:rFonts w:ascii="Times New Roman" w:hAnsi="Times New Roman" w:cs="Times New Roman"/>
          <w:kern w:val="2"/>
          <w14:ligatures w14:val="standardContextual"/>
        </w:rPr>
        <w:t>10,349.14</w:t>
      </w:r>
      <w:r w:rsidRPr="00DA3766">
        <w:rPr>
          <w:rFonts w:ascii="Times New Roman" w:hAnsi="Times New Roman" w:cs="Times New Roman"/>
          <w:kern w:val="2"/>
          <w14:ligatures w14:val="standardContextual"/>
        </w:rPr>
        <w:t>万元，均高于收购借款所产生的财务费用标的公司对上市公司所贡献的扣除非经常性损益后的归属于母公司股东的净利润仍高于收购借款所产生的财务费用，仍将对上市公司财务报表产生正向影响。</w:t>
      </w:r>
    </w:p>
    <w:p w14:paraId="1BA6A0D9"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根据我国并购贷款相关政策，本次并购贷款预计借款期限不超过</w:t>
      </w:r>
      <w:r w:rsidRPr="00DA3766">
        <w:rPr>
          <w:rFonts w:ascii="Times New Roman" w:hAnsi="Times New Roman" w:cs="Times New Roman"/>
          <w:kern w:val="2"/>
          <w14:ligatures w14:val="standardContextual"/>
        </w:rPr>
        <w:t>10</w:t>
      </w:r>
      <w:r w:rsidRPr="00DA3766">
        <w:rPr>
          <w:rFonts w:ascii="Times New Roman" w:hAnsi="Times New Roman" w:cs="Times New Roman"/>
          <w:kern w:val="2"/>
          <w14:ligatures w14:val="standardContextual"/>
        </w:rPr>
        <w:t>年，还款期限较长。其一，上市公司、标的公司获得经营活动现金流的能力较强，且并购完成后盈利能力有较大幅度的改善，长期经营所得可用于偿还本次贷款；其二，本次交易完成后上市公司资产负债率上升至约</w:t>
      </w:r>
      <w:r w:rsidRPr="00DA3766">
        <w:rPr>
          <w:rFonts w:ascii="Times New Roman" w:hAnsi="Times New Roman" w:cs="Times New Roman"/>
          <w:kern w:val="2"/>
          <w14:ligatures w14:val="standardContextual"/>
        </w:rPr>
        <w:t>50%</w:t>
      </w:r>
      <w:r w:rsidRPr="00DA3766">
        <w:rPr>
          <w:rFonts w:ascii="Times New Roman" w:hAnsi="Times New Roman" w:cs="Times New Roman"/>
          <w:kern w:val="2"/>
          <w14:ligatures w14:val="standardContextual"/>
        </w:rPr>
        <w:t>，还有较大规模资产保障相关负债得到及时、足额偿还。</w:t>
      </w:r>
    </w:p>
    <w:p w14:paraId="627572C1"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（五）本次交易有利于提高上市公司的资产质量、不会导致财务状况发生重大不利变化、符合《重组办法》第四十四条的规定</w:t>
      </w:r>
    </w:p>
    <w:p w14:paraId="4EC052B8"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本次交易完成后，标的公司将成为上市公司的控股子公司，上市公司的资产总额和经营业绩将进一步提升，业务发展潜力和抗风险能力也将进一步增强，符合上市公司全体股东的利益。</w:t>
      </w:r>
    </w:p>
    <w:p w14:paraId="4332394E"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本次拟收购的标的公司已经成长为自助设备物联网细分领域的头部企业之一，在长期的行业深耕过程中，形成了</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核心技术体系，并主动辐射智慧生活、智慧出行和智慧零售等多个细分领域，已经形成较为完善的业务布局体系，具备相对较大的收入和净利润规模，拥有相对领先的市场地位。在智慧生活、智慧出行以及智慧零售等行业领域快速发展的背景下，标的公司未来成长潜力显著，盈利水平较高，其资产质量稳健，有利于增强上市公司的持续经营能力。</w:t>
      </w:r>
    </w:p>
    <w:p w14:paraId="55EE176F" w14:textId="21D1F7A7" w:rsidR="00381FE3"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综上所述，本次交易有利于提高上市公司资产质量和增强持续经营能力，符合《重组办法》第四十四条的有关规定。</w:t>
      </w:r>
    </w:p>
    <w:p w14:paraId="6291A364" w14:textId="033B5E58" w:rsidR="00085200" w:rsidRPr="00DA3766" w:rsidRDefault="00085200"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085200">
        <w:rPr>
          <w:rFonts w:ascii="Times New Roman" w:hAnsi="Times New Roman" w:cs="Times New Roman"/>
          <w:kern w:val="2"/>
          <w14:ligatures w14:val="standardContextual"/>
        </w:rPr>
        <w:t>上述内容已在《重组报告书》</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第</w:t>
      </w:r>
      <w:r>
        <w:rPr>
          <w:rFonts w:ascii="Times New Roman" w:hAnsi="Times New Roman" w:cs="Times New Roman" w:hint="eastAsia"/>
          <w:kern w:val="2"/>
          <w14:ligatures w14:val="standardContextual"/>
        </w:rPr>
        <w:t>八</w:t>
      </w:r>
      <w:r w:rsidRPr="00085200">
        <w:rPr>
          <w:rFonts w:ascii="Times New Roman" w:hAnsi="Times New Roman" w:cs="Times New Roman"/>
          <w:kern w:val="2"/>
          <w14:ligatures w14:val="standardContextual"/>
        </w:rPr>
        <w:t>节</w:t>
      </w:r>
      <w:r w:rsidRPr="00085200">
        <w:rPr>
          <w:rFonts w:ascii="Times New Roman" w:hAnsi="Times New Roman" w:cs="Times New Roman"/>
          <w:kern w:val="2"/>
          <w14:ligatures w14:val="standardContextual"/>
        </w:rPr>
        <w:t xml:space="preserve"> </w:t>
      </w:r>
      <w:r w:rsidRPr="00085200">
        <w:rPr>
          <w:rFonts w:ascii="Times New Roman" w:hAnsi="Times New Roman" w:cs="Times New Roman"/>
          <w:kern w:val="2"/>
          <w14:ligatures w14:val="standardContextual"/>
        </w:rPr>
        <w:t>本次交易的合规性分析</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之</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四、本次交易符合《重组管理办法》第四十四条的规定的情形</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补充披露。</w:t>
      </w:r>
    </w:p>
    <w:p w14:paraId="39744B2D" w14:textId="41CFBBD6" w:rsidR="00347AEF" w:rsidRPr="00DA3766" w:rsidRDefault="00347AEF" w:rsidP="00347AEF">
      <w:pPr>
        <w:pStyle w:val="002"/>
        <w:spacing w:before="120" w:after="120"/>
        <w:ind w:firstLine="482"/>
      </w:pPr>
      <w:r w:rsidRPr="00DA3766">
        <w:lastRenderedPageBreak/>
        <w:t>十、基于前述内容，并</w:t>
      </w:r>
      <w:bookmarkStart w:id="179" w:name="_Hlk219327471"/>
      <w:r w:rsidRPr="00DA3766">
        <w:t>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bookmarkEnd w:id="179"/>
      <w:r w:rsidRPr="00DA3766">
        <w:t>。</w:t>
      </w:r>
    </w:p>
    <w:p w14:paraId="4D235E81" w14:textId="612D24C0" w:rsidR="00E93DA8" w:rsidRPr="00DA3766" w:rsidRDefault="00B32770" w:rsidP="00B32770">
      <w:pPr>
        <w:pStyle w:val="003"/>
        <w:spacing w:before="120" w:after="120"/>
        <w:ind w:firstLine="482"/>
      </w:pPr>
      <w:bookmarkStart w:id="180" w:name="_Hlk219325724"/>
      <w:r w:rsidRPr="00DA3766">
        <w:t>（一）</w:t>
      </w:r>
      <w:r w:rsidR="00F8272F" w:rsidRPr="00DA3766">
        <w:t>《上市公司收购管理办法》的相关规定</w:t>
      </w:r>
    </w:p>
    <w:p w14:paraId="4FA99625" w14:textId="420949C8" w:rsidR="00C718BF" w:rsidRPr="00DA3766" w:rsidRDefault="00E449F0" w:rsidP="00C3042A">
      <w:pPr>
        <w:pStyle w:val="005"/>
        <w:spacing w:before="120" w:after="120"/>
        <w:ind w:firstLine="480"/>
      </w:pPr>
      <w:r w:rsidRPr="00DA3766">
        <w:t>根据《上市公司收购管理办法》第八十四条规定</w:t>
      </w:r>
      <w:r w:rsidR="00BB2C04" w:rsidRPr="00DA3766">
        <w:t>，</w:t>
      </w:r>
      <w:r w:rsidRPr="00DA3766">
        <w:t>有下列情形之一的，为拥有上市公司控制权：</w:t>
      </w:r>
      <w:r w:rsidR="00BB2C04" w:rsidRPr="00DA3766">
        <w:t>1</w:t>
      </w:r>
      <w:r w:rsidR="00BB2C04" w:rsidRPr="00DA3766">
        <w:t>、</w:t>
      </w:r>
      <w:r w:rsidRPr="00DA3766">
        <w:t>投资者为上市公司持股超过</w:t>
      </w:r>
      <w:r w:rsidRPr="00DA3766">
        <w:t>50%</w:t>
      </w:r>
      <w:r w:rsidRPr="00DA3766">
        <w:t>的控股股东；</w:t>
      </w:r>
      <w:r w:rsidR="00BB2C04" w:rsidRPr="00DA3766">
        <w:t>2</w:t>
      </w:r>
      <w:r w:rsidR="00BB2C04" w:rsidRPr="00DA3766">
        <w:t>、</w:t>
      </w:r>
      <w:r w:rsidRPr="00DA3766">
        <w:t>投资者可以实际支配上市公司股份表决权超过</w:t>
      </w:r>
      <w:r w:rsidRPr="00DA3766">
        <w:t>30%</w:t>
      </w:r>
      <w:r w:rsidRPr="00DA3766">
        <w:t>；</w:t>
      </w:r>
      <w:r w:rsidR="00BB2C04" w:rsidRPr="00DA3766">
        <w:t>3</w:t>
      </w:r>
      <w:r w:rsidR="00BB2C04" w:rsidRPr="00DA3766">
        <w:t>、</w:t>
      </w:r>
      <w:r w:rsidRPr="00DA3766">
        <w:t>投资者通过实际支配上市公司股份表决权能够决定公司董事会超过半数成员选任；</w:t>
      </w:r>
      <w:r w:rsidR="00BB2C04" w:rsidRPr="00DA3766">
        <w:t>4</w:t>
      </w:r>
      <w:r w:rsidR="00BB2C04" w:rsidRPr="00DA3766">
        <w:t>、</w:t>
      </w:r>
      <w:r w:rsidRPr="00DA3766">
        <w:t>投资者依其可实际支配的上市公司股份表决权足以对公司股东会的决议产生重大影响；</w:t>
      </w:r>
      <w:r w:rsidR="00BB2C04" w:rsidRPr="00DA3766">
        <w:t>5</w:t>
      </w:r>
      <w:r w:rsidR="00BB2C04" w:rsidRPr="00DA3766">
        <w:t>、</w:t>
      </w:r>
      <w:r w:rsidRPr="00DA3766">
        <w:t>中国证监会认定的其他情形。</w:t>
      </w:r>
      <w:r w:rsidR="00BB2C04" w:rsidRPr="00DA3766">
        <w:t>结合《上市公司收购管理办法》，具体论述如下：</w:t>
      </w:r>
    </w:p>
    <w:p w14:paraId="6B36467A" w14:textId="42CC5FCE" w:rsidR="0034037E" w:rsidRPr="00DA3766" w:rsidRDefault="0034037E" w:rsidP="00C3042A">
      <w:pPr>
        <w:pStyle w:val="005"/>
        <w:spacing w:before="120" w:after="120"/>
        <w:ind w:firstLine="480"/>
      </w:pPr>
      <w:r w:rsidRPr="00DA3766">
        <w:t>交易对方及其关联方或一致行动人合计持有上市公司股份具体情况见本题回复之</w:t>
      </w:r>
      <w:r w:rsidRPr="00DA3766">
        <w:rPr>
          <w:rFonts w:ascii="宋体" w:hAnsi="宋体"/>
        </w:rPr>
        <w:t>“</w:t>
      </w:r>
      <w:r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Pr="00DA3766">
        <w:t>5%</w:t>
      </w:r>
      <w:r w:rsidRPr="00DA3766">
        <w:t>的情形，认定本次发行股份及支付现金购买资产不构成关联交易是否准确</w:t>
      </w:r>
      <w:r w:rsidRPr="00DA3766">
        <w:rPr>
          <w:rFonts w:ascii="宋体" w:hAnsi="宋体"/>
        </w:rPr>
        <w:t>”</w:t>
      </w:r>
      <w:r w:rsidRPr="00DA3766">
        <w:t>之</w:t>
      </w:r>
      <w:r w:rsidRPr="00DA3766">
        <w:rPr>
          <w:rFonts w:ascii="宋体" w:hAnsi="宋体"/>
        </w:rPr>
        <w:t>“</w:t>
      </w:r>
      <w:r w:rsidRPr="00DA3766">
        <w:t>（四）本次交易完成后不存在交易对方及其关联方或一致行动人合计持有上市公司股份超过</w:t>
      </w:r>
      <w:r w:rsidRPr="00DA3766">
        <w:t>5%</w:t>
      </w:r>
      <w:r w:rsidRPr="00DA3766">
        <w:t>的情形，本次发行股份及支付现金购买资产不构成关联交易</w:t>
      </w:r>
      <w:r w:rsidRPr="00DA3766">
        <w:rPr>
          <w:rFonts w:ascii="宋体" w:hAnsi="宋体"/>
        </w:rPr>
        <w:t>”</w:t>
      </w:r>
      <w:r w:rsidRPr="00DA3766">
        <w:t>。</w:t>
      </w:r>
    </w:p>
    <w:p w14:paraId="52AC1261" w14:textId="552C639E" w:rsidR="0034037E" w:rsidRPr="00DA3766" w:rsidRDefault="0034037E" w:rsidP="00C3042A">
      <w:pPr>
        <w:pStyle w:val="005"/>
        <w:spacing w:before="120" w:after="120"/>
        <w:ind w:firstLine="480"/>
      </w:pPr>
      <w:r w:rsidRPr="00DA3766">
        <w:t>1</w:t>
      </w:r>
      <w:r w:rsidRPr="00DA3766">
        <w:t>、本次交易完成后，陈耿豪不属于上市公司持股</w:t>
      </w:r>
      <w:r w:rsidRPr="00DA3766">
        <w:t>50%</w:t>
      </w:r>
      <w:r w:rsidRPr="00DA3766">
        <w:t>以上的控股股东</w:t>
      </w:r>
    </w:p>
    <w:p w14:paraId="65DF5991" w14:textId="79AEC86E" w:rsidR="0034037E" w:rsidRPr="00DA3766" w:rsidRDefault="0034037E" w:rsidP="00C3042A">
      <w:pPr>
        <w:pStyle w:val="005"/>
        <w:spacing w:before="120" w:after="120"/>
        <w:ind w:firstLine="480"/>
      </w:pPr>
      <w:r w:rsidRPr="00DA3766">
        <w:t>本次交易完成后，若不考虑募集配套资金，交易对方中陈耿豪持有上市公司股份比例最高，持股比例为</w:t>
      </w:r>
      <w:r w:rsidRPr="00DA3766">
        <w:t>4.90%</w:t>
      </w:r>
      <w:r w:rsidRPr="00DA3766">
        <w:t>，不属于持股上市公司</w:t>
      </w:r>
      <w:r w:rsidRPr="00DA3766">
        <w:t>50%</w:t>
      </w:r>
      <w:r w:rsidRPr="00DA3766">
        <w:t>以上的控股股东。</w:t>
      </w:r>
    </w:p>
    <w:p w14:paraId="65BC44F2" w14:textId="5827B019" w:rsidR="0034037E" w:rsidRPr="00DA3766" w:rsidRDefault="0034037E" w:rsidP="00C3042A">
      <w:pPr>
        <w:pStyle w:val="005"/>
        <w:spacing w:before="120" w:after="120"/>
        <w:ind w:firstLine="480"/>
      </w:pPr>
      <w:r w:rsidRPr="00DA3766">
        <w:t>2</w:t>
      </w:r>
      <w:r w:rsidRPr="00DA3766">
        <w:t>、本次交易完成后，</w:t>
      </w:r>
      <w:r w:rsidR="003059FB" w:rsidRPr="00DA3766">
        <w:t>陈耿豪</w:t>
      </w:r>
      <w:r w:rsidRPr="00DA3766">
        <w:t>可以实际支配上市公司股份表决权均未超过</w:t>
      </w:r>
      <w:r w:rsidRPr="00DA3766">
        <w:t xml:space="preserve"> 30%</w:t>
      </w:r>
    </w:p>
    <w:p w14:paraId="61C7A59C" w14:textId="2764BE9D" w:rsidR="0034037E" w:rsidRPr="00DA3766" w:rsidRDefault="0034037E" w:rsidP="00C3042A">
      <w:pPr>
        <w:pStyle w:val="005"/>
        <w:spacing w:before="120" w:after="120"/>
        <w:ind w:firstLine="480"/>
      </w:pPr>
      <w:r w:rsidRPr="00DA3766">
        <w:t>本次交易完成后，</w:t>
      </w:r>
      <w:r w:rsidR="003059FB" w:rsidRPr="00DA3766">
        <w:t>若不考虑募集配套资金，</w:t>
      </w:r>
      <w:r w:rsidRPr="00DA3766">
        <w:t>交易对方</w:t>
      </w:r>
      <w:r w:rsidR="003059FB" w:rsidRPr="00DA3766">
        <w:t>陈耿豪</w:t>
      </w:r>
      <w:r w:rsidRPr="00DA3766">
        <w:t>持有上市公司</w:t>
      </w:r>
      <w:r w:rsidR="003059FB" w:rsidRPr="00DA3766">
        <w:lastRenderedPageBreak/>
        <w:t>4.90</w:t>
      </w:r>
      <w:r w:rsidRPr="00DA3766">
        <w:t>%</w:t>
      </w:r>
      <w:r w:rsidRPr="00DA3766">
        <w:t>的股份，</w:t>
      </w:r>
      <w:r w:rsidR="0035650C" w:rsidRPr="00DA3766">
        <w:t>控制的表决权股份所占比例为</w:t>
      </w:r>
      <w:r w:rsidR="0035650C" w:rsidRPr="00DA3766">
        <w:t>4.97%</w:t>
      </w:r>
      <w:r w:rsidR="0035650C" w:rsidRPr="00DA3766">
        <w:t>，</w:t>
      </w:r>
      <w:r w:rsidRPr="00DA3766">
        <w:t>交易对方</w:t>
      </w:r>
      <w:r w:rsidR="003059FB" w:rsidRPr="00DA3766">
        <w:t>陈耿豪</w:t>
      </w:r>
      <w:r w:rsidRPr="00DA3766">
        <w:t>可以实际支配上市公司股份表决权未超过</w:t>
      </w:r>
      <w:r w:rsidRPr="00DA3766">
        <w:t>30%</w:t>
      </w:r>
      <w:r w:rsidRPr="00DA3766">
        <w:t>。</w:t>
      </w:r>
    </w:p>
    <w:p w14:paraId="2170BB7C" w14:textId="5C428952" w:rsidR="0034037E" w:rsidRPr="00DA3766" w:rsidRDefault="0034037E" w:rsidP="00C3042A">
      <w:pPr>
        <w:pStyle w:val="005"/>
        <w:spacing w:before="120" w:after="120"/>
        <w:ind w:firstLine="480"/>
      </w:pPr>
      <w:r w:rsidRPr="00DA3766">
        <w:t>3</w:t>
      </w:r>
      <w:r w:rsidRPr="00DA3766">
        <w:t>、本次交易完成后，</w:t>
      </w:r>
      <w:r w:rsidR="003059FB" w:rsidRPr="00DA3766">
        <w:t>陈耿豪</w:t>
      </w:r>
      <w:r w:rsidRPr="00DA3766">
        <w:t>通过实际支配上市公司股份表决权不能够决定公司董事会半数以上成员选任</w:t>
      </w:r>
      <w:r w:rsidR="007B0B46" w:rsidRPr="00DA3766">
        <w:t>。</w:t>
      </w:r>
    </w:p>
    <w:p w14:paraId="1EEA5160" w14:textId="414C1BEC" w:rsidR="0034037E" w:rsidRPr="00DA3766" w:rsidRDefault="00506376" w:rsidP="00C3042A">
      <w:pPr>
        <w:pStyle w:val="005"/>
        <w:spacing w:before="120" w:after="120"/>
        <w:ind w:firstLine="480"/>
      </w:pPr>
      <w:r w:rsidRPr="00DA3766">
        <w:t>本次交易完成后，虽然陈耿豪、杨凯然</w:t>
      </w:r>
      <w:r w:rsidR="00007F3D" w:rsidRPr="00DA3766">
        <w:t>及其</w:t>
      </w:r>
      <w:bookmarkStart w:id="181" w:name="_Hlk219383594"/>
      <w:r w:rsidR="00004575" w:rsidRPr="00DA3766">
        <w:t>控制的乐陶陶</w:t>
      </w:r>
      <w:bookmarkEnd w:id="181"/>
      <w:r w:rsidRPr="00DA3766">
        <w:t>、南通成为常青作为上市公司届时合并持股</w:t>
      </w:r>
      <w:r w:rsidRPr="00DA3766">
        <w:t>3%</w:t>
      </w:r>
      <w:r w:rsidRPr="00DA3766">
        <w:t>以上的股东，有权根据《公司法》及《公司章程》的规定行使提名董事的权利，但</w:t>
      </w:r>
      <w:r w:rsidR="003059FB" w:rsidRPr="00DA3766">
        <w:t>《购买资产协议</w:t>
      </w:r>
      <w:r w:rsidRPr="00DA3766">
        <w:t>之</w:t>
      </w:r>
      <w:r w:rsidR="003059FB" w:rsidRPr="00DA3766">
        <w:t>补充协议》</w:t>
      </w:r>
      <w:r w:rsidRPr="00DA3766">
        <w:t>未约定交易对方交易完成后对上市公司董事会改选的相关安排。</w:t>
      </w:r>
    </w:p>
    <w:p w14:paraId="2CC51C51" w14:textId="7E6BF5EF" w:rsidR="0034037E" w:rsidRPr="00DA3766" w:rsidRDefault="0034037E" w:rsidP="00C3042A">
      <w:pPr>
        <w:pStyle w:val="005"/>
        <w:spacing w:before="120" w:after="120"/>
        <w:ind w:firstLine="480"/>
      </w:pPr>
      <w:r w:rsidRPr="00DA3766">
        <w:t>在本次交易完成后，</w:t>
      </w:r>
      <w:r w:rsidR="00506376" w:rsidRPr="00DA3766">
        <w:t>若交易对方选择提名董事候选人，</w:t>
      </w:r>
      <w:r w:rsidRPr="00DA3766">
        <w:t>上市公司董事会在收到董事候选人提案后，由董事会提名委员会进行资格审核确认，并由上市公司董事会提交股东会审议。</w:t>
      </w:r>
    </w:p>
    <w:p w14:paraId="361A0A8D" w14:textId="15AE1516" w:rsidR="0034037E" w:rsidRPr="00DA3766" w:rsidRDefault="0034037E" w:rsidP="00C3042A">
      <w:pPr>
        <w:pStyle w:val="005"/>
        <w:spacing w:before="120" w:after="120"/>
        <w:ind w:firstLine="480"/>
      </w:pPr>
      <w:r w:rsidRPr="00DA3766">
        <w:t>因此，</w:t>
      </w:r>
      <w:r w:rsidR="00506376" w:rsidRPr="00DA3766">
        <w:t>不考虑募集配套资金，</w:t>
      </w:r>
      <w:r w:rsidR="003059FB" w:rsidRPr="00DA3766">
        <w:t>林明玲</w:t>
      </w:r>
      <w:r w:rsidR="001A58DA" w:rsidRPr="00DA3766">
        <w:t>、</w:t>
      </w:r>
      <w:r w:rsidR="00506376" w:rsidRPr="00DA3766">
        <w:t>马学沛</w:t>
      </w:r>
      <w:r w:rsidRPr="00DA3766">
        <w:t>作为上市公司的</w:t>
      </w:r>
      <w:r w:rsidR="00506376" w:rsidRPr="00DA3766">
        <w:t>实际控制人合计支配上市公司</w:t>
      </w:r>
      <w:r w:rsidR="00506376" w:rsidRPr="00DA3766">
        <w:t>26.61%</w:t>
      </w:r>
      <w:r w:rsidR="00506376" w:rsidRPr="00DA3766">
        <w:t>的表决权，</w:t>
      </w:r>
      <w:r w:rsidRPr="00DA3766">
        <w:t>有权决定公司董事会半数以上成员选任；有权提名董事候选人的交易对方</w:t>
      </w:r>
      <w:r w:rsidR="00506376" w:rsidRPr="00DA3766">
        <w:t>陈耿豪、杨凯然及其</w:t>
      </w:r>
      <w:r w:rsidR="00004575" w:rsidRPr="00DA3766">
        <w:t>控制的乐陶陶</w:t>
      </w:r>
      <w:r w:rsidR="00506376" w:rsidRPr="00DA3766">
        <w:t>、南通成为常青</w:t>
      </w:r>
      <w:r w:rsidRPr="00DA3766">
        <w:t>合计持有上市公司</w:t>
      </w:r>
      <w:r w:rsidR="00506376" w:rsidRPr="00DA3766">
        <w:t>11.66%</w:t>
      </w:r>
      <w:r w:rsidRPr="00DA3766">
        <w:t>的表决权比例，其无法决定公司董事会半数以上成员选任。</w:t>
      </w:r>
    </w:p>
    <w:p w14:paraId="2CADF2C7" w14:textId="05B1B172" w:rsidR="0034037E" w:rsidRPr="00DA3766" w:rsidRDefault="00176D50" w:rsidP="00C3042A">
      <w:pPr>
        <w:pStyle w:val="005"/>
        <w:spacing w:before="120" w:after="120"/>
        <w:ind w:firstLine="480"/>
      </w:pPr>
      <w:r w:rsidRPr="00DA3766">
        <w:t>综上所述</w:t>
      </w:r>
      <w:r w:rsidR="0034037E" w:rsidRPr="00DA3766">
        <w:t>，交易对方通过实际支配上市公司股份表决权均不能够决定公司董事会半数以上成员选任。</w:t>
      </w:r>
    </w:p>
    <w:p w14:paraId="5B0D0268" w14:textId="3A1C2D04" w:rsidR="0034037E" w:rsidRPr="00DA3766" w:rsidRDefault="0034037E" w:rsidP="00C3042A">
      <w:pPr>
        <w:pStyle w:val="005"/>
        <w:spacing w:before="120" w:after="120"/>
        <w:ind w:firstLine="480"/>
      </w:pPr>
      <w:r w:rsidRPr="00DA3766">
        <w:t>4</w:t>
      </w:r>
      <w:r w:rsidRPr="00DA3766">
        <w:t>、</w:t>
      </w:r>
      <w:r w:rsidR="003059FB" w:rsidRPr="00DA3766">
        <w:t>陈耿豪</w:t>
      </w:r>
      <w:r w:rsidRPr="00DA3766">
        <w:t>依其可实际支配的上市公司股份表决权不足以对公司股东会的决议产生重大影响</w:t>
      </w:r>
    </w:p>
    <w:p w14:paraId="077CBD68" w14:textId="5EF1527E" w:rsidR="0034037E" w:rsidRPr="00DA3766" w:rsidRDefault="0034037E" w:rsidP="00C3042A">
      <w:pPr>
        <w:pStyle w:val="005"/>
        <w:spacing w:before="120" w:after="120"/>
        <w:ind w:firstLine="480"/>
      </w:pPr>
      <w:r w:rsidRPr="00DA3766">
        <w:t>如前所述，本次交易完成后，在不考虑募集配套资金的情况下，</w:t>
      </w:r>
      <w:r w:rsidR="003059FB" w:rsidRPr="00DA3766">
        <w:t>陈耿豪</w:t>
      </w:r>
      <w:r w:rsidRPr="00DA3766">
        <w:t>合计持有上市公司</w:t>
      </w:r>
      <w:r w:rsidR="0035650C" w:rsidRPr="00DA3766">
        <w:t>4,340,000</w:t>
      </w:r>
      <w:r w:rsidRPr="00DA3766">
        <w:t>股股份（对应持股比例</w:t>
      </w:r>
      <w:r w:rsidR="0035650C" w:rsidRPr="00DA3766">
        <w:t>4.90</w:t>
      </w:r>
      <w:r w:rsidRPr="00DA3766">
        <w:t>%</w:t>
      </w:r>
      <w:r w:rsidRPr="00DA3766">
        <w:t>），合计持有上市公司有表决权的股份数量为</w:t>
      </w:r>
      <w:bookmarkStart w:id="182" w:name="OLE_LINK45"/>
      <w:r w:rsidR="003059FB" w:rsidRPr="00DA3766">
        <w:t>4</w:t>
      </w:r>
      <w:r w:rsidR="0035650C" w:rsidRPr="00DA3766">
        <w:t>,</w:t>
      </w:r>
      <w:r w:rsidR="003059FB" w:rsidRPr="00DA3766">
        <w:t>34</w:t>
      </w:r>
      <w:r w:rsidR="0035650C" w:rsidRPr="00DA3766">
        <w:t>0,000</w:t>
      </w:r>
      <w:bookmarkEnd w:id="182"/>
      <w:r w:rsidRPr="00DA3766">
        <w:t>股股份（对应表决权比例</w:t>
      </w:r>
      <w:r w:rsidR="0035650C" w:rsidRPr="00DA3766">
        <w:t>4.97</w:t>
      </w:r>
      <w:r w:rsidRPr="00DA3766">
        <w:t>%</w:t>
      </w:r>
      <w:r w:rsidRPr="00DA3766">
        <w:t>），交易对方</w:t>
      </w:r>
      <w:r w:rsidR="0035650C" w:rsidRPr="00DA3766">
        <w:t>陈耿豪</w:t>
      </w:r>
      <w:r w:rsidRPr="00DA3766">
        <w:t>可以实际支配的上市公司股份表决权未超过</w:t>
      </w:r>
      <w:r w:rsidRPr="00DA3766">
        <w:t>30%</w:t>
      </w:r>
      <w:r w:rsidRPr="00DA3766">
        <w:t>。</w:t>
      </w:r>
    </w:p>
    <w:p w14:paraId="249269CB" w14:textId="526BB00D" w:rsidR="0034037E" w:rsidRPr="00DA3766" w:rsidRDefault="00176D50" w:rsidP="00C3042A">
      <w:pPr>
        <w:pStyle w:val="005"/>
        <w:spacing w:before="120" w:after="120"/>
        <w:ind w:firstLine="480"/>
      </w:pPr>
      <w:r w:rsidRPr="00DA3766">
        <w:t>林明玲、马学沛合计持有上市公司表决权的股份数量为</w:t>
      </w:r>
      <w:r w:rsidRPr="00DA3766">
        <w:t>23,253,944</w:t>
      </w:r>
      <w:r w:rsidRPr="00DA3766">
        <w:t>股股份（对应表决权比例</w:t>
      </w:r>
      <w:r w:rsidRPr="00DA3766">
        <w:t>26.61%</w:t>
      </w:r>
      <w:r w:rsidRPr="00DA3766">
        <w:t>），陈耿豪所持有的上市公司有表决权的股份数量未超过其与林明玲、马学沛合计持有有表决权的股份总数量的</w:t>
      </w:r>
      <w:r w:rsidRPr="00DA3766">
        <w:t>20%</w:t>
      </w:r>
      <w:r w:rsidR="0034037E" w:rsidRPr="00DA3766">
        <w:t>，在股东会对不涉及</w:t>
      </w:r>
      <w:r w:rsidR="00506376" w:rsidRPr="00DA3766">
        <w:t>林明玲、马学沛</w:t>
      </w:r>
      <w:r w:rsidR="0034037E" w:rsidRPr="00DA3766">
        <w:t>回避表决的相关议案作出决议时，交易对方</w:t>
      </w:r>
      <w:r w:rsidR="00506376" w:rsidRPr="00DA3766">
        <w:t>陈耿豪</w:t>
      </w:r>
      <w:r w:rsidR="0034037E" w:rsidRPr="00DA3766">
        <w:t>依其可实</w:t>
      </w:r>
      <w:r w:rsidR="0034037E" w:rsidRPr="00DA3766">
        <w:lastRenderedPageBreak/>
        <w:t>际支配的上市公司股份表决权不足以对公司股东会的决议产生重大影响。</w:t>
      </w:r>
    </w:p>
    <w:p w14:paraId="5D20F981" w14:textId="77777777" w:rsidR="0034037E" w:rsidRPr="00DA3766" w:rsidRDefault="0034037E" w:rsidP="00C3042A">
      <w:pPr>
        <w:pStyle w:val="005"/>
        <w:spacing w:before="120" w:after="120"/>
        <w:ind w:firstLine="480"/>
      </w:pPr>
      <w:r w:rsidRPr="00DA3766">
        <w:t>5</w:t>
      </w:r>
      <w:r w:rsidRPr="00DA3766">
        <w:t>、交易对方不存在被中国证监会认定的拥有上市公司控制权的其他情形</w:t>
      </w:r>
    </w:p>
    <w:p w14:paraId="0A9E7929" w14:textId="5E421313" w:rsidR="0034037E" w:rsidRPr="00DA3766" w:rsidRDefault="0034037E" w:rsidP="00C3042A">
      <w:pPr>
        <w:pStyle w:val="005"/>
        <w:spacing w:before="120" w:after="120"/>
        <w:ind w:firstLine="480"/>
      </w:pPr>
      <w:r w:rsidRPr="00DA3766">
        <w:t>根据</w:t>
      </w:r>
      <w:r w:rsidR="00007F3D" w:rsidRPr="00DA3766">
        <w:t>标的公司核心管理人员陈耿豪、杨凯然、张杰波、胡俊及王佳均出具的《关于不谋求上市公司控制权的承诺函》</w:t>
      </w:r>
      <w:r w:rsidRPr="00DA3766">
        <w:t>，其承诺</w:t>
      </w:r>
      <w:r w:rsidR="00007F3D" w:rsidRPr="00DA3766">
        <w:t>不会通过一致行动、表决权委托等方式谋求上市公司的控制权</w:t>
      </w:r>
      <w:r w:rsidRPr="00DA3766">
        <w:t>；并且</w:t>
      </w:r>
      <w:r w:rsidR="009E7C82" w:rsidRPr="00DA3766">
        <w:t>本次交易中募集配套资金的认购方为上市公司实际控制人之一马学沛先生，募集配套资金完成后，本次交易的交易对方所持上市公司股权比例将进一步减少</w:t>
      </w:r>
      <w:r w:rsidRPr="00DA3766">
        <w:t>。因此，交易对方不存在其他中国证监会认定的通过本次交易拥有上市公司控制权的任何情形。</w:t>
      </w:r>
    </w:p>
    <w:p w14:paraId="28E1EE39" w14:textId="14AAC396" w:rsidR="00BB2C04" w:rsidRPr="00DA3766" w:rsidRDefault="003059FB" w:rsidP="00C3042A">
      <w:pPr>
        <w:pStyle w:val="005"/>
        <w:spacing w:before="120" w:after="120"/>
        <w:ind w:firstLine="480"/>
      </w:pPr>
      <w:r w:rsidRPr="00DA3766">
        <w:t>综上，陈耿豪作为本次交易完成后持有上市公司股权比例最高的</w:t>
      </w:r>
      <w:r w:rsidR="0034037E" w:rsidRPr="00DA3766">
        <w:t>交易对方</w:t>
      </w:r>
      <w:r w:rsidRPr="00DA3766">
        <w:t>，不属于《上市公司收购管理办法》第八十四条规定的拥有上市公司控制权的投资者的情形之一</w:t>
      </w:r>
      <w:r w:rsidR="009E7C82" w:rsidRPr="00DA3766">
        <w:t>。同理，</w:t>
      </w:r>
      <w:r w:rsidRPr="00DA3766">
        <w:t>其余交易对方亦</w:t>
      </w:r>
      <w:r w:rsidR="0034037E" w:rsidRPr="00DA3766">
        <w:t>不属于《上市公司收购管理办法》第八十四条规定的拥有上市公司控制权的投资者的情形之一。</w:t>
      </w:r>
    </w:p>
    <w:p w14:paraId="35819991" w14:textId="11CE3DFD" w:rsidR="0034037E" w:rsidRPr="00DA3766" w:rsidRDefault="00176D50" w:rsidP="00C3042A">
      <w:pPr>
        <w:pStyle w:val="005"/>
        <w:spacing w:before="120" w:after="120"/>
        <w:ind w:firstLine="480"/>
      </w:pPr>
      <w:r w:rsidRPr="00DA3766">
        <w:t>综上所述</w:t>
      </w:r>
      <w:r w:rsidR="0034037E" w:rsidRPr="00DA3766">
        <w:t>，</w:t>
      </w:r>
      <w:r w:rsidR="003059FB" w:rsidRPr="00DA3766">
        <w:t>本次交易完成后，上市公司控制权未发生变更，林明玲仍为上市公司的控股股东，林明玲及马学沛仍为上市公司的实际控制人，二人</w:t>
      </w:r>
      <w:r w:rsidR="0034037E" w:rsidRPr="00DA3766">
        <w:t>能够实际支配的表决权能够对上市公司股东会的决议产生决定性影响，符合上述法律法规的相关规定</w:t>
      </w:r>
      <w:r w:rsidR="009E7C82" w:rsidRPr="00DA3766">
        <w:t>，</w:t>
      </w:r>
      <w:r w:rsidR="003059FB" w:rsidRPr="00DA3766">
        <w:t>本次交易不构成重组上市。</w:t>
      </w:r>
    </w:p>
    <w:p w14:paraId="26E0CB7D" w14:textId="40FAB38C" w:rsidR="00F8272F" w:rsidRPr="00DA3766" w:rsidRDefault="00F8272F" w:rsidP="00B32770">
      <w:pPr>
        <w:pStyle w:val="003"/>
        <w:spacing w:before="120" w:after="120"/>
        <w:ind w:firstLine="482"/>
      </w:pPr>
      <w:r w:rsidRPr="00DA3766">
        <w:t>（二）交易后上市公司的治理结构、章程相关规定及财务经营事项决策机制</w:t>
      </w:r>
    </w:p>
    <w:p w14:paraId="3BD352DE" w14:textId="03A785C8" w:rsidR="00EA0051" w:rsidRPr="00DA3766" w:rsidRDefault="00EA0051" w:rsidP="00EA0051">
      <w:pPr>
        <w:pStyle w:val="004"/>
        <w:spacing w:before="120" w:after="120"/>
        <w:ind w:firstLine="482"/>
      </w:pPr>
      <w:r w:rsidRPr="00DA3766">
        <w:t>1</w:t>
      </w:r>
      <w:r w:rsidRPr="00DA3766">
        <w:t>、上市公司的治理结构及公司章程的相关规定</w:t>
      </w:r>
    </w:p>
    <w:p w14:paraId="7AAAB908" w14:textId="17901FAC" w:rsidR="00EA0051" w:rsidRPr="00DA3766" w:rsidRDefault="00EA0051" w:rsidP="00C3042A">
      <w:pPr>
        <w:pStyle w:val="005"/>
        <w:spacing w:before="120" w:after="120"/>
        <w:ind w:firstLine="480"/>
      </w:pPr>
      <w:r w:rsidRPr="00DA3766">
        <w:t>本次交易前，上市公司已经形成了良好的经营管理机制，根据《公司法》及上市公司章程的规定，设立了股东会、董事会，选举产生了董事并聘请了总经理、副总经理、财务负责人和董事会秘书等高级管理人员。股东会决定上市公司的经营方针和投资计划等；董事会执行股东会的决议，制定上市公司的经营计划和投资方案，并在股东会授权范围内，决定上市公司对外投资、收购出售资产、关联交易等事项；高级管理人员主持上市公司的生产经营管理工作等；下属部门各司其职，行使相关职能。</w:t>
      </w:r>
    </w:p>
    <w:p w14:paraId="6B9155BF" w14:textId="78AEDFE9" w:rsidR="00EA0051" w:rsidRPr="00DA3766" w:rsidRDefault="00EA0051" w:rsidP="00C3042A">
      <w:pPr>
        <w:pStyle w:val="005"/>
        <w:spacing w:before="120" w:after="120"/>
        <w:ind w:firstLine="480"/>
      </w:pPr>
      <w:r w:rsidRPr="00DA3766">
        <w:t>上市公司的上述经营管理机制不会因本次交易而发生重大变动。规范、有效、统一的经营管理体系有利于上市公司控制权的稳定。</w:t>
      </w:r>
    </w:p>
    <w:p w14:paraId="4EE4D5B4" w14:textId="168ACAC0" w:rsidR="00EA0051" w:rsidRPr="00DA3766" w:rsidRDefault="00EA0051" w:rsidP="00EA0051">
      <w:pPr>
        <w:pStyle w:val="004"/>
        <w:spacing w:before="120" w:after="120"/>
        <w:ind w:firstLine="482"/>
      </w:pPr>
      <w:r w:rsidRPr="00DA3766">
        <w:lastRenderedPageBreak/>
        <w:t>2</w:t>
      </w:r>
      <w:r w:rsidRPr="00DA3766">
        <w:t>、上市公司的财务经营事项决策机制</w:t>
      </w:r>
    </w:p>
    <w:p w14:paraId="330A47BB" w14:textId="6304B401" w:rsidR="00EA0051" w:rsidRPr="00DA3766" w:rsidRDefault="00EA0051" w:rsidP="00C3042A">
      <w:pPr>
        <w:pStyle w:val="005"/>
        <w:spacing w:before="120" w:after="120"/>
        <w:ind w:firstLine="480"/>
      </w:pPr>
      <w:r w:rsidRPr="00DA3766">
        <w:t>本次交易前，上市公司聘请了专业的财务人员，建立了符合会计制度相关要求的财务核算体系和财务管理制度。根据《购买资产协议之补充协议》，在本次交易完成后，业绩承诺期内标的公司及其下属企业在财务方面应由上市公司财务部统一管理，标的公司财务负责人由上市公司指定人选担任，出纳由乙方指定。因此，本次交易完成后，标的公司将成为上市公司的</w:t>
      </w:r>
      <w:r w:rsidR="007B0B46" w:rsidRPr="00DA3766">
        <w:t>控股</w:t>
      </w:r>
      <w:r w:rsidRPr="00DA3766">
        <w:t>子公司，标的公司将纳入上市公司统一财务管理体系之中，财务系统、财务管理制度将与上市公司财务系统实现全面对接，参照上市公司的统一标准，对经营进行日常管理和账务核算。上市公司将按照公司治理要求进行整体财务管控，控制财务风险，提高重组后公司整体的资金运用效率。本次交易完成后，上市公司上述财务管理机制不会因本次交易而发生重大变动。</w:t>
      </w:r>
    </w:p>
    <w:p w14:paraId="62FEEA33" w14:textId="2C46E35A" w:rsidR="00EA0051" w:rsidRPr="00DA3766" w:rsidRDefault="00EA0051" w:rsidP="00C3042A">
      <w:pPr>
        <w:pStyle w:val="005"/>
        <w:spacing w:before="120" w:after="120"/>
        <w:ind w:firstLine="480"/>
      </w:pPr>
      <w:r w:rsidRPr="00DA3766">
        <w:t>综上，结合本次交易对上市公司董事会及管理层的调整、重大事项决策机制、经营和财务管理机制等情况，本次交易完成后，上市公司控制权将保持稳定。</w:t>
      </w:r>
    </w:p>
    <w:p w14:paraId="24CD295B" w14:textId="16FF2C44" w:rsidR="00F8272F" w:rsidRPr="00DA3766" w:rsidRDefault="00F8272F" w:rsidP="00B32770">
      <w:pPr>
        <w:pStyle w:val="003"/>
        <w:spacing w:before="120" w:after="120"/>
        <w:ind w:firstLine="482"/>
      </w:pPr>
      <w:r w:rsidRPr="00DA3766">
        <w:t>（三）上市公司实际控制人与本次交易对方的持股比例</w:t>
      </w:r>
    </w:p>
    <w:p w14:paraId="6B41D4E7" w14:textId="750FD4D2" w:rsidR="00C718BF" w:rsidRPr="00DA3766" w:rsidRDefault="00C718BF" w:rsidP="00C3042A">
      <w:pPr>
        <w:pStyle w:val="005"/>
        <w:spacing w:before="120" w:after="120"/>
        <w:ind w:firstLine="480"/>
      </w:pPr>
      <w:r w:rsidRPr="00DA3766">
        <w:t>上市公司实际控制人与本次交易对方的持股比例情况见</w:t>
      </w:r>
      <w:r w:rsidR="00F32A32" w:rsidRPr="00DA3766">
        <w:t>《重组报告书》</w:t>
      </w:r>
      <w:r w:rsidRPr="00DA3766">
        <w:rPr>
          <w:rFonts w:ascii="宋体" w:hAnsi="宋体"/>
        </w:rPr>
        <w:t>“</w:t>
      </w:r>
      <w:r w:rsidRPr="00DA3766">
        <w:t>重大事项提示</w:t>
      </w:r>
      <w:r w:rsidRPr="00DA3766">
        <w:rPr>
          <w:rFonts w:ascii="宋体" w:hAnsi="宋体"/>
        </w:rPr>
        <w:t>”</w:t>
      </w:r>
      <w:r w:rsidRPr="00DA3766">
        <w:t>之</w:t>
      </w:r>
      <w:r w:rsidRPr="00DA3766">
        <w:rPr>
          <w:rFonts w:ascii="宋体" w:hAnsi="宋体"/>
        </w:rPr>
        <w:t>“</w:t>
      </w:r>
      <w:r w:rsidRPr="00DA3766">
        <w:t>三、本次重组对上市公司的影响</w:t>
      </w:r>
      <w:r w:rsidRPr="00DA3766">
        <w:rPr>
          <w:rFonts w:ascii="宋体" w:hAnsi="宋体"/>
        </w:rPr>
        <w:t>”</w:t>
      </w:r>
      <w:r w:rsidRPr="00DA3766">
        <w:t>之</w:t>
      </w:r>
      <w:r w:rsidRPr="00DA3766">
        <w:rPr>
          <w:rFonts w:ascii="宋体" w:hAnsi="宋体"/>
        </w:rPr>
        <w:t>“</w:t>
      </w:r>
      <w:r w:rsidRPr="00DA3766">
        <w:t>（二）本次交易对上市公司股权结构的影响</w:t>
      </w:r>
      <w:r w:rsidRPr="00DA3766">
        <w:rPr>
          <w:rFonts w:ascii="宋体" w:hAnsi="宋体"/>
        </w:rPr>
        <w:t>”</w:t>
      </w:r>
      <w:r w:rsidR="00176D50" w:rsidRPr="00DA3766">
        <w:t>。</w:t>
      </w:r>
    </w:p>
    <w:p w14:paraId="21175399" w14:textId="6A42AD00" w:rsidR="00F8272F" w:rsidRPr="00DA3766" w:rsidRDefault="00F8272F" w:rsidP="00B32770">
      <w:pPr>
        <w:pStyle w:val="003"/>
        <w:spacing w:before="120" w:after="120"/>
        <w:ind w:firstLine="482"/>
      </w:pPr>
      <w:r w:rsidRPr="00DA3766">
        <w:t>（四）交易对方之间的关联关系或一致行动关系情况</w:t>
      </w:r>
    </w:p>
    <w:p w14:paraId="58D2A726" w14:textId="64A45F8C" w:rsidR="00C718BF" w:rsidRPr="00DA3766" w:rsidRDefault="00C718BF" w:rsidP="00C3042A">
      <w:pPr>
        <w:pStyle w:val="005"/>
        <w:spacing w:before="120" w:after="120"/>
        <w:ind w:firstLine="480"/>
      </w:pPr>
      <w:r w:rsidRPr="00DA3766">
        <w:t>交易对方之间关联关系或一致行动关系见</w:t>
      </w:r>
      <w:r w:rsidR="00F32A32" w:rsidRPr="00DA3766">
        <w:t>《重组报告书》</w:t>
      </w:r>
      <w:r w:rsidRPr="00DA3766">
        <w:rPr>
          <w:rFonts w:ascii="宋体" w:hAnsi="宋体"/>
        </w:rPr>
        <w:t>“</w:t>
      </w:r>
      <w:r w:rsidRPr="00DA3766">
        <w:t>第三节</w:t>
      </w:r>
      <w:r w:rsidRPr="00DA3766">
        <w:t xml:space="preserve"> </w:t>
      </w:r>
      <w:r w:rsidRPr="00DA3766">
        <w:t>交易对方基本情况</w:t>
      </w:r>
      <w:r w:rsidRPr="00DA3766">
        <w:rPr>
          <w:rFonts w:ascii="宋体" w:hAnsi="宋体"/>
        </w:rPr>
        <w:t>”</w:t>
      </w:r>
      <w:r w:rsidRPr="00DA3766">
        <w:t>之</w:t>
      </w:r>
      <w:r w:rsidRPr="00DA3766">
        <w:rPr>
          <w:rFonts w:ascii="宋体" w:hAnsi="宋体"/>
        </w:rPr>
        <w:t>“</w:t>
      </w:r>
      <w:r w:rsidRPr="00DA3766">
        <w:t>三、其他事项说明</w:t>
      </w:r>
      <w:r w:rsidRPr="00DA3766">
        <w:rPr>
          <w:rFonts w:ascii="宋体" w:hAnsi="宋体"/>
        </w:rPr>
        <w:t>”</w:t>
      </w:r>
      <w:r w:rsidRPr="00DA3766">
        <w:t>之</w:t>
      </w:r>
      <w:r w:rsidRPr="00DA3766">
        <w:rPr>
          <w:rFonts w:ascii="宋体" w:hAnsi="宋体"/>
        </w:rPr>
        <w:t>“</w:t>
      </w:r>
      <w:r w:rsidRPr="00DA3766">
        <w:t>（一）交易对方之间的关联关系</w:t>
      </w:r>
      <w:r w:rsidRPr="00DA3766">
        <w:rPr>
          <w:rFonts w:ascii="宋体" w:hAnsi="宋体"/>
        </w:rPr>
        <w:t>”</w:t>
      </w:r>
      <w:r w:rsidRPr="00DA3766">
        <w:t>。</w:t>
      </w:r>
    </w:p>
    <w:p w14:paraId="137F6401" w14:textId="7848F2DA" w:rsidR="00F8272F" w:rsidRPr="00DA3766" w:rsidRDefault="00F8272F" w:rsidP="00B32770">
      <w:pPr>
        <w:pStyle w:val="003"/>
        <w:spacing w:before="120" w:after="120"/>
        <w:ind w:firstLine="482"/>
      </w:pPr>
      <w:r w:rsidRPr="00DA3766">
        <w:t>（五）标的资产的资产、收入及利润占上市公司的比重</w:t>
      </w:r>
    </w:p>
    <w:p w14:paraId="582FD5BB" w14:textId="10F26244" w:rsidR="00C718BF" w:rsidRPr="00DA3766" w:rsidRDefault="00B9064B" w:rsidP="00C3042A">
      <w:pPr>
        <w:pStyle w:val="005"/>
        <w:spacing w:before="120" w:after="120"/>
        <w:ind w:firstLine="480"/>
      </w:pPr>
      <w:r w:rsidRPr="00DA3766">
        <w:t>2024</w:t>
      </w:r>
      <w:r w:rsidRPr="00DA3766">
        <w:t>年度，</w:t>
      </w:r>
      <w:r w:rsidR="00C718BF" w:rsidRPr="00DA3766">
        <w:t>标的</w:t>
      </w:r>
      <w:r w:rsidRPr="00DA3766">
        <w:t>公司</w:t>
      </w:r>
      <w:r w:rsidR="00C718BF" w:rsidRPr="00DA3766">
        <w:t>的资产、收入及利润占上市公司的比重情况如下：</w:t>
      </w:r>
    </w:p>
    <w:p w14:paraId="7B33E97D" w14:textId="65854F3F" w:rsidR="00B9064B" w:rsidRPr="00DA3766" w:rsidRDefault="00B9064B" w:rsidP="001076ED">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C718BF" w:rsidRPr="00DA3766" w14:paraId="11703D12" w14:textId="77777777" w:rsidTr="00DA3766">
        <w:trPr>
          <w:trHeight w:val="397"/>
          <w:jc w:val="center"/>
        </w:trPr>
        <w:tc>
          <w:tcPr>
            <w:tcW w:w="2372" w:type="dxa"/>
            <w:tcMar>
              <w:top w:w="0" w:type="dxa"/>
              <w:left w:w="108" w:type="dxa"/>
              <w:bottom w:w="0" w:type="dxa"/>
              <w:right w:w="108" w:type="dxa"/>
            </w:tcMar>
            <w:vAlign w:val="center"/>
          </w:tcPr>
          <w:p w14:paraId="1432CFA9" w14:textId="77777777"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183" w:name="_Hlk198716358"/>
            <w:r w:rsidRPr="00DA3766">
              <w:rPr>
                <w:rFonts w:ascii="Times New Roman" w:hAnsi="Times New Roman" w:cs="Times New Roman"/>
                <w:b/>
                <w:sz w:val="21"/>
                <w:szCs w:val="21"/>
              </w:rPr>
              <w:t>项目</w:t>
            </w:r>
          </w:p>
        </w:tc>
        <w:tc>
          <w:tcPr>
            <w:tcW w:w="2052" w:type="dxa"/>
            <w:tcMar>
              <w:top w:w="0" w:type="dxa"/>
              <w:left w:w="108" w:type="dxa"/>
              <w:bottom w:w="0" w:type="dxa"/>
              <w:right w:w="108" w:type="dxa"/>
            </w:tcMar>
            <w:vAlign w:val="center"/>
          </w:tcPr>
          <w:p w14:paraId="7C554E9F" w14:textId="26AE4DB1"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资产总额</w:t>
            </w:r>
          </w:p>
        </w:tc>
        <w:tc>
          <w:tcPr>
            <w:tcW w:w="2052" w:type="dxa"/>
            <w:tcMar>
              <w:top w:w="0" w:type="dxa"/>
              <w:left w:w="108" w:type="dxa"/>
              <w:bottom w:w="0" w:type="dxa"/>
              <w:right w:w="108" w:type="dxa"/>
            </w:tcMar>
            <w:vAlign w:val="center"/>
          </w:tcPr>
          <w:p w14:paraId="6FB62DDC" w14:textId="296FE63A"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营业收入</w:t>
            </w:r>
          </w:p>
        </w:tc>
        <w:tc>
          <w:tcPr>
            <w:tcW w:w="2052" w:type="dxa"/>
            <w:tcMar>
              <w:top w:w="0" w:type="dxa"/>
              <w:left w:w="108" w:type="dxa"/>
              <w:bottom w:w="0" w:type="dxa"/>
              <w:right w:w="108" w:type="dxa"/>
            </w:tcMar>
            <w:vAlign w:val="center"/>
          </w:tcPr>
          <w:p w14:paraId="3B0A33C1" w14:textId="5781F22E"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净利润</w:t>
            </w:r>
          </w:p>
        </w:tc>
      </w:tr>
      <w:tr w:rsidR="00C718BF" w:rsidRPr="00DA3766" w14:paraId="47FEFABB" w14:textId="77777777" w:rsidTr="00DA3766">
        <w:trPr>
          <w:trHeight w:val="397"/>
          <w:jc w:val="center"/>
        </w:trPr>
        <w:tc>
          <w:tcPr>
            <w:tcW w:w="2372" w:type="dxa"/>
            <w:tcMar>
              <w:top w:w="0" w:type="dxa"/>
              <w:left w:w="108" w:type="dxa"/>
              <w:bottom w:w="0" w:type="dxa"/>
              <w:right w:w="108" w:type="dxa"/>
            </w:tcMar>
            <w:vAlign w:val="center"/>
          </w:tcPr>
          <w:p w14:paraId="19E399BB" w14:textId="77777777" w:rsidR="00C718BF" w:rsidRPr="00DA3766" w:rsidRDefault="00C718B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标的资产</w:t>
            </w:r>
          </w:p>
        </w:tc>
        <w:tc>
          <w:tcPr>
            <w:tcW w:w="2052" w:type="dxa"/>
            <w:tcMar>
              <w:top w:w="0" w:type="dxa"/>
              <w:left w:w="108" w:type="dxa"/>
              <w:bottom w:w="0" w:type="dxa"/>
              <w:right w:w="108" w:type="dxa"/>
            </w:tcMar>
            <w:vAlign w:val="center"/>
          </w:tcPr>
          <w:p w14:paraId="4B8D6BA2" w14:textId="76BB144B"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31,668.73</w:t>
            </w:r>
          </w:p>
        </w:tc>
        <w:tc>
          <w:tcPr>
            <w:tcW w:w="2052" w:type="dxa"/>
            <w:tcMar>
              <w:top w:w="0" w:type="dxa"/>
              <w:left w:w="108" w:type="dxa"/>
              <w:bottom w:w="0" w:type="dxa"/>
              <w:right w:w="108" w:type="dxa"/>
            </w:tcMar>
            <w:vAlign w:val="center"/>
          </w:tcPr>
          <w:p w14:paraId="0B66F162" w14:textId="02067AC9"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44,716.44</w:t>
            </w:r>
          </w:p>
        </w:tc>
        <w:tc>
          <w:tcPr>
            <w:tcW w:w="2052" w:type="dxa"/>
            <w:tcMar>
              <w:top w:w="0" w:type="dxa"/>
              <w:left w:w="108" w:type="dxa"/>
              <w:bottom w:w="0" w:type="dxa"/>
              <w:right w:w="108" w:type="dxa"/>
            </w:tcMar>
            <w:vAlign w:val="center"/>
          </w:tcPr>
          <w:p w14:paraId="0746F3AD" w14:textId="50B0F19A"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9,466.96</w:t>
            </w:r>
          </w:p>
        </w:tc>
      </w:tr>
      <w:tr w:rsidR="00C718BF" w:rsidRPr="00DA3766" w14:paraId="4318C19D" w14:textId="77777777" w:rsidTr="00DA3766">
        <w:trPr>
          <w:trHeight w:val="397"/>
          <w:jc w:val="center"/>
        </w:trPr>
        <w:tc>
          <w:tcPr>
            <w:tcW w:w="2372" w:type="dxa"/>
            <w:tcMar>
              <w:top w:w="0" w:type="dxa"/>
              <w:left w:w="108" w:type="dxa"/>
              <w:bottom w:w="0" w:type="dxa"/>
              <w:right w:w="108" w:type="dxa"/>
            </w:tcMar>
            <w:vAlign w:val="center"/>
          </w:tcPr>
          <w:p w14:paraId="1BE5AB55" w14:textId="77777777" w:rsidR="00C718BF" w:rsidRPr="00DA3766" w:rsidRDefault="00C718B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上市公司</w:t>
            </w:r>
          </w:p>
        </w:tc>
        <w:tc>
          <w:tcPr>
            <w:tcW w:w="2052" w:type="dxa"/>
            <w:tcMar>
              <w:top w:w="0" w:type="dxa"/>
              <w:left w:w="108" w:type="dxa"/>
              <w:bottom w:w="0" w:type="dxa"/>
              <w:right w:w="108" w:type="dxa"/>
            </w:tcMar>
            <w:vAlign w:val="center"/>
          </w:tcPr>
          <w:p w14:paraId="54EA95B9" w14:textId="37D446E7"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133,376.68</w:t>
            </w:r>
          </w:p>
        </w:tc>
        <w:tc>
          <w:tcPr>
            <w:tcW w:w="2052" w:type="dxa"/>
            <w:tcMar>
              <w:top w:w="0" w:type="dxa"/>
              <w:left w:w="108" w:type="dxa"/>
              <w:bottom w:w="0" w:type="dxa"/>
              <w:right w:w="108" w:type="dxa"/>
            </w:tcMar>
            <w:vAlign w:val="center"/>
          </w:tcPr>
          <w:p w14:paraId="467EBCBD" w14:textId="4B20DB0A"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22,363.30</w:t>
            </w:r>
          </w:p>
        </w:tc>
        <w:tc>
          <w:tcPr>
            <w:tcW w:w="2052" w:type="dxa"/>
            <w:tcMar>
              <w:top w:w="0" w:type="dxa"/>
              <w:left w:w="108" w:type="dxa"/>
              <w:bottom w:w="0" w:type="dxa"/>
              <w:right w:w="108" w:type="dxa"/>
            </w:tcMar>
            <w:vAlign w:val="center"/>
          </w:tcPr>
          <w:p w14:paraId="071B7309" w14:textId="25B4A707"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sz w:val="21"/>
                <w:szCs w:val="21"/>
              </w:rPr>
              <w:t>-5,349.18</w:t>
            </w:r>
          </w:p>
        </w:tc>
      </w:tr>
      <w:tr w:rsidR="003B04E1" w:rsidRPr="00DA3766" w14:paraId="30FF0179" w14:textId="77777777" w:rsidTr="00DA3766">
        <w:trPr>
          <w:trHeight w:val="397"/>
          <w:jc w:val="center"/>
        </w:trPr>
        <w:tc>
          <w:tcPr>
            <w:tcW w:w="2372" w:type="dxa"/>
            <w:tcMar>
              <w:top w:w="0" w:type="dxa"/>
              <w:left w:w="108" w:type="dxa"/>
              <w:bottom w:w="0" w:type="dxa"/>
              <w:right w:w="108" w:type="dxa"/>
            </w:tcMar>
            <w:vAlign w:val="center"/>
          </w:tcPr>
          <w:p w14:paraId="27C8775B" w14:textId="77777777" w:rsidR="003B04E1" w:rsidRPr="00DA3766" w:rsidRDefault="003B04E1" w:rsidP="00DA3766">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占比</w:t>
            </w:r>
          </w:p>
        </w:tc>
        <w:tc>
          <w:tcPr>
            <w:tcW w:w="2052" w:type="dxa"/>
            <w:tcMar>
              <w:top w:w="0" w:type="dxa"/>
              <w:left w:w="108" w:type="dxa"/>
              <w:bottom w:w="0" w:type="dxa"/>
              <w:right w:w="108" w:type="dxa"/>
            </w:tcMar>
            <w:vAlign w:val="center"/>
          </w:tcPr>
          <w:p w14:paraId="5097B74C" w14:textId="13A31BF5" w:rsidR="003B04E1" w:rsidRPr="00DA3766" w:rsidRDefault="003B04E1"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23.74%</w:t>
            </w:r>
          </w:p>
        </w:tc>
        <w:tc>
          <w:tcPr>
            <w:tcW w:w="2052" w:type="dxa"/>
            <w:tcMar>
              <w:top w:w="0" w:type="dxa"/>
              <w:left w:w="108" w:type="dxa"/>
              <w:bottom w:w="0" w:type="dxa"/>
              <w:right w:w="108" w:type="dxa"/>
            </w:tcMar>
            <w:vAlign w:val="center"/>
          </w:tcPr>
          <w:p w14:paraId="675FC542" w14:textId="4F68D75A" w:rsidR="003B04E1" w:rsidRPr="00DA3766" w:rsidRDefault="003B04E1"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199.95%</w:t>
            </w:r>
          </w:p>
        </w:tc>
        <w:tc>
          <w:tcPr>
            <w:tcW w:w="2052" w:type="dxa"/>
            <w:tcMar>
              <w:top w:w="0" w:type="dxa"/>
              <w:left w:w="108" w:type="dxa"/>
              <w:bottom w:w="0" w:type="dxa"/>
              <w:right w:w="108" w:type="dxa"/>
            </w:tcMar>
            <w:vAlign w:val="center"/>
          </w:tcPr>
          <w:p w14:paraId="601F6F55" w14:textId="3DB08D77" w:rsidR="003B04E1" w:rsidRPr="00DA3766" w:rsidRDefault="00B9064B"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83"/>
    <w:p w14:paraId="7339EADC" w14:textId="64A60F80" w:rsidR="00F8272F" w:rsidRPr="00DA3766" w:rsidRDefault="00F8272F" w:rsidP="00B32770">
      <w:pPr>
        <w:pStyle w:val="003"/>
        <w:spacing w:before="120" w:after="120"/>
        <w:ind w:firstLine="482"/>
      </w:pPr>
      <w:r w:rsidRPr="00DA3766">
        <w:lastRenderedPageBreak/>
        <w:t>（六）标的资产原有管理层对标的资产财务及生产经营决策的实际影响</w:t>
      </w:r>
    </w:p>
    <w:p w14:paraId="07924B4D" w14:textId="413F82E8" w:rsidR="003B04E1" w:rsidRPr="00DA3766" w:rsidRDefault="00E449F0" w:rsidP="00C3042A">
      <w:pPr>
        <w:pStyle w:val="005"/>
        <w:spacing w:before="120" w:after="120"/>
        <w:ind w:firstLine="480"/>
      </w:pPr>
      <w:r w:rsidRPr="00DA3766">
        <w:t>标的资产原有管理层对标的资产财务及生产经营决策的实际影响见本题回复之</w:t>
      </w:r>
      <w:r w:rsidRPr="00DA3766">
        <w:rPr>
          <w:rFonts w:ascii="宋体" w:hAnsi="宋体"/>
        </w:rPr>
        <w:t>“</w:t>
      </w:r>
      <w:r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Pr="00DA3766">
        <w:t>5%</w:t>
      </w:r>
      <w:r w:rsidRPr="00DA3766">
        <w:t>的情形，认定本次发行股份及支付现金购买资产不构成关联交易是否准确</w:t>
      </w:r>
      <w:r w:rsidRPr="00DA3766">
        <w:rPr>
          <w:rFonts w:ascii="宋体" w:hAnsi="宋体"/>
        </w:rPr>
        <w:t>”</w:t>
      </w:r>
      <w:r w:rsidRPr="00DA3766">
        <w:t>之</w:t>
      </w:r>
      <w:r w:rsidRPr="00DA3766">
        <w:rPr>
          <w:rFonts w:ascii="宋体" w:hAnsi="宋体"/>
        </w:rPr>
        <w:t>“</w:t>
      </w:r>
      <w:r w:rsidRPr="00DA3766">
        <w:t>（三）标的资产的公司治理结构及财务经营事项决策机制</w:t>
      </w:r>
      <w:r w:rsidRPr="00DA3766">
        <w:rPr>
          <w:rFonts w:ascii="宋体" w:hAnsi="宋体"/>
        </w:rPr>
        <w:t>”</w:t>
      </w:r>
      <w:r w:rsidRPr="00DA3766">
        <w:t>。</w:t>
      </w:r>
    </w:p>
    <w:p w14:paraId="0CF62A01" w14:textId="79E33ED7" w:rsidR="00F8272F" w:rsidRPr="00DA3766" w:rsidRDefault="00F8272F" w:rsidP="00B32770">
      <w:pPr>
        <w:pStyle w:val="003"/>
        <w:spacing w:before="120" w:after="120"/>
        <w:ind w:firstLine="482"/>
      </w:pPr>
      <w:r w:rsidRPr="00DA3766">
        <w:t>（七）交易相关方之间是否存在对上市公司及标的资产控制权的相关安排</w:t>
      </w:r>
    </w:p>
    <w:p w14:paraId="26D9CDB1" w14:textId="77777777" w:rsidR="000119CC" w:rsidRPr="00DA3766" w:rsidRDefault="000119CC" w:rsidP="000119CC">
      <w:pPr>
        <w:pStyle w:val="004"/>
        <w:spacing w:before="120" w:after="120"/>
        <w:ind w:firstLine="482"/>
      </w:pPr>
      <w:r w:rsidRPr="00DA3766">
        <w:t>1</w:t>
      </w:r>
      <w:r w:rsidRPr="00DA3766">
        <w:t>、本次交易相关方签署的协议安排</w:t>
      </w:r>
    </w:p>
    <w:p w14:paraId="049C6E2B" w14:textId="7935CC8E" w:rsidR="00E449F0" w:rsidRPr="00DA3766" w:rsidRDefault="000119CC" w:rsidP="00C3042A">
      <w:pPr>
        <w:pStyle w:val="005"/>
        <w:spacing w:before="120" w:after="120"/>
        <w:ind w:firstLine="480"/>
      </w:pPr>
      <w:r w:rsidRPr="00DA3766">
        <w:t>根据交易相关方签署的《购买资产协议之补充协议》，在股权结构上，交易完成后，上市公司将持有标的公司</w:t>
      </w:r>
      <w:r w:rsidRPr="00DA3766">
        <w:t>98.5632%</w:t>
      </w:r>
      <w:r w:rsidRPr="00DA3766">
        <w:t>股权，标的公司将成为上市公司的控股子公司。在公司治理安排上，业绩承诺期届满且实际净利润的专项审核报告及目标公司减值测试报告或上述报告的复核意见出具前，标的公司董事会由</w:t>
      </w:r>
      <w:r w:rsidRPr="00DA3766">
        <w:t>3</w:t>
      </w:r>
      <w:r w:rsidRPr="00DA3766">
        <w:t>人组成，其中上市公司有权提名</w:t>
      </w:r>
      <w:r w:rsidRPr="00DA3766">
        <w:t>2</w:t>
      </w:r>
      <w:r w:rsidRPr="00DA3766">
        <w:t>名董事，董事长由上市公司指定的董事担任，且上市公司应当确保在此期间陈耿豪持续担任标的公司董事。标的公司监事会由</w:t>
      </w:r>
      <w:r w:rsidRPr="00DA3766">
        <w:t>3</w:t>
      </w:r>
      <w:r w:rsidRPr="00DA3766">
        <w:t>人组成，其中上市公司有权提名</w:t>
      </w:r>
      <w:r w:rsidRPr="00DA3766">
        <w:t>2</w:t>
      </w:r>
      <w:r w:rsidRPr="00DA3766">
        <w:t>名监事，监事会主席由上市公司提名的监事担任。交易对方及其关联方应就上述公司治理安排在标的公司股东会、董事会及监事会上投赞成票。</w:t>
      </w:r>
      <w:r w:rsidR="00E449F0" w:rsidRPr="00DA3766">
        <w:t>因此，本次交易完成后，上市公司将向标的公司委派多数董事以掌握标的公司</w:t>
      </w:r>
      <w:r w:rsidR="00EA0051" w:rsidRPr="00DA3766">
        <w:t>董事会关于重大事项</w:t>
      </w:r>
      <w:r w:rsidR="00E449F0" w:rsidRPr="00DA3766">
        <w:t>的决策权</w:t>
      </w:r>
      <w:r w:rsidR="00176D50" w:rsidRPr="00DA3766">
        <w:t>。</w:t>
      </w:r>
    </w:p>
    <w:p w14:paraId="601C0B37" w14:textId="7D0D5C57" w:rsidR="000119CC" w:rsidRPr="00DA3766" w:rsidRDefault="00E449F0" w:rsidP="003B04E1">
      <w:pPr>
        <w:pStyle w:val="005"/>
        <w:spacing w:before="120" w:after="120"/>
        <w:ind w:firstLine="480"/>
      </w:pPr>
      <w:r w:rsidRPr="00DA3766">
        <w:t>综上</w:t>
      </w:r>
      <w:r w:rsidR="000119CC" w:rsidRPr="00DA3766">
        <w:t>，从股权结构及公司治理安排方面，上市公司均能对标的公司实施控制，且交易各方均未在相关协议中约定交易对方在上市公司担任董事、高级管理人员等关键职位。</w:t>
      </w:r>
    </w:p>
    <w:p w14:paraId="57D92C4B" w14:textId="5EF0A4F8" w:rsidR="000119CC" w:rsidRPr="00DA3766" w:rsidRDefault="000119CC" w:rsidP="000119CC">
      <w:pPr>
        <w:pStyle w:val="004"/>
        <w:spacing w:before="120" w:after="120"/>
        <w:ind w:firstLine="482"/>
      </w:pPr>
      <w:r w:rsidRPr="00DA3766">
        <w:t>2</w:t>
      </w:r>
      <w:r w:rsidRPr="00DA3766">
        <w:t>、本次交易拟向上市公司实际控制人之一马学沛先生发行股份募集配套资金，以巩固上市公司控制权</w:t>
      </w:r>
    </w:p>
    <w:p w14:paraId="4D39017F" w14:textId="0FB61891" w:rsidR="000371EF" w:rsidRPr="00DA3766" w:rsidRDefault="000371EF" w:rsidP="003B04E1">
      <w:pPr>
        <w:pStyle w:val="005"/>
        <w:spacing w:before="120" w:after="120"/>
        <w:ind w:firstLine="480"/>
      </w:pPr>
      <w:r w:rsidRPr="00DA3766">
        <w:t>本次交易中，</w:t>
      </w:r>
      <w:r w:rsidR="000119CC" w:rsidRPr="00DA3766">
        <w:t>若不考虑募集配套资金</w:t>
      </w:r>
      <w:r w:rsidRPr="00DA3766">
        <w:t>，上市公司实际控制人</w:t>
      </w:r>
      <w:r w:rsidR="000119CC" w:rsidRPr="00DA3766">
        <w:t>林明玲、马学沛合计持有上市公司股权比例为</w:t>
      </w:r>
      <w:r w:rsidR="000119CC" w:rsidRPr="00DA3766">
        <w:t>26.24%</w:t>
      </w:r>
      <w:r w:rsidR="000119CC" w:rsidRPr="00DA3766">
        <w:t>。为巩固上市公司控制权，本次交易拟向实际控制人之一马学沛先生发行股份募集配套资金，总额不超过</w:t>
      </w:r>
      <w:r w:rsidR="000119CC" w:rsidRPr="00DA3766">
        <w:t>1.55</w:t>
      </w:r>
      <w:r w:rsidR="000119CC" w:rsidRPr="00DA3766">
        <w:t>亿元。募集配套资金实施后，林明玲、马学沛合计持有上市公司股权比例预计将达到</w:t>
      </w:r>
      <w:r w:rsidR="000119CC" w:rsidRPr="00DA3766">
        <w:lastRenderedPageBreak/>
        <w:t>29.98%</w:t>
      </w:r>
      <w:r w:rsidR="000119CC" w:rsidRPr="00DA3766">
        <w:t>。</w:t>
      </w:r>
    </w:p>
    <w:p w14:paraId="0FEEFE56" w14:textId="4D46AE34" w:rsidR="000119CC" w:rsidRPr="00DA3766" w:rsidRDefault="000119CC" w:rsidP="000119CC">
      <w:pPr>
        <w:pStyle w:val="004"/>
        <w:spacing w:before="120" w:after="120"/>
        <w:ind w:firstLine="482"/>
      </w:pPr>
      <w:r w:rsidRPr="00DA3766">
        <w:t>3</w:t>
      </w:r>
      <w:r w:rsidRPr="00DA3766">
        <w:t>、标的公司核心管理人员均出具《关于不谋求上市公司控制权的承诺函》</w:t>
      </w:r>
    </w:p>
    <w:p w14:paraId="69B34240" w14:textId="2F69FBD6" w:rsidR="003B04E1" w:rsidRPr="00DA3766" w:rsidRDefault="003B04E1" w:rsidP="003B04E1">
      <w:pPr>
        <w:pStyle w:val="005"/>
        <w:spacing w:before="120" w:after="120"/>
        <w:ind w:firstLine="480"/>
      </w:pPr>
      <w:r w:rsidRPr="00DA3766">
        <w:t>本次交易的自然人交易对方陈耿豪、杨凯然、张杰波、胡俊及王佳已出具《关于不谋求上市公司控制权的承诺函》，承诺内容如下：</w:t>
      </w:r>
    </w:p>
    <w:p w14:paraId="2BB3B15A" w14:textId="63F1DF2F" w:rsidR="003B04E1" w:rsidRPr="00DA3766" w:rsidRDefault="003B04E1" w:rsidP="003B04E1">
      <w:pPr>
        <w:pStyle w:val="005"/>
        <w:spacing w:before="120" w:after="120"/>
        <w:ind w:firstLine="480"/>
      </w:pPr>
      <w:r w:rsidRPr="00DA3766">
        <w:rPr>
          <w:rFonts w:ascii="宋体" w:hAnsi="宋体"/>
        </w:rPr>
        <w:t>“</w:t>
      </w:r>
      <w:r w:rsidRPr="00DA3766">
        <w:t>1</w:t>
      </w:r>
      <w:r w:rsidRPr="00DA3766">
        <w:t>、本承诺人通过本次交易成为上市公司股东后，将依法自主行使股东权利，不会通过一致行动、表决权委托等方式谋求上市公司的控制权。</w:t>
      </w:r>
    </w:p>
    <w:p w14:paraId="37A9C46E" w14:textId="68B6E0A1" w:rsidR="003B04E1" w:rsidRPr="00DA3766" w:rsidRDefault="003B04E1" w:rsidP="003B04E1">
      <w:pPr>
        <w:pStyle w:val="005"/>
        <w:spacing w:before="120" w:after="120"/>
        <w:ind w:firstLine="480"/>
      </w:pPr>
      <w:r w:rsidRPr="00DA3766">
        <w:t>2</w:t>
      </w:r>
      <w:r w:rsidRPr="00DA3766">
        <w:t>、上述承诺内容真实、准确、完整，不存在虚假记载、误导性陈述，不存在重大遗漏，本承诺人完全了解作出虚假声明承诺可能导致的后果，并愿承担因此产生的一切法律后果。</w:t>
      </w:r>
      <w:r w:rsidRPr="00DA3766">
        <w:rPr>
          <w:rFonts w:ascii="宋体" w:hAnsi="宋体"/>
        </w:rPr>
        <w:t>”</w:t>
      </w:r>
    </w:p>
    <w:p w14:paraId="1D24AEDF" w14:textId="30DCEC11" w:rsidR="00F8272F" w:rsidRPr="00DA3766" w:rsidRDefault="00F8272F" w:rsidP="00B32770">
      <w:pPr>
        <w:pStyle w:val="003"/>
        <w:spacing w:before="120" w:after="120"/>
        <w:ind w:firstLine="482"/>
      </w:pPr>
      <w:r w:rsidRPr="00DA3766">
        <w:t>（八）本次交易后不存在标的公司董事、高级管理人员或子公司相关人员具有上市公司控制权的情形，上市公司控制权未发生变更，本次交易不构成重组上市</w:t>
      </w:r>
    </w:p>
    <w:p w14:paraId="1432D4FD" w14:textId="47FFBE47" w:rsidR="003B04E1" w:rsidRPr="00DA3766" w:rsidRDefault="003B04E1" w:rsidP="00C3042A">
      <w:pPr>
        <w:pStyle w:val="005"/>
        <w:spacing w:before="120" w:after="120"/>
        <w:ind w:firstLine="480"/>
      </w:pPr>
      <w:bookmarkStart w:id="184" w:name="OLE_LINK46"/>
      <w:bookmarkStart w:id="185" w:name="OLE_LINK6"/>
      <w:r w:rsidRPr="00DA3766">
        <w:t>根据《重组管理办法》第十三条</w:t>
      </w:r>
      <w:bookmarkEnd w:id="184"/>
      <w:r w:rsidRPr="00DA3766">
        <w:t>规定</w:t>
      </w:r>
      <w:r w:rsidR="009E7C82" w:rsidRPr="00DA3766">
        <w:t>，</w:t>
      </w:r>
      <w:r w:rsidRPr="00DA3766">
        <w:t>上市公司自控制权发生变更之日起三十六个月内，向收购人及其关联人购买资产，导致上市公司发生以下根本变化情形之一的，构成重大资产重组，应当按照本办法的规定履行相关义务和程序</w:t>
      </w:r>
      <w:r w:rsidR="009E7C82" w:rsidRPr="00DA3766">
        <w:t>。</w:t>
      </w:r>
    </w:p>
    <w:p w14:paraId="6C4D049B" w14:textId="33A91657" w:rsidR="003B04E1" w:rsidRPr="00DA3766" w:rsidRDefault="009E7C82" w:rsidP="00C3042A">
      <w:pPr>
        <w:pStyle w:val="005"/>
        <w:spacing w:before="120" w:after="120"/>
        <w:ind w:firstLine="480"/>
      </w:pPr>
      <w:r w:rsidRPr="00DA3766">
        <w:t>如前所述，</w:t>
      </w:r>
      <w:r w:rsidR="003B04E1" w:rsidRPr="00DA3766">
        <w:t>本次交易前，公司的控股股东为林明玲，持股比例为</w:t>
      </w:r>
      <w:r w:rsidR="003B04E1" w:rsidRPr="00DA3766">
        <w:t>28.72%</w:t>
      </w:r>
      <w:r w:rsidR="003B04E1" w:rsidRPr="00DA3766">
        <w:t>；实际控制人为林明玲、马学沛，合计持有上市公司股权比例为</w:t>
      </w:r>
      <w:r w:rsidR="003B04E1" w:rsidRPr="00DA3766">
        <w:t>34.78%</w:t>
      </w:r>
      <w:r w:rsidR="003B04E1" w:rsidRPr="00DA3766">
        <w:t>。本次交易后，若不考虑募集配套资金，林明玲持股比例降至</w:t>
      </w:r>
      <w:r w:rsidR="003B04E1" w:rsidRPr="00DA3766">
        <w:t>21.67%</w:t>
      </w:r>
      <w:r w:rsidR="003B04E1" w:rsidRPr="00DA3766">
        <w:t>，仍为上市公司控股股东；林明玲、马学沛合计持有上市公司股权比例为</w:t>
      </w:r>
      <w:r w:rsidR="003B04E1" w:rsidRPr="00DA3766">
        <w:t>26.24%</w:t>
      </w:r>
      <w:r w:rsidR="003B04E1" w:rsidRPr="00DA3766">
        <w:t>，仍为上市公司实际控制人。本次交易后，若考虑募集配套资金，林明玲持股比例降至</w:t>
      </w:r>
      <w:r w:rsidR="003B04E1" w:rsidRPr="00DA3766">
        <w:t>20.57%</w:t>
      </w:r>
      <w:r w:rsidR="003B04E1" w:rsidRPr="00DA3766">
        <w:t>，仍为上市公司控股股东；林明玲、马学沛合计持有上市公司股权比例为</w:t>
      </w:r>
      <w:r w:rsidR="003B04E1" w:rsidRPr="00DA3766">
        <w:t>29.98%</w:t>
      </w:r>
      <w:r w:rsidR="003B04E1" w:rsidRPr="00DA3766">
        <w:t>，仍为上市公司实际控制人。因此，本次交易不会导致公司控制权变更。</w:t>
      </w:r>
    </w:p>
    <w:p w14:paraId="541AC654" w14:textId="469896C1" w:rsidR="003B04E1" w:rsidRPr="00DA3766" w:rsidRDefault="003B04E1" w:rsidP="00C3042A">
      <w:pPr>
        <w:pStyle w:val="005"/>
        <w:spacing w:before="120" w:after="120"/>
        <w:ind w:firstLine="480"/>
      </w:pPr>
      <w:r w:rsidRPr="00DA3766">
        <w:t>此外，本次交易完成后，交易对方持有上市公司股权比例</w:t>
      </w:r>
      <w:r w:rsidR="009E7C82" w:rsidRPr="00DA3766">
        <w:t>均</w:t>
      </w:r>
      <w:r w:rsidRPr="00DA3766">
        <w:t>未达到</w:t>
      </w:r>
      <w:r w:rsidRPr="00DA3766">
        <w:t>5%</w:t>
      </w:r>
      <w:r w:rsidRPr="00DA3766">
        <w:t>，且交易对方及其关联方或一致行动人未有计划在上市公司担任董事或高级管理人员职位，</w:t>
      </w:r>
      <w:r w:rsidR="000371EF" w:rsidRPr="00DA3766">
        <w:t>不存在交易完成后标的公司董事、高级管理人员或子公司相关人员具有上市公司控制权的情形，上市公司控制权未发生变更，本次交易不构成</w:t>
      </w:r>
      <w:r w:rsidR="009E7C82" w:rsidRPr="00DA3766">
        <w:t>《重组管理办法》第十三条规定的</w:t>
      </w:r>
      <w:r w:rsidR="000371EF" w:rsidRPr="00DA3766">
        <w:t>重组上市。</w:t>
      </w:r>
      <w:bookmarkEnd w:id="180"/>
    </w:p>
    <w:p w14:paraId="3878FB59" w14:textId="392FE200" w:rsidR="00E22816" w:rsidRPr="00DA3766" w:rsidRDefault="00E22816" w:rsidP="003B04E1">
      <w:pPr>
        <w:pStyle w:val="005"/>
        <w:spacing w:before="120" w:after="120"/>
        <w:ind w:firstLine="480"/>
      </w:pPr>
      <w:r w:rsidRPr="00DA3766">
        <w:lastRenderedPageBreak/>
        <w:t>上述内容已在</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三、本次交易的性质</w:t>
      </w:r>
      <w:r w:rsidRPr="00DA3766">
        <w:rPr>
          <w:rFonts w:ascii="宋体" w:hAnsi="宋体"/>
        </w:rPr>
        <w:t>”</w:t>
      </w:r>
      <w:r w:rsidRPr="00DA3766">
        <w:t>之</w:t>
      </w:r>
      <w:r w:rsidRPr="00DA3766">
        <w:rPr>
          <w:rFonts w:ascii="宋体" w:hAnsi="宋体"/>
        </w:rPr>
        <w:t>“</w:t>
      </w:r>
      <w:r w:rsidRPr="00DA3766">
        <w:t>（三）本次交易不构成重组上市</w:t>
      </w:r>
      <w:r w:rsidRPr="00DA3766">
        <w:rPr>
          <w:rFonts w:ascii="宋体" w:hAnsi="宋体"/>
        </w:rPr>
        <w:t>”</w:t>
      </w:r>
      <w:r w:rsidRPr="00DA3766">
        <w:t>补充披露。</w:t>
      </w:r>
    </w:p>
    <w:p w14:paraId="7B65BFA3" w14:textId="77777777" w:rsidR="00E76498" w:rsidRDefault="00E76498" w:rsidP="00E76498">
      <w:pPr>
        <w:pStyle w:val="002"/>
        <w:spacing w:before="120" w:after="120"/>
        <w:ind w:firstLine="482"/>
      </w:pPr>
      <w:bookmarkStart w:id="186" w:name="_Toc220344122"/>
      <w:bookmarkEnd w:id="185"/>
      <w:r w:rsidRPr="00DA3766">
        <w:t>十一、</w:t>
      </w:r>
      <w:r>
        <w:rPr>
          <w:rFonts w:hint="eastAsia"/>
        </w:rPr>
        <w:t>中介机构</w:t>
      </w:r>
      <w:r w:rsidRPr="001006E9">
        <w:t>核查过程及核查意见</w:t>
      </w:r>
    </w:p>
    <w:p w14:paraId="0975C794"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067639E2"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009740AA" w14:textId="77777777" w:rsidR="00E76498" w:rsidRPr="00DA3766" w:rsidRDefault="00E76498" w:rsidP="00E76498">
      <w:pPr>
        <w:pStyle w:val="005"/>
        <w:spacing w:before="120" w:after="120"/>
        <w:ind w:firstLine="480"/>
      </w:pPr>
      <w:r w:rsidRPr="00DA3766">
        <w:t>针对前述事项，独立财务顾问主要实施了以下核查程序：</w:t>
      </w:r>
    </w:p>
    <w:p w14:paraId="459857A7"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查阅星云开物历次股东大会决议、工商底档；查阅乐陶陶、乐熙熙、乐腾腾、乐哈哈、乐摇、乐腾腾的合伙协议、工商底档及历次股权变动涉及的股权转让协议或增资协议；</w:t>
      </w:r>
      <w:r w:rsidRPr="00DA3766">
        <w:t xml:space="preserve"> </w:t>
      </w:r>
    </w:p>
    <w:p w14:paraId="00678DB8"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获取标的公司重点</w:t>
      </w:r>
      <w:r w:rsidRPr="00DA3766">
        <w:rPr>
          <w:rFonts w:ascii="宋体" w:hAnsi="宋体"/>
        </w:rPr>
        <w:t>“</w:t>
      </w:r>
      <w:r w:rsidRPr="00DA3766">
        <w:t>小巨人</w:t>
      </w:r>
      <w:r w:rsidRPr="00DA3766">
        <w:rPr>
          <w:rFonts w:ascii="宋体" w:hAnsi="宋体"/>
        </w:rPr>
        <w:t>”</w:t>
      </w:r>
      <w:r w:rsidRPr="00DA3766">
        <w:t>企业相关的政府补助文件，查阅政府补助文件名称、文号、主要条款、金额等内容，并查阅已收到的第一笔奖补资金的银行回单；</w:t>
      </w:r>
    </w:p>
    <w:p w14:paraId="1FB487F0"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根据公司享有的政府补助文件及税收优惠政策，对其可持续性进行分析；查阅金证评估出具的《评估报告》及上市公司与业绩承诺方签署的《业绩承诺补偿协议书》，分析评估预测的净利润与业绩承诺净利润的差异及合理性；</w:t>
      </w:r>
    </w:p>
    <w:p w14:paraId="6BCFCF96"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查阅上市公司与相关方签署的《购买资产协议之补充协议》《业绩承诺补偿协议书》等交易文件，测算最高业绩补偿额占本次交易对价的比例情况；</w:t>
      </w:r>
    </w:p>
    <w:p w14:paraId="1E5BAE12"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查阅《上市公司重大资产重组管理办法》《监管规则适用指引</w:t>
      </w:r>
      <w:r w:rsidRPr="00DA3766">
        <w:t>——</w:t>
      </w:r>
      <w:r w:rsidRPr="00DA3766">
        <w:t>上市类第</w:t>
      </w:r>
      <w:r w:rsidRPr="00DA3766">
        <w:t>1</w:t>
      </w:r>
      <w:r w:rsidRPr="00DA3766">
        <w:t>号》《上市公司证券发行注册管理办法》《公司法》《上市公司执行企业会计准则案例解析》《企业会计准则第</w:t>
      </w:r>
      <w:r w:rsidRPr="00DA3766">
        <w:t xml:space="preserve"> 9 </w:t>
      </w:r>
      <w:r w:rsidRPr="00DA3766">
        <w:t>号</w:t>
      </w:r>
      <w:r w:rsidRPr="00DA3766">
        <w:t>——</w:t>
      </w:r>
      <w:r w:rsidRPr="00DA3766">
        <w:t>职工薪酬》等法律法规；查询已获中国证监会同意注册的上市公司重大资产重组的相关案例；</w:t>
      </w:r>
    </w:p>
    <w:p w14:paraId="3E31B6B1"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查阅标的公司实际控制人陈耿豪出具的《关于业绩奖励对象范围的承诺函》；</w:t>
      </w:r>
    </w:p>
    <w:p w14:paraId="143A6917"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查阅交易对方的工商底档，获取交易对方的《股东情况调查表》，查阅交易对方出具的承诺函，分析交易对方之间是否存在关联关系或一致行动关系；</w:t>
      </w:r>
    </w:p>
    <w:p w14:paraId="1FDE4118"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查阅标的公司的《广东星云开物科技股份有限公司章程》、《董事会议事规则》及《股东大会议事规则》；</w:t>
      </w:r>
    </w:p>
    <w:p w14:paraId="2C73EFDD" w14:textId="77777777" w:rsidR="00E76498" w:rsidRPr="00DA3766" w:rsidRDefault="00E76498" w:rsidP="00E76498">
      <w:pPr>
        <w:pStyle w:val="005"/>
        <w:spacing w:before="120" w:after="120"/>
        <w:ind w:firstLine="480"/>
      </w:pPr>
      <w:r>
        <w:rPr>
          <w:rFonts w:hint="eastAsia"/>
        </w:rPr>
        <w:lastRenderedPageBreak/>
        <w:t>（</w:t>
      </w:r>
      <w:r>
        <w:rPr>
          <w:rFonts w:hint="eastAsia"/>
        </w:rPr>
        <w:t>9</w:t>
      </w:r>
      <w:r>
        <w:rPr>
          <w:rFonts w:hint="eastAsia"/>
        </w:rPr>
        <w:t>）</w:t>
      </w:r>
      <w:r w:rsidRPr="00DA3766">
        <w:t>测算交易完成后交易对方及其关联方或一致行动人持有上市公司股份的情况；</w:t>
      </w:r>
    </w:p>
    <w:p w14:paraId="76C5C953"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w:t>
      </w:r>
      <w:r w:rsidRPr="00DA3766">
        <w:t>查阅上市公司年度报告、募集资金使用报告以及会计师出具的备考审阅报告，取得上市公司就本次并购贷款与银行达成的借款意向文件，了解上市公司本次交易资金安排的合理性；</w:t>
      </w:r>
    </w:p>
    <w:p w14:paraId="1CC95F67" w14:textId="77777777" w:rsidR="00E76498" w:rsidRPr="00DA3766" w:rsidRDefault="00E76498" w:rsidP="00E76498">
      <w:pPr>
        <w:pStyle w:val="005"/>
        <w:spacing w:before="120" w:after="120"/>
        <w:ind w:firstLine="480"/>
      </w:pPr>
      <w:r>
        <w:rPr>
          <w:rFonts w:hint="eastAsia"/>
        </w:rPr>
        <w:t>（</w:t>
      </w:r>
      <w:r>
        <w:rPr>
          <w:rFonts w:hint="eastAsia"/>
        </w:rPr>
        <w:t>11</w:t>
      </w:r>
      <w:r>
        <w:rPr>
          <w:rFonts w:hint="eastAsia"/>
        </w:rPr>
        <w:t>）</w:t>
      </w:r>
      <w:r w:rsidRPr="00DA3766">
        <w:t>查阅上市公司的公司章程，了解上市公司现行公司治理结构、章程相关规定及财务经营事项决策机制；</w:t>
      </w:r>
    </w:p>
    <w:p w14:paraId="745DBBC5" w14:textId="77777777" w:rsidR="00E76498" w:rsidRPr="00DA3766" w:rsidRDefault="00E76498" w:rsidP="00E76498">
      <w:pPr>
        <w:pStyle w:val="005"/>
        <w:spacing w:before="120" w:after="120"/>
        <w:ind w:firstLine="480"/>
      </w:pPr>
      <w:r>
        <w:rPr>
          <w:rFonts w:hint="eastAsia"/>
        </w:rPr>
        <w:t>（</w:t>
      </w:r>
      <w:r>
        <w:rPr>
          <w:rFonts w:hint="eastAsia"/>
        </w:rPr>
        <w:t>12</w:t>
      </w:r>
      <w:r>
        <w:rPr>
          <w:rFonts w:hint="eastAsia"/>
        </w:rPr>
        <w:t>）</w:t>
      </w:r>
      <w:r w:rsidRPr="00DA3766">
        <w:t>查阅上市公司与相关方签署的《购买资产协议之补充协议》《业绩承诺补偿协议书》等交易文件，了解本次交易完成后上市公司公司治理安排及财务经营事项决策机制的情况；</w:t>
      </w:r>
    </w:p>
    <w:p w14:paraId="4AF96E1A" w14:textId="77777777" w:rsidR="00E76498" w:rsidRPr="00DA3766" w:rsidRDefault="00E76498" w:rsidP="00E76498">
      <w:pPr>
        <w:pStyle w:val="005"/>
        <w:spacing w:before="120" w:after="120"/>
        <w:ind w:firstLine="480"/>
      </w:pPr>
      <w:r>
        <w:rPr>
          <w:rFonts w:hint="eastAsia"/>
        </w:rPr>
        <w:t>（</w:t>
      </w:r>
      <w:r>
        <w:rPr>
          <w:rFonts w:hint="eastAsia"/>
        </w:rPr>
        <w:t>13</w:t>
      </w:r>
      <w:r>
        <w:rPr>
          <w:rFonts w:hint="eastAsia"/>
        </w:rPr>
        <w:t>）</w:t>
      </w:r>
      <w:r w:rsidRPr="00DA3766">
        <w:t>查阅上市公司公开披露的定期报告，测算标的资产的资产、收入及利润占上市公司的比重；</w:t>
      </w:r>
    </w:p>
    <w:p w14:paraId="5E01A6E6" w14:textId="77777777" w:rsidR="00E76498" w:rsidRPr="00DA3766" w:rsidRDefault="00E76498" w:rsidP="00E76498">
      <w:pPr>
        <w:pStyle w:val="005"/>
        <w:spacing w:before="120" w:after="120"/>
        <w:ind w:firstLine="480"/>
      </w:pPr>
      <w:r>
        <w:rPr>
          <w:rFonts w:hint="eastAsia"/>
        </w:rPr>
        <w:t>（</w:t>
      </w:r>
      <w:r>
        <w:rPr>
          <w:rFonts w:hint="eastAsia"/>
        </w:rPr>
        <w:t>14</w:t>
      </w:r>
      <w:r>
        <w:rPr>
          <w:rFonts w:hint="eastAsia"/>
        </w:rPr>
        <w:t>）</w:t>
      </w:r>
      <w:r w:rsidRPr="00DA3766">
        <w:t>查阅标的公司核心管理人员出具的《关于不谋求上市公司控制权的承诺函》；</w:t>
      </w:r>
    </w:p>
    <w:p w14:paraId="006C9C07" w14:textId="77777777" w:rsidR="00E76498" w:rsidRPr="00DA3766" w:rsidRDefault="00E76498" w:rsidP="00E76498">
      <w:pPr>
        <w:pStyle w:val="005"/>
        <w:spacing w:before="120" w:after="120"/>
        <w:ind w:firstLine="480"/>
      </w:pPr>
      <w:r>
        <w:rPr>
          <w:rFonts w:hint="eastAsia"/>
        </w:rPr>
        <w:t>（</w:t>
      </w:r>
      <w:r>
        <w:rPr>
          <w:rFonts w:hint="eastAsia"/>
        </w:rPr>
        <w:t>15</w:t>
      </w:r>
      <w:r>
        <w:rPr>
          <w:rFonts w:hint="eastAsia"/>
        </w:rPr>
        <w:t>）</w:t>
      </w:r>
      <w:r w:rsidRPr="00DA3766">
        <w:t>测算本次交易完成后上市公司实际控制人持股比例的变动情况。</w:t>
      </w:r>
    </w:p>
    <w:p w14:paraId="61AA5D2E"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5FC5A718" w14:textId="77777777" w:rsidR="00E76498" w:rsidRPr="00DA3766" w:rsidRDefault="00E76498" w:rsidP="00E76498">
      <w:pPr>
        <w:pStyle w:val="005"/>
        <w:spacing w:before="120" w:after="120"/>
        <w:ind w:firstLine="480"/>
      </w:pPr>
      <w:r w:rsidRPr="00DA3766">
        <w:t>经核查，独立财务顾问认为：</w:t>
      </w:r>
    </w:p>
    <w:p w14:paraId="3CA832EA"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乐陶陶合伙人既包括外部投资者（含离职员工徐德强及陈岳政），亦包括标的公司现任核心人员，财产份额以外部投资人持有为主；乐陶陶未按</w:t>
      </w:r>
      <w:r w:rsidRPr="00DA3766">
        <w:t>16.95</w:t>
      </w:r>
      <w:r w:rsidRPr="00DA3766">
        <w:t>亿元估值确定交易作价且同步作出业绩承诺的安排，具备商业合理性；乐陶陶同其余交易对方之间不存在相关利益安排。</w:t>
      </w:r>
    </w:p>
    <w:p w14:paraId="1BB603C4"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业绩承诺中包含的政府补助仅为依据中央财政支持新一轮第一批重点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企业奖补资金安排计划未来取得的政府补助；本次交易中关于承诺净利润的设计符合法律法规的相关规定；标的公司业绩承诺包含的政府补助仅包含重点小巨人的第二笔奖补资金</w:t>
      </w:r>
      <w:r w:rsidRPr="00DA3766">
        <w:t>285</w:t>
      </w:r>
      <w:r w:rsidRPr="00DA3766">
        <w:t>万元，不具备持续性且具有不确定性，发放与否将取决于相关政府部门对标的公司考核期内的绩效评价情况，若最终考核通过，预计发放时间为</w:t>
      </w:r>
      <w:r w:rsidRPr="00DA3766">
        <w:t>2027</w:t>
      </w:r>
      <w:r w:rsidRPr="00DA3766">
        <w:t>年或</w:t>
      </w:r>
      <w:r w:rsidRPr="00DA3766">
        <w:t>2028</w:t>
      </w:r>
      <w:r w:rsidRPr="00DA3766">
        <w:t>年。业绩承诺期内及期满后应纳入承诺净利润的</w:t>
      </w:r>
      <w:r w:rsidRPr="00DA3766">
        <w:lastRenderedPageBreak/>
        <w:t>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rsidRPr="00DA3766">
        <w:t>2025</w:t>
      </w:r>
      <w:r w:rsidRPr="00DA3766">
        <w:t>年上半年已实际发生入表的政府补助金额，对于</w:t>
      </w:r>
      <w:r w:rsidRPr="00DA3766">
        <w:t>2025</w:t>
      </w:r>
      <w:r w:rsidRPr="00DA3766">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30BB37FE"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本次交易对业绩补偿、资产减值补偿的补偿上限合计为</w:t>
      </w:r>
      <w:r w:rsidRPr="00DA3766">
        <w:t>48,521.91</w:t>
      </w:r>
      <w:r w:rsidRPr="00DA3766">
        <w:t>万元，对于交易总对价</w:t>
      </w:r>
      <w:r w:rsidRPr="00DA3766">
        <w:t>118,850.53</w:t>
      </w:r>
      <w:r w:rsidRPr="00DA3766">
        <w:t>万元的业绩补偿覆盖率为</w:t>
      </w:r>
      <w:r w:rsidRPr="00DA3766">
        <w:t>40.83%</w:t>
      </w:r>
      <w:r w:rsidRPr="00DA3766">
        <w:t>。</w:t>
      </w:r>
    </w:p>
    <w:p w14:paraId="195FD12F"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业绩补偿期与过渡期存在重合的具体扣减安排、业绩承诺期及过渡期损益的具体安排符合《监管规则适用指引</w:t>
      </w:r>
      <w:r w:rsidRPr="00DA3766">
        <w:t>——</w:t>
      </w:r>
      <w:r w:rsidRPr="00DA3766">
        <w:t>上市类第</w:t>
      </w:r>
      <w:r w:rsidRPr="00DA3766">
        <w:t>1</w:t>
      </w:r>
      <w:r w:rsidRPr="00DA3766">
        <w:t>号》的规定。</w:t>
      </w:r>
    </w:p>
    <w:p w14:paraId="0BE8BD9C"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w:t>
      </w:r>
      <w:r w:rsidRPr="00DA3766">
        <w:t>——</w:t>
      </w:r>
      <w:r w:rsidRPr="00DA3766">
        <w:t>上市类第</w:t>
      </w:r>
      <w:r w:rsidRPr="00DA3766">
        <w:t>1</w:t>
      </w:r>
      <w:r w:rsidRPr="00DA3766">
        <w:t>号》的规定。</w:t>
      </w:r>
    </w:p>
    <w:p w14:paraId="7ABED2B9"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w:t>
      </w:r>
      <w:r>
        <w:rPr>
          <w:rFonts w:hint="eastAsia"/>
        </w:rPr>
        <w:t>较小，不会对本次交易或估值造成重大不利影</w:t>
      </w:r>
      <w:r>
        <w:rPr>
          <w:rFonts w:hint="eastAsia"/>
        </w:rPr>
        <w:lastRenderedPageBreak/>
        <w:t>响</w:t>
      </w:r>
      <w:r w:rsidRPr="00DA3766">
        <w:t>。</w:t>
      </w:r>
    </w:p>
    <w:p w14:paraId="05A7073C"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本次交易完成后，若不考虑募集配套资金，不存在交易对方及其关联方或一致行动人合计持有上市公司股份超过</w:t>
      </w:r>
      <w:r w:rsidRPr="00DA3766">
        <w:t>5%</w:t>
      </w:r>
      <w:r w:rsidRPr="00DA3766">
        <w:t>的情形，本次发行股份及支付现金购买资产不构成关联交易。</w:t>
      </w:r>
    </w:p>
    <w:p w14:paraId="73CD3E5E"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本次交易发行股份购买资产的发行价格及募集配套资金发行价格的确定参考《上市公司重大资产重组管理办法》及《上市公司证券发行注册管理办法》等相关规定，并结合相关市场案例与交易各方实际情况，经各方友好协商确定，发行股份购买资产和募集配套资金选取不同发行价格符合相关法律法规规定，具有合理性。</w:t>
      </w:r>
    </w:p>
    <w:p w14:paraId="23DE977C"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上市公司对本次交易现金对价的具体筹措安排具备可行性，相关安排对上市公司偿债能力和生产经营是无重大不利影响，不会导致上市公司产生重大债务风险；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本次交易有利于提高上市公司的资产质量、不会导致财务状况发生重大不利变化，符合《重组办法》第四十四条的规定。</w:t>
      </w:r>
    </w:p>
    <w:p w14:paraId="2D6622ED"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w:t>
      </w:r>
      <w:r w:rsidRPr="00DA3766">
        <w:t>本次交易后不会存在董事、高级管理人员或子公司相关人员具有上市公司控制权的情形，上市公司控制权未发生变更，本次交易不构成重组上市。</w:t>
      </w:r>
    </w:p>
    <w:p w14:paraId="42569E63" w14:textId="77777777" w:rsidR="00E76498" w:rsidRPr="00DA3766" w:rsidRDefault="00E76498" w:rsidP="00E76498">
      <w:pPr>
        <w:pStyle w:val="003"/>
        <w:spacing w:before="120" w:after="120"/>
        <w:ind w:firstLine="482"/>
      </w:pPr>
      <w:r>
        <w:rPr>
          <w:rFonts w:hint="eastAsia"/>
        </w:rPr>
        <w:t>（二）律师</w:t>
      </w:r>
      <w:r w:rsidRPr="00DA3766">
        <w:t>核查过程及核查意见</w:t>
      </w:r>
    </w:p>
    <w:p w14:paraId="10070FF6"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79FC1B98" w14:textId="77777777" w:rsidR="00E76498" w:rsidRDefault="00E76498" w:rsidP="00E76498">
      <w:pPr>
        <w:pStyle w:val="005"/>
        <w:spacing w:before="120" w:after="120"/>
        <w:ind w:firstLine="480"/>
      </w:pPr>
      <w:r>
        <w:rPr>
          <w:rFonts w:hint="eastAsia"/>
        </w:rPr>
        <w:t>针对前述事项，律师主要实施了以下核查程序：</w:t>
      </w:r>
    </w:p>
    <w:p w14:paraId="57BB7E25" w14:textId="77777777" w:rsidR="00E76498" w:rsidRDefault="00E76498" w:rsidP="00E76498">
      <w:pPr>
        <w:pStyle w:val="005"/>
        <w:spacing w:before="120" w:after="120"/>
        <w:ind w:firstLine="480"/>
      </w:pPr>
      <w:r>
        <w:rPr>
          <w:rFonts w:hint="eastAsia"/>
        </w:rPr>
        <w:t>（</w:t>
      </w:r>
      <w:r>
        <w:rPr>
          <w:rFonts w:hint="eastAsia"/>
        </w:rPr>
        <w:t>1</w:t>
      </w:r>
      <w:r>
        <w:rPr>
          <w:rFonts w:hint="eastAsia"/>
        </w:rPr>
        <w:t>）查阅星云开物历次股东大会决议、工商底档；查阅乐陶陶、乐熙熙、乐腾腾、乐哈哈、乐摇、乐腾腾的合伙协议、工商底档及历次股权变动涉及的股权转让协议或增资协议；</w:t>
      </w:r>
      <w:r>
        <w:rPr>
          <w:rFonts w:hint="eastAsia"/>
        </w:rPr>
        <w:t xml:space="preserve"> </w:t>
      </w:r>
    </w:p>
    <w:p w14:paraId="4EE328E2" w14:textId="77777777" w:rsidR="00E76498" w:rsidRDefault="00E76498" w:rsidP="00E76498">
      <w:pPr>
        <w:pStyle w:val="005"/>
        <w:spacing w:before="120" w:after="120"/>
        <w:ind w:firstLine="480"/>
      </w:pPr>
      <w:r>
        <w:rPr>
          <w:rFonts w:hint="eastAsia"/>
        </w:rPr>
        <w:t>（</w:t>
      </w:r>
      <w:r>
        <w:rPr>
          <w:rFonts w:hint="eastAsia"/>
        </w:rPr>
        <w:t>2</w:t>
      </w:r>
      <w:r>
        <w:rPr>
          <w:rFonts w:hint="eastAsia"/>
        </w:rPr>
        <w:t>）获取标的公司重点“小巨人”企业相关的政府补助文件，查阅政府补助文件名称、文号、主要条款、金额等内容，并查阅已收到的第一笔奖补资金的银行回单；</w:t>
      </w:r>
    </w:p>
    <w:p w14:paraId="7BA43EF7" w14:textId="77777777" w:rsidR="00E76498" w:rsidRDefault="00E76498" w:rsidP="00E76498">
      <w:pPr>
        <w:pStyle w:val="005"/>
        <w:spacing w:before="120" w:after="120"/>
        <w:ind w:firstLine="480"/>
      </w:pPr>
      <w:r>
        <w:rPr>
          <w:rFonts w:hint="eastAsia"/>
        </w:rPr>
        <w:lastRenderedPageBreak/>
        <w:t>（</w:t>
      </w:r>
      <w:r>
        <w:rPr>
          <w:rFonts w:hint="eastAsia"/>
        </w:rPr>
        <w:t>3</w:t>
      </w:r>
      <w:r>
        <w:rPr>
          <w:rFonts w:hint="eastAsia"/>
        </w:rPr>
        <w:t>）根据公司享有的政府补助文件及税收优惠政策，对其可持续性进行分析；查阅金证评估出具的《评估报告》及上市公司与业绩承诺方签署的《业绩承诺补偿协议书》，分析评估预测的净利润与业绩承诺净利润的差异及合理性；</w:t>
      </w:r>
    </w:p>
    <w:p w14:paraId="671073E7" w14:textId="77777777" w:rsidR="00E76498" w:rsidRDefault="00E76498" w:rsidP="00E76498">
      <w:pPr>
        <w:pStyle w:val="005"/>
        <w:spacing w:before="120" w:after="120"/>
        <w:ind w:firstLine="480"/>
      </w:pPr>
      <w:r>
        <w:rPr>
          <w:rFonts w:hint="eastAsia"/>
        </w:rPr>
        <w:t>（</w:t>
      </w:r>
      <w:r>
        <w:rPr>
          <w:rFonts w:hint="eastAsia"/>
        </w:rPr>
        <w:t>4</w:t>
      </w:r>
      <w:r>
        <w:rPr>
          <w:rFonts w:hint="eastAsia"/>
        </w:rPr>
        <w:t>）查阅上市公司与相关方签署的《购买资产协议之补充协议》《业绩承诺补偿协议书》等交易文件，测算最高业绩补偿额占本次交易对价的比例情况；</w:t>
      </w:r>
    </w:p>
    <w:p w14:paraId="7D3B4D97" w14:textId="77777777" w:rsidR="00E76498" w:rsidRDefault="00E76498" w:rsidP="00E76498">
      <w:pPr>
        <w:pStyle w:val="005"/>
        <w:spacing w:before="120" w:after="120"/>
        <w:ind w:firstLine="480"/>
      </w:pPr>
      <w:r>
        <w:rPr>
          <w:rFonts w:hint="eastAsia"/>
        </w:rPr>
        <w:t>（</w:t>
      </w:r>
      <w:r>
        <w:rPr>
          <w:rFonts w:hint="eastAsia"/>
        </w:rPr>
        <w:t>5</w:t>
      </w:r>
      <w:r>
        <w:rPr>
          <w:rFonts w:hint="eastAsia"/>
        </w:rPr>
        <w:t>）查阅《上市公司重大资产重组管理办法》《监管规则适用指引——上市类第</w:t>
      </w:r>
      <w:r>
        <w:rPr>
          <w:rFonts w:hint="eastAsia"/>
        </w:rPr>
        <w:t>1</w:t>
      </w:r>
      <w:r>
        <w:rPr>
          <w:rFonts w:hint="eastAsia"/>
        </w:rPr>
        <w:t>号》《上市公司证券发行注册管理办法》《公司法》《上市公司执行企业会计准则案例解析》《企业会计准则第</w:t>
      </w:r>
      <w:r>
        <w:rPr>
          <w:rFonts w:hint="eastAsia"/>
        </w:rPr>
        <w:t xml:space="preserve"> 9 </w:t>
      </w:r>
      <w:r>
        <w:rPr>
          <w:rFonts w:hint="eastAsia"/>
        </w:rPr>
        <w:t>号——职工薪酬》等法律法规；查询已获中国证监会同意注册的上市公司重大资产重组的相关案例；</w:t>
      </w:r>
    </w:p>
    <w:p w14:paraId="671C908A" w14:textId="77777777" w:rsidR="00E76498" w:rsidRDefault="00E76498" w:rsidP="00E76498">
      <w:pPr>
        <w:pStyle w:val="005"/>
        <w:spacing w:before="120" w:after="120"/>
        <w:ind w:firstLine="480"/>
      </w:pPr>
      <w:r>
        <w:rPr>
          <w:rFonts w:hint="eastAsia"/>
        </w:rPr>
        <w:t>（</w:t>
      </w:r>
      <w:r>
        <w:rPr>
          <w:rFonts w:hint="eastAsia"/>
        </w:rPr>
        <w:t>6</w:t>
      </w:r>
      <w:r>
        <w:rPr>
          <w:rFonts w:hint="eastAsia"/>
        </w:rPr>
        <w:t>）查阅标的公司实际控制人陈耿豪出具的《关于业绩奖励对象范围的承诺函》；</w:t>
      </w:r>
    </w:p>
    <w:p w14:paraId="4DE1F38B" w14:textId="77777777" w:rsidR="00E76498" w:rsidRDefault="00E76498" w:rsidP="00E76498">
      <w:pPr>
        <w:pStyle w:val="005"/>
        <w:spacing w:before="120" w:after="120"/>
        <w:ind w:firstLine="480"/>
      </w:pPr>
      <w:r>
        <w:rPr>
          <w:rFonts w:hint="eastAsia"/>
        </w:rPr>
        <w:t>（</w:t>
      </w:r>
      <w:r>
        <w:rPr>
          <w:rFonts w:hint="eastAsia"/>
        </w:rPr>
        <w:t>7</w:t>
      </w:r>
      <w:r>
        <w:rPr>
          <w:rFonts w:hint="eastAsia"/>
        </w:rPr>
        <w:t>）查阅交易对方的工商底档，获取交易对方的《股东情况调查表》，查阅交易对方出具的承诺函，分析交易对方之间是否存在关联关系或一致行动关系；</w:t>
      </w:r>
    </w:p>
    <w:p w14:paraId="70490D89" w14:textId="77777777" w:rsidR="00E76498" w:rsidRDefault="00E76498" w:rsidP="00E76498">
      <w:pPr>
        <w:pStyle w:val="005"/>
        <w:spacing w:before="120" w:after="120"/>
        <w:ind w:firstLine="480"/>
      </w:pPr>
      <w:r>
        <w:rPr>
          <w:rFonts w:hint="eastAsia"/>
        </w:rPr>
        <w:t>（</w:t>
      </w:r>
      <w:r>
        <w:rPr>
          <w:rFonts w:hint="eastAsia"/>
        </w:rPr>
        <w:t>8</w:t>
      </w:r>
      <w:r>
        <w:rPr>
          <w:rFonts w:hint="eastAsia"/>
        </w:rPr>
        <w:t>）查阅标的公司的《广东星云开物科技股份有限公司章程》《董事会议事规则》及《股东大会议事规则》；</w:t>
      </w:r>
    </w:p>
    <w:p w14:paraId="3D992C24" w14:textId="77777777" w:rsidR="00E76498" w:rsidRDefault="00E76498" w:rsidP="00E76498">
      <w:pPr>
        <w:pStyle w:val="005"/>
        <w:spacing w:before="120" w:after="120"/>
        <w:ind w:firstLine="480"/>
      </w:pPr>
      <w:r>
        <w:rPr>
          <w:rFonts w:hint="eastAsia"/>
        </w:rPr>
        <w:t>（</w:t>
      </w:r>
      <w:r>
        <w:rPr>
          <w:rFonts w:hint="eastAsia"/>
        </w:rPr>
        <w:t>9</w:t>
      </w:r>
      <w:r>
        <w:rPr>
          <w:rFonts w:hint="eastAsia"/>
        </w:rPr>
        <w:t>）测算交易完成后交易对方及其关联方或一致行动人持有上市公司股份的情况；</w:t>
      </w:r>
    </w:p>
    <w:p w14:paraId="383F4628" w14:textId="77777777" w:rsidR="00E76498" w:rsidRDefault="00E76498" w:rsidP="00E76498">
      <w:pPr>
        <w:pStyle w:val="005"/>
        <w:spacing w:before="120" w:after="120"/>
        <w:ind w:firstLine="480"/>
      </w:pPr>
      <w:r>
        <w:rPr>
          <w:rFonts w:hint="eastAsia"/>
        </w:rPr>
        <w:t>（</w:t>
      </w:r>
      <w:r>
        <w:rPr>
          <w:rFonts w:hint="eastAsia"/>
        </w:rPr>
        <w:t>10</w:t>
      </w:r>
      <w:r>
        <w:rPr>
          <w:rFonts w:hint="eastAsia"/>
        </w:rPr>
        <w:t>）查阅上市公司年度报告、募集资金使用报告以及会计师出具的备考审阅报告，取得上市公司就本次并购贷款与银行达成的借款意向文件，了解上市公司本次交易资金安排的合理性；</w:t>
      </w:r>
    </w:p>
    <w:p w14:paraId="6E7347A4" w14:textId="77777777" w:rsidR="00E76498" w:rsidRDefault="00E76498" w:rsidP="00E76498">
      <w:pPr>
        <w:pStyle w:val="005"/>
        <w:spacing w:before="120" w:after="120"/>
        <w:ind w:firstLine="480"/>
      </w:pPr>
      <w:r>
        <w:rPr>
          <w:rFonts w:hint="eastAsia"/>
        </w:rPr>
        <w:t>（</w:t>
      </w:r>
      <w:r>
        <w:rPr>
          <w:rFonts w:hint="eastAsia"/>
        </w:rPr>
        <w:t>11</w:t>
      </w:r>
      <w:r>
        <w:rPr>
          <w:rFonts w:hint="eastAsia"/>
        </w:rPr>
        <w:t>）查阅上市公司的公司章程，了解上市公司现行公司治理结构、章程相关规定及财务经营事项决策机制；</w:t>
      </w:r>
    </w:p>
    <w:p w14:paraId="579059FC" w14:textId="77777777" w:rsidR="00E76498" w:rsidRDefault="00E76498" w:rsidP="00E76498">
      <w:pPr>
        <w:pStyle w:val="005"/>
        <w:spacing w:before="120" w:after="120"/>
        <w:ind w:firstLine="480"/>
      </w:pPr>
      <w:r>
        <w:rPr>
          <w:rFonts w:hint="eastAsia"/>
        </w:rPr>
        <w:t>（</w:t>
      </w:r>
      <w:r>
        <w:rPr>
          <w:rFonts w:hint="eastAsia"/>
        </w:rPr>
        <w:t>12</w:t>
      </w:r>
      <w:r>
        <w:rPr>
          <w:rFonts w:hint="eastAsia"/>
        </w:rPr>
        <w:t>）查阅上市公司与相关方签署的《购买资产协议之补充协议》《业绩承诺补偿协议书》等交易文件，了解本次交易完成后上市公司公司治理安排及财务经营事项决策机制的情况；</w:t>
      </w:r>
    </w:p>
    <w:p w14:paraId="57D8F8AE" w14:textId="77777777" w:rsidR="00E76498" w:rsidRDefault="00E76498" w:rsidP="00E76498">
      <w:pPr>
        <w:pStyle w:val="005"/>
        <w:spacing w:before="120" w:after="120"/>
        <w:ind w:firstLine="480"/>
      </w:pPr>
      <w:r>
        <w:rPr>
          <w:rFonts w:hint="eastAsia"/>
        </w:rPr>
        <w:t>（</w:t>
      </w:r>
      <w:r>
        <w:rPr>
          <w:rFonts w:hint="eastAsia"/>
        </w:rPr>
        <w:t>13</w:t>
      </w:r>
      <w:r>
        <w:rPr>
          <w:rFonts w:hint="eastAsia"/>
        </w:rPr>
        <w:t>）查阅上市公司公开披露的定期报告，测算标的资产的资产、收入及利润占上市公司的比重；</w:t>
      </w:r>
    </w:p>
    <w:p w14:paraId="39C906C6" w14:textId="77777777" w:rsidR="00E76498" w:rsidRDefault="00E76498" w:rsidP="00E76498">
      <w:pPr>
        <w:pStyle w:val="005"/>
        <w:spacing w:before="120" w:after="120"/>
        <w:ind w:firstLine="480"/>
      </w:pPr>
      <w:r>
        <w:rPr>
          <w:rFonts w:hint="eastAsia"/>
        </w:rPr>
        <w:lastRenderedPageBreak/>
        <w:t>（</w:t>
      </w:r>
      <w:r>
        <w:rPr>
          <w:rFonts w:hint="eastAsia"/>
        </w:rPr>
        <w:t>14</w:t>
      </w:r>
      <w:r>
        <w:rPr>
          <w:rFonts w:hint="eastAsia"/>
        </w:rPr>
        <w:t>）查阅标的公司核心管理人员出具的《关于不谋求上市公司控制权的承诺函》；</w:t>
      </w:r>
    </w:p>
    <w:p w14:paraId="7015B26B" w14:textId="77777777" w:rsidR="00E76498" w:rsidRDefault="00E76498" w:rsidP="00E76498">
      <w:pPr>
        <w:pStyle w:val="005"/>
        <w:spacing w:before="120" w:after="120"/>
        <w:ind w:firstLine="480"/>
      </w:pPr>
      <w:r>
        <w:rPr>
          <w:rFonts w:hint="eastAsia"/>
        </w:rPr>
        <w:t>（</w:t>
      </w:r>
      <w:r>
        <w:rPr>
          <w:rFonts w:hint="eastAsia"/>
        </w:rPr>
        <w:t>15</w:t>
      </w:r>
      <w:r>
        <w:rPr>
          <w:rFonts w:hint="eastAsia"/>
        </w:rPr>
        <w:t>）测算本次交易完成后上市公司实际控制人持股比例的变动情况。</w:t>
      </w:r>
    </w:p>
    <w:p w14:paraId="0B6AA092" w14:textId="77777777" w:rsidR="00E76498" w:rsidRDefault="00E76498" w:rsidP="00E76498">
      <w:pPr>
        <w:pStyle w:val="004"/>
        <w:spacing w:before="120" w:after="120"/>
        <w:ind w:firstLine="482"/>
      </w:pPr>
      <w:r>
        <w:rPr>
          <w:rFonts w:hint="eastAsia"/>
        </w:rPr>
        <w:t>2</w:t>
      </w:r>
      <w:r>
        <w:rPr>
          <w:rFonts w:hint="eastAsia"/>
        </w:rPr>
        <w:t>、核查意见</w:t>
      </w:r>
    </w:p>
    <w:p w14:paraId="149EB185" w14:textId="77777777" w:rsidR="00E76498" w:rsidRDefault="00E76498" w:rsidP="00E76498">
      <w:pPr>
        <w:pStyle w:val="005"/>
        <w:spacing w:before="120" w:after="120"/>
        <w:ind w:firstLine="480"/>
      </w:pPr>
      <w:r>
        <w:rPr>
          <w:rFonts w:hint="eastAsia"/>
        </w:rPr>
        <w:t>经核查，律师认为：</w:t>
      </w:r>
    </w:p>
    <w:p w14:paraId="270D02CD" w14:textId="77777777" w:rsidR="00E76498" w:rsidRDefault="00E76498" w:rsidP="00E76498">
      <w:pPr>
        <w:pStyle w:val="005"/>
        <w:spacing w:before="120" w:after="120"/>
        <w:ind w:firstLine="480"/>
      </w:pPr>
      <w:r>
        <w:rPr>
          <w:rFonts w:hint="eastAsia"/>
        </w:rPr>
        <w:t>（</w:t>
      </w:r>
      <w:r>
        <w:rPr>
          <w:rFonts w:hint="eastAsia"/>
        </w:rPr>
        <w:t>1</w:t>
      </w:r>
      <w:r>
        <w:rPr>
          <w:rFonts w:hint="eastAsia"/>
        </w:rPr>
        <w:t>）乐陶陶合伙人既包括外部投资者（含离职员工徐德强及陈岳政），亦包括标的公司现任核心人员，财产份额以外部投资人持有为主；乐陶陶未按</w:t>
      </w:r>
      <w:r>
        <w:rPr>
          <w:rFonts w:hint="eastAsia"/>
        </w:rPr>
        <w:t>16.95</w:t>
      </w:r>
      <w:r>
        <w:rPr>
          <w:rFonts w:hint="eastAsia"/>
        </w:rPr>
        <w:t>亿元估值确定交易作价且同步作出业绩承诺的安排，具备商业合理性；乐陶陶同其余交易对方之间不存在相关利益安排。</w:t>
      </w:r>
    </w:p>
    <w:p w14:paraId="393130E3" w14:textId="77777777" w:rsidR="00E76498" w:rsidRDefault="00E76498" w:rsidP="00E76498">
      <w:pPr>
        <w:pStyle w:val="005"/>
        <w:spacing w:before="120" w:after="120"/>
        <w:ind w:firstLine="480"/>
      </w:pPr>
      <w:r>
        <w:rPr>
          <w:rFonts w:hint="eastAsia"/>
        </w:rPr>
        <w:t>（</w:t>
      </w:r>
      <w:r>
        <w:rPr>
          <w:rFonts w:hint="eastAsia"/>
        </w:rPr>
        <w:t>2</w:t>
      </w:r>
      <w:r>
        <w:rPr>
          <w:rFonts w:hint="eastAsia"/>
        </w:rPr>
        <w:t>）业绩承诺中包含的政府补助仅为依据中央财政支持新一轮第一批重点“小巨人”企业奖补资金安排计划未来取得的政府补助；本次交易中关于承诺净利润的设计符合法律法规的相关规定；标的公司业绩承诺包含的政府补助仅包含重点小巨人的第二笔奖补资金</w:t>
      </w:r>
      <w:r>
        <w:rPr>
          <w:rFonts w:hint="eastAsia"/>
        </w:rPr>
        <w:t>285</w:t>
      </w:r>
      <w:r>
        <w:rPr>
          <w:rFonts w:hint="eastAsia"/>
        </w:rPr>
        <w:t>万元，不具备持续性且具有不确定性，发放与否将取决于相关政府部门对标的公司考核期内的绩效评价情况，若最终考核通过，预计发放时间为</w:t>
      </w:r>
      <w:r>
        <w:rPr>
          <w:rFonts w:hint="eastAsia"/>
        </w:rPr>
        <w:t>2027</w:t>
      </w:r>
      <w:r>
        <w:rPr>
          <w:rFonts w:hint="eastAsia"/>
        </w:rPr>
        <w:t>年或</w:t>
      </w:r>
      <w:r>
        <w:rPr>
          <w:rFonts w:hint="eastAsia"/>
        </w:rPr>
        <w:t>2028</w:t>
      </w:r>
      <w:r>
        <w:rPr>
          <w:rFonts w:hint="eastAsia"/>
        </w:rP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rPr>
          <w:rFonts w:hint="eastAsia"/>
        </w:rPr>
        <w:t>2025</w:t>
      </w:r>
      <w:r>
        <w:rPr>
          <w:rFonts w:hint="eastAsia"/>
        </w:rPr>
        <w:t>年上半年已实际发生入表的政府补助金额，对于</w:t>
      </w:r>
      <w:r>
        <w:rPr>
          <w:rFonts w:hint="eastAsia"/>
        </w:rPr>
        <w:t>2025</w:t>
      </w:r>
      <w:r>
        <w:rPr>
          <w:rFonts w:hint="eastAsia"/>
        </w:rPr>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小巨人”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2F2D5A12" w14:textId="77777777" w:rsidR="00E76498" w:rsidRDefault="00E76498" w:rsidP="00E76498">
      <w:pPr>
        <w:pStyle w:val="005"/>
        <w:spacing w:before="120" w:after="120"/>
        <w:ind w:firstLine="480"/>
      </w:pPr>
      <w:r>
        <w:rPr>
          <w:rFonts w:hint="eastAsia"/>
        </w:rPr>
        <w:t>（</w:t>
      </w:r>
      <w:r>
        <w:rPr>
          <w:rFonts w:hint="eastAsia"/>
        </w:rPr>
        <w:t>3</w:t>
      </w:r>
      <w:r>
        <w:rPr>
          <w:rFonts w:hint="eastAsia"/>
        </w:rPr>
        <w:t>）本次交易对业绩补偿、资产减值补偿的补偿上限合计为</w:t>
      </w:r>
      <w:r>
        <w:rPr>
          <w:rFonts w:hint="eastAsia"/>
        </w:rPr>
        <w:t>48,521.91</w:t>
      </w:r>
      <w:r>
        <w:rPr>
          <w:rFonts w:hint="eastAsia"/>
        </w:rPr>
        <w:t>万元，</w:t>
      </w:r>
      <w:r>
        <w:rPr>
          <w:rFonts w:hint="eastAsia"/>
        </w:rPr>
        <w:lastRenderedPageBreak/>
        <w:t>对于交易总对价</w:t>
      </w:r>
      <w:r>
        <w:rPr>
          <w:rFonts w:hint="eastAsia"/>
        </w:rPr>
        <w:t>118,850.53</w:t>
      </w:r>
      <w:r>
        <w:rPr>
          <w:rFonts w:hint="eastAsia"/>
        </w:rPr>
        <w:t>万元的业绩补偿覆盖率为</w:t>
      </w:r>
      <w:r>
        <w:rPr>
          <w:rFonts w:hint="eastAsia"/>
        </w:rPr>
        <w:t>40.83%</w:t>
      </w:r>
      <w:r>
        <w:rPr>
          <w:rFonts w:hint="eastAsia"/>
        </w:rPr>
        <w:t>。</w:t>
      </w:r>
    </w:p>
    <w:p w14:paraId="79E523B3" w14:textId="77777777" w:rsidR="00E76498" w:rsidRDefault="00E76498" w:rsidP="00E76498">
      <w:pPr>
        <w:pStyle w:val="005"/>
        <w:spacing w:before="120" w:after="120"/>
        <w:ind w:firstLine="480"/>
      </w:pPr>
      <w:r>
        <w:rPr>
          <w:rFonts w:hint="eastAsia"/>
        </w:rPr>
        <w:t>（</w:t>
      </w:r>
      <w:r>
        <w:rPr>
          <w:rFonts w:hint="eastAsia"/>
        </w:rPr>
        <w:t>4</w:t>
      </w:r>
      <w:r>
        <w:rPr>
          <w:rFonts w:hint="eastAsia"/>
        </w:rPr>
        <w:t>）业绩补偿期与过渡期存在重合的具体扣减安排、业绩承诺期及过渡期损益的具体安排符合《监管规则适用指引——上市类第</w:t>
      </w:r>
      <w:r>
        <w:rPr>
          <w:rFonts w:hint="eastAsia"/>
        </w:rPr>
        <w:t>1</w:t>
      </w:r>
      <w:r>
        <w:rPr>
          <w:rFonts w:hint="eastAsia"/>
        </w:rPr>
        <w:t>号》的规定。</w:t>
      </w:r>
    </w:p>
    <w:p w14:paraId="66978EF3" w14:textId="77777777" w:rsidR="00E76498" w:rsidRDefault="00E76498" w:rsidP="00E76498">
      <w:pPr>
        <w:pStyle w:val="005"/>
        <w:spacing w:before="120" w:after="120"/>
        <w:ind w:firstLine="480"/>
      </w:pPr>
      <w:r>
        <w:rPr>
          <w:rFonts w:hint="eastAsia"/>
        </w:rPr>
        <w:t>（</w:t>
      </w:r>
      <w:r>
        <w:rPr>
          <w:rFonts w:hint="eastAsia"/>
        </w:rPr>
        <w:t>5</w:t>
      </w:r>
      <w:r>
        <w:rPr>
          <w:rFonts w:hint="eastAsia"/>
        </w:rPr>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上市类第</w:t>
      </w:r>
      <w:r>
        <w:rPr>
          <w:rFonts w:hint="eastAsia"/>
        </w:rPr>
        <w:t>1</w:t>
      </w:r>
      <w:r>
        <w:rPr>
          <w:rFonts w:hint="eastAsia"/>
        </w:rPr>
        <w:t>号》的规定。</w:t>
      </w:r>
    </w:p>
    <w:p w14:paraId="5F53E31B" w14:textId="77777777" w:rsidR="00E76498" w:rsidRDefault="00E76498" w:rsidP="00E76498">
      <w:pPr>
        <w:pStyle w:val="005"/>
        <w:spacing w:before="120" w:after="120"/>
        <w:ind w:firstLine="480"/>
      </w:pPr>
      <w:r>
        <w:rPr>
          <w:rFonts w:hint="eastAsia"/>
        </w:rPr>
        <w:t>（</w:t>
      </w:r>
      <w:r>
        <w:rPr>
          <w:rFonts w:hint="eastAsia"/>
        </w:rPr>
        <w:t>6</w:t>
      </w:r>
      <w:r>
        <w:rPr>
          <w:rFonts w:hint="eastAsia"/>
        </w:rPr>
        <w:t>）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较小，不会对本次交易或估值造成重大不利影响。</w:t>
      </w:r>
    </w:p>
    <w:p w14:paraId="303C730D" w14:textId="77777777" w:rsidR="00E76498" w:rsidRDefault="00E76498" w:rsidP="00E76498">
      <w:pPr>
        <w:pStyle w:val="005"/>
        <w:spacing w:before="120" w:after="120"/>
        <w:ind w:firstLine="480"/>
      </w:pPr>
      <w:r>
        <w:rPr>
          <w:rFonts w:hint="eastAsia"/>
        </w:rPr>
        <w:t>（</w:t>
      </w:r>
      <w:r>
        <w:rPr>
          <w:rFonts w:hint="eastAsia"/>
        </w:rPr>
        <w:t>7</w:t>
      </w:r>
      <w:r>
        <w:rPr>
          <w:rFonts w:hint="eastAsia"/>
        </w:rPr>
        <w:t>）本次交易完成后，若不考虑募集配套资金，不存在交易对方及其关联方或一致行动人合计持有上市公司股份超过</w:t>
      </w:r>
      <w:r>
        <w:rPr>
          <w:rFonts w:hint="eastAsia"/>
        </w:rPr>
        <w:t>5%</w:t>
      </w:r>
      <w:r>
        <w:rPr>
          <w:rFonts w:hint="eastAsia"/>
        </w:rPr>
        <w:t>的情形，本次发行股份及支付现金购买资产不构成关联交易。</w:t>
      </w:r>
    </w:p>
    <w:p w14:paraId="1A169750" w14:textId="77777777" w:rsidR="00E76498" w:rsidRDefault="00E76498" w:rsidP="00E76498">
      <w:pPr>
        <w:pStyle w:val="005"/>
        <w:spacing w:before="120" w:after="120"/>
        <w:ind w:firstLine="480"/>
      </w:pPr>
      <w:r>
        <w:rPr>
          <w:rFonts w:hint="eastAsia"/>
        </w:rPr>
        <w:t>（</w:t>
      </w:r>
      <w:r>
        <w:rPr>
          <w:rFonts w:hint="eastAsia"/>
        </w:rPr>
        <w:t>8</w:t>
      </w:r>
      <w:r>
        <w:rPr>
          <w:rFonts w:hint="eastAsia"/>
        </w:rPr>
        <w:t>）本次交易发行股份购买资产的发行价格及募集配套资金发行价格的确定参考《上市公司重大资产重组管理办法》及《上市公司证券发行注册管理办法》等相关规定，并结合相关市场案例与交易各方实际情况，经各方友好协商确定，发行股份购买资产和募集配套资金选取不同发行价格符合相关法律法规规定，具有合理性。</w:t>
      </w:r>
    </w:p>
    <w:p w14:paraId="6FB78684" w14:textId="77777777" w:rsidR="00E76498" w:rsidRDefault="00E76498" w:rsidP="00E76498">
      <w:pPr>
        <w:pStyle w:val="005"/>
        <w:spacing w:before="120" w:after="120"/>
        <w:ind w:firstLine="480"/>
      </w:pPr>
      <w:r>
        <w:rPr>
          <w:rFonts w:hint="eastAsia"/>
        </w:rPr>
        <w:t>（</w:t>
      </w:r>
      <w:r>
        <w:rPr>
          <w:rFonts w:hint="eastAsia"/>
        </w:rPr>
        <w:t>9</w:t>
      </w:r>
      <w:r>
        <w:rPr>
          <w:rFonts w:hint="eastAsia"/>
        </w:rPr>
        <w:t>）上市公司对本次交易现金对价的具体筹措安排具备可行性，相关安排对上市公司偿债能力和生产经营是无重大不利影响，不会导致上市公司产生重大债务风险；本次交易的支付安排系交易各方商业谈判的结果，其中核心管理人员</w:t>
      </w:r>
      <w:r>
        <w:rPr>
          <w:rFonts w:hint="eastAsia"/>
        </w:rPr>
        <w:lastRenderedPageBreak/>
        <w:t>间现金及股份比例的内部调整系为更好地将其与上市公司进行深度利益绑定，有利于保护上市公司及中小投资者权益，交易安排具有合理性，不存在规避重组上市的情形；本次交易有利于提高上市公司的资产质量、不会导致财务状况发生重大不利变化，符合《重组办法》第四十四条的规定。</w:t>
      </w:r>
    </w:p>
    <w:p w14:paraId="6EB06778" w14:textId="77777777" w:rsidR="00E76498" w:rsidRPr="00DA3766" w:rsidRDefault="00E76498" w:rsidP="00E76498">
      <w:pPr>
        <w:pStyle w:val="005"/>
        <w:spacing w:before="120" w:after="120"/>
        <w:ind w:firstLine="480"/>
      </w:pPr>
      <w:r>
        <w:rPr>
          <w:rFonts w:hint="eastAsia"/>
        </w:rPr>
        <w:t>（</w:t>
      </w:r>
      <w:r>
        <w:rPr>
          <w:rFonts w:hint="eastAsia"/>
        </w:rPr>
        <w:t>10</w:t>
      </w:r>
      <w:r>
        <w:rPr>
          <w:rFonts w:hint="eastAsia"/>
        </w:rPr>
        <w:t>）本次交易后不会存在董事、高级管理人员或子公司相关人员具有上市公司控制权的情形，上市公司控制权未发生变更，本次交易不构成重组上市。</w:t>
      </w:r>
    </w:p>
    <w:p w14:paraId="007E47A1" w14:textId="77777777" w:rsidR="00E76498" w:rsidRPr="00DA3766" w:rsidRDefault="00E76498" w:rsidP="00E76498">
      <w:pPr>
        <w:pStyle w:val="003"/>
        <w:spacing w:before="120" w:after="120"/>
        <w:ind w:firstLine="482"/>
      </w:pPr>
      <w:r>
        <w:rPr>
          <w:rFonts w:hint="eastAsia"/>
        </w:rPr>
        <w:t>（三）评估师</w:t>
      </w:r>
      <w:r w:rsidRPr="00DA3766">
        <w:t>核查过程及核查意见</w:t>
      </w:r>
    </w:p>
    <w:p w14:paraId="078EA7A9"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06C2AC68" w14:textId="77777777" w:rsidR="00E76498" w:rsidRDefault="00E76498" w:rsidP="00E76498">
      <w:pPr>
        <w:pStyle w:val="005"/>
        <w:spacing w:before="120" w:after="120"/>
        <w:ind w:firstLine="480"/>
      </w:pPr>
      <w:r>
        <w:rPr>
          <w:rFonts w:hint="eastAsia"/>
        </w:rPr>
        <w:t>针对前述事项，评估师主要实施了以下核查程序：</w:t>
      </w:r>
    </w:p>
    <w:p w14:paraId="755CBE9F" w14:textId="77777777" w:rsidR="00E76498" w:rsidRDefault="00E76498" w:rsidP="00E76498">
      <w:pPr>
        <w:pStyle w:val="005"/>
        <w:spacing w:before="120" w:after="120"/>
        <w:ind w:firstLine="480"/>
      </w:pPr>
      <w:r>
        <w:rPr>
          <w:rFonts w:hint="eastAsia"/>
        </w:rPr>
        <w:t>（</w:t>
      </w:r>
      <w:r>
        <w:rPr>
          <w:rFonts w:hint="eastAsia"/>
        </w:rPr>
        <w:t>1</w:t>
      </w:r>
      <w:r>
        <w:rPr>
          <w:rFonts w:hint="eastAsia"/>
        </w:rPr>
        <w:t>）获取标的公司重点“小巨人”企业相关的政府补助文件，查阅政府补助文件名称、文号、主要条款、金额等内容，并查阅已收到的第一笔奖补资金的银行回单；</w:t>
      </w:r>
    </w:p>
    <w:p w14:paraId="0209E219" w14:textId="77777777" w:rsidR="00E76498" w:rsidRDefault="00E76498" w:rsidP="00E76498">
      <w:pPr>
        <w:pStyle w:val="005"/>
        <w:spacing w:before="120" w:after="120"/>
        <w:ind w:firstLine="480"/>
      </w:pPr>
      <w:r>
        <w:rPr>
          <w:rFonts w:hint="eastAsia"/>
        </w:rPr>
        <w:t>（</w:t>
      </w:r>
      <w:r>
        <w:rPr>
          <w:rFonts w:hint="eastAsia"/>
        </w:rPr>
        <w:t>2</w:t>
      </w:r>
      <w:r>
        <w:rPr>
          <w:rFonts w:hint="eastAsia"/>
        </w:rPr>
        <w:t>）根据公司享有的政府补助文件及税收优惠政策，对其可持续性进行分析；查阅《评估报告》及上市公司与业绩承诺方签署的《业绩承诺补偿协议书》，分析评估预测的净利润与业绩承诺净利润的差异及合理性；</w:t>
      </w:r>
    </w:p>
    <w:p w14:paraId="50338C68" w14:textId="77777777" w:rsidR="00E76498" w:rsidRDefault="00E76498" w:rsidP="00E76498">
      <w:pPr>
        <w:pStyle w:val="004"/>
        <w:spacing w:before="120" w:after="120"/>
        <w:ind w:firstLine="482"/>
      </w:pPr>
      <w:r>
        <w:rPr>
          <w:rFonts w:hint="eastAsia"/>
        </w:rPr>
        <w:t>2</w:t>
      </w:r>
      <w:r>
        <w:rPr>
          <w:rFonts w:hint="eastAsia"/>
        </w:rPr>
        <w:t>、核查意见</w:t>
      </w:r>
    </w:p>
    <w:p w14:paraId="649E5BE1" w14:textId="77777777" w:rsidR="00E76498" w:rsidRDefault="00E76498" w:rsidP="00E76498">
      <w:pPr>
        <w:pStyle w:val="005"/>
        <w:spacing w:before="120" w:after="120"/>
        <w:ind w:firstLine="480"/>
      </w:pPr>
      <w:r>
        <w:rPr>
          <w:rFonts w:hint="eastAsia"/>
        </w:rPr>
        <w:t>经核查，评估师认为：</w:t>
      </w:r>
    </w:p>
    <w:p w14:paraId="2A37BF60" w14:textId="77777777" w:rsidR="00E76498" w:rsidRPr="00DA3766" w:rsidRDefault="00E76498" w:rsidP="00E76498">
      <w:pPr>
        <w:pStyle w:val="005"/>
        <w:spacing w:before="120" w:after="120"/>
        <w:ind w:firstLine="480"/>
      </w:pPr>
      <w:r>
        <w:rPr>
          <w:rFonts w:hint="eastAsia"/>
        </w:rPr>
        <w:t>业绩承诺中包含的政府补助仅为依据中央财政支持新一轮第一批重点“小巨人”企业奖补资金安排计划未来取得的政府补助；本次交易中关于承诺净利润的设计符合法律法规的相关规定；标的公司业绩承诺包含的政府补助仅包含重点小巨人的第二笔奖补资金</w:t>
      </w:r>
      <w:r>
        <w:rPr>
          <w:rFonts w:hint="eastAsia"/>
        </w:rPr>
        <w:t>285</w:t>
      </w:r>
      <w:r>
        <w:rPr>
          <w:rFonts w:hint="eastAsia"/>
        </w:rPr>
        <w:t>万元，不具备持续性且具有不确定性，发放与否将取决于相关政府部门对标的公司考核期内的绩效评价情况，若最终考核通过，预计发放时间为</w:t>
      </w:r>
      <w:r>
        <w:rPr>
          <w:rFonts w:hint="eastAsia"/>
        </w:rPr>
        <w:t>2027</w:t>
      </w:r>
      <w:r>
        <w:rPr>
          <w:rFonts w:hint="eastAsia"/>
        </w:rPr>
        <w:t>年或</w:t>
      </w:r>
      <w:r>
        <w:rPr>
          <w:rFonts w:hint="eastAsia"/>
        </w:rPr>
        <w:t>2028</w:t>
      </w:r>
      <w:r>
        <w:rPr>
          <w:rFonts w:hint="eastAsia"/>
        </w:rP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rPr>
          <w:rFonts w:hint="eastAsia"/>
        </w:rPr>
        <w:t>2025</w:t>
      </w:r>
      <w:r>
        <w:rPr>
          <w:rFonts w:hint="eastAsia"/>
        </w:rPr>
        <w:t>年上半年已实际发生入表的政府补助金额，对于</w:t>
      </w:r>
      <w:r>
        <w:rPr>
          <w:rFonts w:hint="eastAsia"/>
        </w:rPr>
        <w:t>2025</w:t>
      </w:r>
      <w:r>
        <w:rPr>
          <w:rFonts w:hint="eastAsia"/>
        </w:rPr>
        <w:t>年下半年及后续</w:t>
      </w:r>
      <w:r>
        <w:rPr>
          <w:rFonts w:hint="eastAsia"/>
        </w:rPr>
        <w:lastRenderedPageBreak/>
        <w:t>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小巨人”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37B58A49" w14:textId="77777777" w:rsidR="00E76498" w:rsidRPr="00DA3766" w:rsidRDefault="00E76498" w:rsidP="00E76498">
      <w:pPr>
        <w:pStyle w:val="003"/>
        <w:spacing w:before="120" w:after="120"/>
        <w:ind w:firstLine="482"/>
      </w:pPr>
      <w:r>
        <w:rPr>
          <w:rFonts w:hint="eastAsia"/>
        </w:rPr>
        <w:t>（四）会计师</w:t>
      </w:r>
      <w:r w:rsidRPr="00DA3766">
        <w:t>核查过程及核查意见</w:t>
      </w:r>
    </w:p>
    <w:p w14:paraId="4A86E624"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3437C1D4" w14:textId="77777777" w:rsidR="00E76498" w:rsidRDefault="00E76498" w:rsidP="00E76498">
      <w:pPr>
        <w:pStyle w:val="005"/>
        <w:spacing w:before="120" w:after="120"/>
        <w:ind w:firstLine="480"/>
      </w:pPr>
      <w:r>
        <w:rPr>
          <w:rFonts w:hint="eastAsia"/>
        </w:rPr>
        <w:t>针对前述事项，会计师主要实施了以下核查程序：</w:t>
      </w:r>
    </w:p>
    <w:p w14:paraId="5A13B82F" w14:textId="77777777" w:rsidR="00E76498" w:rsidRDefault="00E76498" w:rsidP="00E76498">
      <w:pPr>
        <w:pStyle w:val="005"/>
        <w:spacing w:before="120" w:after="120"/>
        <w:ind w:firstLine="480"/>
      </w:pPr>
      <w:r>
        <w:rPr>
          <w:rFonts w:hint="eastAsia"/>
        </w:rPr>
        <w:t>（</w:t>
      </w:r>
      <w:r>
        <w:rPr>
          <w:rFonts w:hint="eastAsia"/>
        </w:rPr>
        <w:t>1</w:t>
      </w:r>
      <w:r>
        <w:rPr>
          <w:rFonts w:hint="eastAsia"/>
        </w:rPr>
        <w:t>）获取标的公司重点“小巨人”企业相关的政府补助文件，查阅政府补助文件名称、文号、主要条款、金额等内容，并查阅已收到的第一笔奖补资金的银行回单；</w:t>
      </w:r>
    </w:p>
    <w:p w14:paraId="418DB891" w14:textId="77777777" w:rsidR="00E76498" w:rsidRDefault="00E76498" w:rsidP="00E76498">
      <w:pPr>
        <w:pStyle w:val="005"/>
        <w:spacing w:before="120" w:after="120"/>
        <w:ind w:firstLine="480"/>
      </w:pPr>
      <w:r>
        <w:rPr>
          <w:rFonts w:hint="eastAsia"/>
        </w:rPr>
        <w:t>（</w:t>
      </w:r>
      <w:r>
        <w:rPr>
          <w:rFonts w:hint="eastAsia"/>
        </w:rPr>
        <w:t>2</w:t>
      </w:r>
      <w:r>
        <w:rPr>
          <w:rFonts w:hint="eastAsia"/>
        </w:rPr>
        <w:t>）查阅《上市公司重大资产重组管理办法》《监管规则适用指引——上市类第</w:t>
      </w:r>
      <w:r>
        <w:rPr>
          <w:rFonts w:hint="eastAsia"/>
        </w:rPr>
        <w:t>1</w:t>
      </w:r>
      <w:r>
        <w:rPr>
          <w:rFonts w:hint="eastAsia"/>
        </w:rPr>
        <w:t>号》《上市公司证券发行注册管理办法》《公司法》《上市公司执行企业会计准则案例解析》《企业会计准则第</w:t>
      </w:r>
      <w:r>
        <w:rPr>
          <w:rFonts w:hint="eastAsia"/>
        </w:rPr>
        <w:t xml:space="preserve"> 9 </w:t>
      </w:r>
      <w:r>
        <w:rPr>
          <w:rFonts w:hint="eastAsia"/>
        </w:rPr>
        <w:t>号——职工薪酬》等法律法规；查询已获中国证监会同意注册的上市公司重大资产重组的相关案例；</w:t>
      </w:r>
    </w:p>
    <w:p w14:paraId="74EE762D" w14:textId="77777777" w:rsidR="00E76498" w:rsidRDefault="00E76498" w:rsidP="00E76498">
      <w:pPr>
        <w:pStyle w:val="005"/>
        <w:spacing w:before="120" w:after="120"/>
        <w:ind w:firstLine="480"/>
      </w:pPr>
      <w:r>
        <w:rPr>
          <w:rFonts w:hint="eastAsia"/>
        </w:rPr>
        <w:t>（</w:t>
      </w:r>
      <w:r>
        <w:rPr>
          <w:rFonts w:hint="eastAsia"/>
        </w:rPr>
        <w:t>3</w:t>
      </w:r>
      <w:r>
        <w:rPr>
          <w:rFonts w:hint="eastAsia"/>
        </w:rPr>
        <w:t>）查阅上市公司年度报告、募集资金使用报告，取得上市公司就本次并购贷款与银行达成的借款意向文件，了解上市公司本次交易资金安排的合理性。</w:t>
      </w:r>
    </w:p>
    <w:p w14:paraId="7B38A4F0" w14:textId="77777777" w:rsidR="00E76498" w:rsidRPr="00DA3766" w:rsidRDefault="00E76498" w:rsidP="00E76498">
      <w:pPr>
        <w:pStyle w:val="004"/>
        <w:spacing w:before="120" w:after="120"/>
        <w:ind w:firstLine="482"/>
      </w:pPr>
      <w:r>
        <w:rPr>
          <w:rFonts w:hint="eastAsia"/>
        </w:rPr>
        <w:t>2</w:t>
      </w:r>
      <w:r>
        <w:rPr>
          <w:rFonts w:hint="eastAsia"/>
        </w:rPr>
        <w:t>、核查意见</w:t>
      </w:r>
    </w:p>
    <w:p w14:paraId="471C907C"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sidRPr="00E84881">
        <w:rPr>
          <w:rFonts w:ascii="Times New Roman" w:hAnsi="Times New Roman" w:cs="Times New Roman" w:hint="eastAsia"/>
          <w:kern w:val="2"/>
          <w:szCs w:val="22"/>
        </w:rPr>
        <w:t>经核查，会计师认为：</w:t>
      </w:r>
    </w:p>
    <w:p w14:paraId="2DDFC448"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E84881">
        <w:rPr>
          <w:rFonts w:ascii="Times New Roman" w:hAnsi="Times New Roman" w:cs="Times New Roman" w:hint="eastAsia"/>
          <w:kern w:val="2"/>
          <w:szCs w:val="22"/>
        </w:rPr>
        <w:t>业绩承诺中包含的政府补助仅为依据中央财政支持新一轮第一批重点“小巨人”企业奖补资金安排计划未来取得的政府补助；本次交易中关于承诺净利润的设计符合法律法规的相关规定；标的公司业绩承诺包含的政府补助仅包含重点小巨人的第二笔奖补资金</w:t>
      </w:r>
      <w:r w:rsidRPr="00E84881">
        <w:rPr>
          <w:rFonts w:ascii="Times New Roman" w:hAnsi="Times New Roman" w:cs="Times New Roman" w:hint="eastAsia"/>
          <w:kern w:val="2"/>
          <w:szCs w:val="22"/>
        </w:rPr>
        <w:t>285</w:t>
      </w:r>
      <w:r w:rsidRPr="00E84881">
        <w:rPr>
          <w:rFonts w:ascii="Times New Roman" w:hAnsi="Times New Roman" w:cs="Times New Roman" w:hint="eastAsia"/>
          <w:kern w:val="2"/>
          <w:szCs w:val="22"/>
        </w:rPr>
        <w:t>万元，不具备持续性且具有不确定性，发放与否将取决于相关政府部门对标的公司考核期内的绩效评价情况，若最终考核通过，</w:t>
      </w:r>
      <w:r w:rsidRPr="00E84881">
        <w:rPr>
          <w:rFonts w:ascii="Times New Roman" w:hAnsi="Times New Roman" w:cs="Times New Roman" w:hint="eastAsia"/>
          <w:kern w:val="2"/>
          <w:szCs w:val="22"/>
        </w:rPr>
        <w:lastRenderedPageBreak/>
        <w:t>预计发放时间为</w:t>
      </w:r>
      <w:r w:rsidRPr="00E84881">
        <w:rPr>
          <w:rFonts w:ascii="Times New Roman" w:hAnsi="Times New Roman" w:cs="Times New Roman" w:hint="eastAsia"/>
          <w:kern w:val="2"/>
          <w:szCs w:val="22"/>
        </w:rPr>
        <w:t>2027</w:t>
      </w:r>
      <w:r w:rsidRPr="00E84881">
        <w:rPr>
          <w:rFonts w:ascii="Times New Roman" w:hAnsi="Times New Roman" w:cs="Times New Roman" w:hint="eastAsia"/>
          <w:kern w:val="2"/>
          <w:szCs w:val="22"/>
        </w:rPr>
        <w:t>年或</w:t>
      </w:r>
      <w:r w:rsidRPr="00E84881">
        <w:rPr>
          <w:rFonts w:ascii="Times New Roman" w:hAnsi="Times New Roman" w:cs="Times New Roman" w:hint="eastAsia"/>
          <w:kern w:val="2"/>
          <w:szCs w:val="22"/>
        </w:rPr>
        <w:t>2028</w:t>
      </w:r>
      <w:r w:rsidRPr="00E84881">
        <w:rPr>
          <w:rFonts w:ascii="Times New Roman" w:hAnsi="Times New Roman" w:cs="Times New Roman" w:hint="eastAsia"/>
          <w:kern w:val="2"/>
          <w:szCs w:val="22"/>
        </w:rP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rsidRPr="00E84881">
        <w:rPr>
          <w:rFonts w:ascii="Times New Roman" w:hAnsi="Times New Roman" w:cs="Times New Roman" w:hint="eastAsia"/>
          <w:kern w:val="2"/>
          <w:szCs w:val="22"/>
        </w:rPr>
        <w:t>2025</w:t>
      </w:r>
      <w:r w:rsidRPr="00E84881">
        <w:rPr>
          <w:rFonts w:ascii="Times New Roman" w:hAnsi="Times New Roman" w:cs="Times New Roman" w:hint="eastAsia"/>
          <w:kern w:val="2"/>
          <w:szCs w:val="22"/>
        </w:rPr>
        <w:t>年上半年已实际发生入表的政府补助金额，对于</w:t>
      </w:r>
      <w:r w:rsidRPr="00E84881">
        <w:rPr>
          <w:rFonts w:ascii="Times New Roman" w:hAnsi="Times New Roman" w:cs="Times New Roman" w:hint="eastAsia"/>
          <w:kern w:val="2"/>
          <w:szCs w:val="22"/>
        </w:rPr>
        <w:t>2025</w:t>
      </w:r>
      <w:r w:rsidRPr="00E84881">
        <w:rPr>
          <w:rFonts w:ascii="Times New Roman" w:hAnsi="Times New Roman" w:cs="Times New Roman" w:hint="eastAsia"/>
          <w:kern w:val="2"/>
          <w:szCs w:val="22"/>
        </w:rPr>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小巨人”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7C79D2D2" w14:textId="77777777" w:rsidR="00E76498" w:rsidRPr="00E84881"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E84881">
        <w:rPr>
          <w:rFonts w:ascii="Times New Roman" w:hAnsi="Times New Roman" w:cs="Times New Roman" w:hint="eastAsia"/>
          <w:kern w:val="2"/>
          <w:szCs w:val="22"/>
        </w:rPr>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上市类第</w:t>
      </w:r>
      <w:r w:rsidRPr="00E84881">
        <w:rPr>
          <w:rFonts w:ascii="Times New Roman" w:hAnsi="Times New Roman" w:cs="Times New Roman" w:hint="eastAsia"/>
          <w:kern w:val="2"/>
          <w:szCs w:val="22"/>
        </w:rPr>
        <w:t>1</w:t>
      </w:r>
      <w:r w:rsidRPr="00E84881">
        <w:rPr>
          <w:rFonts w:ascii="Times New Roman" w:hAnsi="Times New Roman" w:cs="Times New Roman" w:hint="eastAsia"/>
          <w:kern w:val="2"/>
          <w:szCs w:val="22"/>
        </w:rPr>
        <w:t>号》的规定。</w:t>
      </w:r>
    </w:p>
    <w:p w14:paraId="6899CC3B"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E84881">
        <w:rPr>
          <w:rFonts w:ascii="Times New Roman" w:hAnsi="Times New Roman" w:cs="Times New Roman" w:hint="eastAsia"/>
          <w:kern w:val="2"/>
          <w:szCs w:val="22"/>
        </w:rPr>
        <w:t>上市公司对本次交易现金对价的具体筹措安排具备可行性，相关安排对上市公司偿债能力和生产经营是无重大不利影响，不会导致上市公司产生重大债务风险；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本次交易有利于提高上市公司的资产质量、不会导致财务状况发生重大不利变化，符合《重组办法》第四十四条的规定。</w:t>
      </w:r>
    </w:p>
    <w:p w14:paraId="58CA8D16" w14:textId="358988E9" w:rsidR="00E93DA8" w:rsidRPr="00DA3766" w:rsidRDefault="00E93DA8" w:rsidP="00E93DA8">
      <w:pPr>
        <w:pStyle w:val="001"/>
        <w:spacing w:before="120" w:after="120"/>
        <w:ind w:firstLine="480"/>
      </w:pPr>
      <w:r w:rsidRPr="00DA3766">
        <w:lastRenderedPageBreak/>
        <w:t>问题</w:t>
      </w:r>
      <w:r w:rsidR="002C3526" w:rsidRPr="00DA3766">
        <w:t>7</w:t>
      </w:r>
      <w:r w:rsidRPr="00DA3766">
        <w:t>、</w:t>
      </w:r>
      <w:r w:rsidR="002C3526" w:rsidRPr="00DA3766">
        <w:t>关于交易对方</w:t>
      </w:r>
      <w:bookmarkEnd w:id="186"/>
    </w:p>
    <w:p w14:paraId="6D9366EC" w14:textId="6759AD2B" w:rsidR="00E93DA8" w:rsidRPr="00DA3766" w:rsidRDefault="00E93DA8" w:rsidP="00E93DA8">
      <w:pPr>
        <w:pStyle w:val="0050"/>
        <w:spacing w:before="120" w:after="120"/>
        <w:ind w:firstLine="480"/>
      </w:pPr>
      <w:r w:rsidRPr="00DA3766">
        <w:t>申请文件显示：</w:t>
      </w:r>
      <w:r w:rsidR="002C3526" w:rsidRPr="00DA3766">
        <w:t>（</w:t>
      </w:r>
      <w:r w:rsidR="002C3526" w:rsidRPr="00DA3766">
        <w:t>1</w:t>
      </w:r>
      <w:r w:rsidR="002C3526" w:rsidRPr="00DA3766">
        <w:t>）上市公司本次拟向</w:t>
      </w:r>
      <w:r w:rsidR="002C3526" w:rsidRPr="00DA3766">
        <w:t>21</w:t>
      </w:r>
      <w:r w:rsidR="002C3526" w:rsidRPr="00DA3766">
        <w:t>名交易对方购买其持有的标的资产股权，同时向上市公司实际控制人之一马学沛发行股份募集配套资金。（</w:t>
      </w:r>
      <w:r w:rsidR="002C3526" w:rsidRPr="00DA3766">
        <w:t>2</w:t>
      </w:r>
      <w:r w:rsidR="002C3526" w:rsidRPr="00DA3766">
        <w:t>）乐陶陶、乐熙熙、深圳市前海千意智合三期投资合伙企业（有限合伙）（以下简称深圳前海千意智合三期）等数名交易对方存在除持有标的资产股份外，不存在其他投资的情形。（</w:t>
      </w:r>
      <w:r w:rsidR="002C3526" w:rsidRPr="00DA3766">
        <w:t>3</w:t>
      </w:r>
      <w:r w:rsidR="002C3526" w:rsidRPr="00DA3766">
        <w:t>）申请文件未按照《公开发行证券的公司信息披露内容与格式准则第</w:t>
      </w:r>
      <w:r w:rsidR="002C3526" w:rsidRPr="00DA3766">
        <w:t>26</w:t>
      </w:r>
      <w:r w:rsidR="002C3526" w:rsidRPr="00DA3766">
        <w:t>号</w:t>
      </w:r>
      <w:r w:rsidR="002C3526" w:rsidRPr="00DA3766">
        <w:t>——</w:t>
      </w:r>
      <w:r w:rsidR="002C3526" w:rsidRPr="00DA3766">
        <w:t>上市公司重大资产重组》（以下简称《</w:t>
      </w:r>
      <w:r w:rsidR="002C3526" w:rsidRPr="00DA3766">
        <w:t>26</w:t>
      </w:r>
      <w:r w:rsidR="002C3526" w:rsidRPr="00DA3766">
        <w:t>号准则》）第十五条的规定全面披露珠海广发信德科文创业投资基金（有限合伙）（以下简称广发信德科文）等数个交易对方的历史沿革、相关产权及控制关系。（</w:t>
      </w:r>
      <w:r w:rsidR="002C3526" w:rsidRPr="00DA3766">
        <w:t>4</w:t>
      </w:r>
      <w:r w:rsidR="002C3526" w:rsidRPr="00DA3766">
        <w:t>）广发信德科文的存续期至</w:t>
      </w:r>
      <w:r w:rsidR="002C3526" w:rsidRPr="00DA3766">
        <w:t>2026</w:t>
      </w:r>
      <w:r w:rsidR="002C3526" w:rsidRPr="00DA3766">
        <w:t>年</w:t>
      </w:r>
      <w:r w:rsidR="002C3526" w:rsidRPr="00DA3766">
        <w:t>6</w:t>
      </w:r>
      <w:r w:rsidR="002C3526" w:rsidRPr="00DA3766">
        <w:t>月</w:t>
      </w:r>
      <w:r w:rsidR="002C3526" w:rsidRPr="00DA3766">
        <w:t>7</w:t>
      </w:r>
      <w:r w:rsidR="002C3526" w:rsidRPr="00DA3766">
        <w:t>日，存在不能覆盖锁定期安排的情形。（</w:t>
      </w:r>
      <w:r w:rsidR="002C3526" w:rsidRPr="00DA3766">
        <w:t>5</w:t>
      </w:r>
      <w:r w:rsidR="002C3526" w:rsidRPr="00DA3766">
        <w:t>）陈耿豪、杨凯然、张杰波、胡俊、王佳等十名交易对方在本次交易中获得的上市公司股份自本次发行股份结束之日起</w:t>
      </w:r>
      <w:r w:rsidR="002C3526" w:rsidRPr="00DA3766">
        <w:t>12</w:t>
      </w:r>
      <w:r w:rsidR="002C3526" w:rsidRPr="00DA3766">
        <w:t>个月内不得转让、上市交易，且根据业绩承诺实现情况分期解锁；南通成为常青股权投资合伙企业（有限合伙）（以下简称南通成为常青）等交易对方因属于私募基金，对于其用于认购股份的资产持续拥有权益的时间已满</w:t>
      </w:r>
      <w:r w:rsidR="002C3526" w:rsidRPr="00DA3766">
        <w:t>48</w:t>
      </w:r>
      <w:r w:rsidR="002C3526" w:rsidRPr="00DA3766">
        <w:t>个月的，就本次交易中基于该部分标的资产取得的上市公司新增股份自本次发行股份结束之日起</w:t>
      </w:r>
      <w:r w:rsidR="002C3526" w:rsidRPr="00DA3766">
        <w:t>6</w:t>
      </w:r>
      <w:r w:rsidR="002C3526" w:rsidRPr="00DA3766">
        <w:t>个月内不得转让、上市交易。（</w:t>
      </w:r>
      <w:r w:rsidR="002C3526" w:rsidRPr="00DA3766">
        <w:t>6</w:t>
      </w:r>
      <w:r w:rsidR="002C3526" w:rsidRPr="00DA3766">
        <w:t>）</w:t>
      </w:r>
      <w:r w:rsidR="002C3526" w:rsidRPr="00DA3766">
        <w:t>2025</w:t>
      </w:r>
      <w:r w:rsidR="002C3526" w:rsidRPr="00DA3766">
        <w:t>年</w:t>
      </w:r>
      <w:r w:rsidR="002C3526" w:rsidRPr="00DA3766">
        <w:t>6</w:t>
      </w:r>
      <w:r w:rsidR="002C3526" w:rsidRPr="00DA3766">
        <w:t>月，杨凯然、张杰波、胡俊、王佳四名标的资产管理层将其原通过员工持股平台间接持有的标的资产股权转换为由其各自直接持股。（</w:t>
      </w:r>
      <w:r w:rsidR="002C3526" w:rsidRPr="00DA3766">
        <w:t>7</w:t>
      </w:r>
      <w:r w:rsidR="002C3526" w:rsidRPr="00DA3766">
        <w:t>）马学沛在配套募集资金中认购的上市公司股份，自该等股份发行结束之日起</w:t>
      </w:r>
      <w:r w:rsidR="002C3526" w:rsidRPr="00DA3766">
        <w:t>18</w:t>
      </w:r>
      <w:r w:rsidR="002C3526" w:rsidRPr="00DA3766">
        <w:t>个月内不得转让</w:t>
      </w:r>
      <w:r w:rsidRPr="00DA3766">
        <w:t>。</w:t>
      </w:r>
    </w:p>
    <w:p w14:paraId="4AE05515" w14:textId="348A218A" w:rsidR="00E93DA8" w:rsidRPr="00DA3766" w:rsidRDefault="00E93DA8" w:rsidP="00E93DA8">
      <w:pPr>
        <w:pStyle w:val="0050"/>
        <w:spacing w:before="120" w:after="120"/>
        <w:ind w:firstLine="480"/>
      </w:pPr>
      <w:r w:rsidRPr="00DA3766">
        <w:t>请上市公司补充披露：</w:t>
      </w:r>
      <w:r w:rsidR="002C3526" w:rsidRPr="00DA3766">
        <w:t>（</w:t>
      </w:r>
      <w:r w:rsidR="002C3526" w:rsidRPr="00DA3766">
        <w:t>1</w:t>
      </w:r>
      <w:r w:rsidR="002C3526" w:rsidRPr="00DA3766">
        <w:t>）结合相关交易对方具体从事的经营业务、持有其他股权投资、控制的下属企业等情况，补充披露相关交易对方是否专为本次交易设立，如是，补充披露相关锁定安排是否合规。（</w:t>
      </w:r>
      <w:r w:rsidR="002C3526" w:rsidRPr="00DA3766">
        <w:t>2</w:t>
      </w:r>
      <w:r w:rsidR="002C3526" w:rsidRPr="00DA3766">
        <w:t>）按照《</w:t>
      </w:r>
      <w:r w:rsidR="002C3526" w:rsidRPr="00DA3766">
        <w:t>26</w:t>
      </w:r>
      <w:r w:rsidR="002C3526" w:rsidRPr="00DA3766">
        <w:t>号准则》的有关规定，全面披露相关交易对方的历史沿革及产权控制关系，并结合交易对方的穿透披露情况补充披露穿透计算后总人数是否符合《证券法》发行对象不超过</w:t>
      </w:r>
      <w:r w:rsidR="002C3526" w:rsidRPr="00DA3766">
        <w:t>200</w:t>
      </w:r>
      <w:r w:rsidR="002C3526" w:rsidRPr="00DA3766">
        <w:t>名的相关规定，标的资产是否符合《非上市公众公司监管指引第</w:t>
      </w:r>
      <w:r w:rsidR="002C3526" w:rsidRPr="00DA3766">
        <w:t>4</w:t>
      </w:r>
      <w:r w:rsidR="002C3526" w:rsidRPr="00DA3766">
        <w:t>号</w:t>
      </w:r>
      <w:r w:rsidR="002C3526" w:rsidRPr="00DA3766">
        <w:t>—</w:t>
      </w:r>
      <w:r w:rsidR="002C3526" w:rsidRPr="00DA3766">
        <w:t>股东人数超过</w:t>
      </w:r>
      <w:r w:rsidR="002C3526" w:rsidRPr="00DA3766">
        <w:t>200</w:t>
      </w:r>
      <w:r w:rsidR="002C3526" w:rsidRPr="00DA3766">
        <w:t>人的未上市股份有限公司申请行政许可有关问题的审核指引》等相关规定。（</w:t>
      </w:r>
      <w:r w:rsidR="002C3526" w:rsidRPr="00DA3766">
        <w:t>3</w:t>
      </w:r>
      <w:r w:rsidR="002C3526" w:rsidRPr="00DA3766">
        <w:t>）结合相关法律法规及合伙企业具体协议条款，补充披露针对广发信德科文存续期短于锁定期的情形拟采取的具体措施及有效性。（</w:t>
      </w:r>
      <w:r w:rsidR="002C3526" w:rsidRPr="00DA3766">
        <w:t>4</w:t>
      </w:r>
      <w:r w:rsidR="002C3526" w:rsidRPr="00DA3766">
        <w:t>）详细列示</w:t>
      </w:r>
      <w:r w:rsidR="002C3526" w:rsidRPr="00DA3766">
        <w:lastRenderedPageBreak/>
        <w:t>相关交易对方的持有标的资产权益的具体情况和持续持有时间，本次获得股份的具体情况及锁定期，相关锁定期安排是否符合《重组办法》第四十七条的规定。（</w:t>
      </w:r>
      <w:r w:rsidR="002C3526" w:rsidRPr="00DA3766">
        <w:t>5</w:t>
      </w:r>
      <w:r w:rsidR="002C3526" w:rsidRPr="00DA3766">
        <w:t>）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w:t>
      </w:r>
      <w:r w:rsidR="002C3526" w:rsidRPr="00DA3766">
        <w:t>6</w:t>
      </w:r>
      <w:r w:rsidR="002C3526" w:rsidRPr="00DA3766">
        <w:t>）上市公司实际控制人持有上市公司股份的相关锁定期安排是否符合《</w:t>
      </w:r>
      <w:bookmarkStart w:id="187" w:name="OLE_LINK15"/>
      <w:r w:rsidR="002C3526" w:rsidRPr="00DA3766">
        <w:t>上市公司收购管理办法</w:t>
      </w:r>
      <w:bookmarkEnd w:id="187"/>
      <w:r w:rsidR="002C3526" w:rsidRPr="00DA3766">
        <w:t>》第七十四条的规定</w:t>
      </w:r>
      <w:r w:rsidRPr="00DA3766">
        <w:t>。</w:t>
      </w:r>
    </w:p>
    <w:p w14:paraId="25EB1367" w14:textId="6CD025F6" w:rsidR="00E93DA8" w:rsidRPr="00DA3766" w:rsidRDefault="002C3526" w:rsidP="00E93DA8">
      <w:pPr>
        <w:pStyle w:val="0050"/>
        <w:spacing w:before="120" w:after="120"/>
        <w:ind w:firstLine="480"/>
      </w:pPr>
      <w:r w:rsidRPr="00DA3766">
        <w:t>请独立财务顾问和律师核查并发表明确意见</w:t>
      </w:r>
      <w:r w:rsidR="00E93DA8" w:rsidRPr="00DA3766">
        <w:t>。</w:t>
      </w:r>
    </w:p>
    <w:p w14:paraId="46541D3A" w14:textId="77777777" w:rsidR="00E93DA8" w:rsidRPr="00DA3766" w:rsidRDefault="00E93DA8" w:rsidP="00E93DA8">
      <w:pPr>
        <w:pStyle w:val="005"/>
        <w:spacing w:before="120" w:after="120"/>
        <w:ind w:firstLine="480"/>
      </w:pPr>
      <w:r w:rsidRPr="00DA3766">
        <w:t>【回复】</w:t>
      </w:r>
    </w:p>
    <w:p w14:paraId="23F20680" w14:textId="6B3B232E" w:rsidR="00E93DA8" w:rsidRPr="00DA3766" w:rsidRDefault="00A661C3" w:rsidP="00A661C3">
      <w:pPr>
        <w:pStyle w:val="002"/>
        <w:spacing w:before="120" w:after="120"/>
        <w:ind w:firstLineChars="0" w:firstLine="482"/>
      </w:pPr>
      <w:r w:rsidRPr="00DA3766">
        <w:rPr>
          <w:b w:val="0"/>
          <w:bCs w:val="0"/>
        </w:rPr>
        <w:t>一、</w:t>
      </w:r>
      <w:bookmarkStart w:id="188" w:name="_Hlk219327675"/>
      <w:r w:rsidRPr="00DA3766">
        <w:t>结合相关交易对方具体从事的经营业务、持有其他股权投资、控制的下属企业等情况，补充披露相关交易对方是否专为本次交易设立，如是，补充披露相关锁定安排是否合规</w:t>
      </w:r>
      <w:bookmarkEnd w:id="188"/>
      <w:r w:rsidRPr="00DA3766">
        <w:t>。</w:t>
      </w:r>
    </w:p>
    <w:p w14:paraId="27381106" w14:textId="67178ECB" w:rsidR="00A661C3" w:rsidRPr="00DA3766" w:rsidRDefault="002372DE" w:rsidP="00C3042A">
      <w:pPr>
        <w:pStyle w:val="005"/>
        <w:spacing w:before="120" w:after="120"/>
        <w:ind w:firstLine="480"/>
        <w:rPr>
          <w:snapToGrid w:val="0"/>
        </w:rPr>
      </w:pPr>
      <w:bookmarkStart w:id="189" w:name="_Hlk219327711"/>
      <w:r w:rsidRPr="00DA3766">
        <w:rPr>
          <w:snapToGrid w:val="0"/>
        </w:rPr>
        <w:t>截至本回复出具之日，本次交易中非自然人交易对方成立时间、首次入股标的资产时间、具体从事的经营业务、持有其他股权投资、控制的下属企业、是否专为本次交易设立等情况如下表所示</w:t>
      </w:r>
      <w:r w:rsidR="00A661C3" w:rsidRPr="00DA3766">
        <w:rPr>
          <w:snapToGrid w:val="0"/>
        </w:rPr>
        <w:t>：</w:t>
      </w:r>
    </w:p>
    <w:tbl>
      <w:tblPr>
        <w:tblW w:w="555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25"/>
        <w:gridCol w:w="1033"/>
        <w:gridCol w:w="800"/>
        <w:gridCol w:w="901"/>
        <w:gridCol w:w="1075"/>
        <w:gridCol w:w="1145"/>
        <w:gridCol w:w="3001"/>
        <w:gridCol w:w="1086"/>
      </w:tblGrid>
      <w:tr w:rsidR="007D6CF8" w:rsidRPr="00DA3766" w14:paraId="669A48FC" w14:textId="77777777" w:rsidTr="007F36AF">
        <w:trPr>
          <w:trHeight w:val="397"/>
          <w:tblHeader/>
          <w:jc w:val="center"/>
        </w:trPr>
        <w:tc>
          <w:tcPr>
            <w:tcW w:w="173" w:type="pct"/>
            <w:tcMar>
              <w:top w:w="0" w:type="dxa"/>
              <w:bottom w:w="0" w:type="dxa"/>
            </w:tcMar>
            <w:vAlign w:val="center"/>
          </w:tcPr>
          <w:p w14:paraId="4042329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序号</w:t>
            </w:r>
          </w:p>
        </w:tc>
        <w:tc>
          <w:tcPr>
            <w:tcW w:w="552" w:type="pct"/>
            <w:tcMar>
              <w:top w:w="0" w:type="dxa"/>
              <w:bottom w:w="0" w:type="dxa"/>
            </w:tcMar>
            <w:vAlign w:val="center"/>
          </w:tcPr>
          <w:p w14:paraId="469A8F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交易对方名称</w:t>
            </w:r>
          </w:p>
        </w:tc>
        <w:tc>
          <w:tcPr>
            <w:tcW w:w="427" w:type="pct"/>
            <w:tcMar>
              <w:top w:w="0" w:type="dxa"/>
              <w:bottom w:w="0" w:type="dxa"/>
            </w:tcMar>
            <w:vAlign w:val="center"/>
          </w:tcPr>
          <w:p w14:paraId="6CA2F70D" w14:textId="77777777" w:rsidR="00C93B0F"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成立</w:t>
            </w:r>
          </w:p>
          <w:p w14:paraId="326D319E" w14:textId="42EC986C"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时间</w:t>
            </w:r>
          </w:p>
        </w:tc>
        <w:tc>
          <w:tcPr>
            <w:tcW w:w="481" w:type="pct"/>
            <w:tcMar>
              <w:top w:w="0" w:type="dxa"/>
              <w:bottom w:w="0" w:type="dxa"/>
            </w:tcMar>
            <w:vAlign w:val="center"/>
          </w:tcPr>
          <w:p w14:paraId="055A70F8" w14:textId="77777777" w:rsidR="007F36AF"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首次</w:t>
            </w:r>
          </w:p>
          <w:p w14:paraId="221557D6" w14:textId="79AC8E04"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入股标的资产时间</w:t>
            </w:r>
          </w:p>
        </w:tc>
        <w:tc>
          <w:tcPr>
            <w:tcW w:w="574" w:type="pct"/>
            <w:tcMar>
              <w:top w:w="0" w:type="dxa"/>
              <w:bottom w:w="0" w:type="dxa"/>
            </w:tcMar>
            <w:vAlign w:val="center"/>
          </w:tcPr>
          <w:p w14:paraId="09A033E4" w14:textId="77777777" w:rsidR="00C93B0F"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主营</w:t>
            </w:r>
          </w:p>
          <w:p w14:paraId="27D773A0" w14:textId="61F35E55"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业务</w:t>
            </w:r>
          </w:p>
        </w:tc>
        <w:tc>
          <w:tcPr>
            <w:tcW w:w="611" w:type="pct"/>
            <w:tcMar>
              <w:top w:w="0" w:type="dxa"/>
              <w:bottom w:w="0" w:type="dxa"/>
            </w:tcMar>
            <w:vAlign w:val="center"/>
          </w:tcPr>
          <w:p w14:paraId="0F7B948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是否存在其他对外投资</w:t>
            </w:r>
          </w:p>
        </w:tc>
        <w:tc>
          <w:tcPr>
            <w:tcW w:w="1602" w:type="pct"/>
            <w:tcMar>
              <w:top w:w="0" w:type="dxa"/>
              <w:bottom w:w="0" w:type="dxa"/>
            </w:tcMar>
            <w:vAlign w:val="center"/>
          </w:tcPr>
          <w:p w14:paraId="12FD928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持有其他股权投资及控制下属企业情况</w:t>
            </w:r>
          </w:p>
        </w:tc>
        <w:tc>
          <w:tcPr>
            <w:tcW w:w="580" w:type="pct"/>
            <w:tcMar>
              <w:top w:w="0" w:type="dxa"/>
              <w:bottom w:w="0" w:type="dxa"/>
            </w:tcMar>
            <w:vAlign w:val="center"/>
          </w:tcPr>
          <w:p w14:paraId="24EB013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是否专为本次交易设立</w:t>
            </w:r>
          </w:p>
        </w:tc>
      </w:tr>
      <w:tr w:rsidR="007D6CF8" w:rsidRPr="00DA3766" w14:paraId="7028AD0B" w14:textId="77777777" w:rsidTr="007F36AF">
        <w:trPr>
          <w:trHeight w:val="397"/>
          <w:jc w:val="center"/>
        </w:trPr>
        <w:tc>
          <w:tcPr>
            <w:tcW w:w="173" w:type="pct"/>
            <w:tcMar>
              <w:top w:w="0" w:type="dxa"/>
              <w:bottom w:w="0" w:type="dxa"/>
            </w:tcMar>
            <w:vAlign w:val="center"/>
          </w:tcPr>
          <w:p w14:paraId="47EED99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w:t>
            </w:r>
          </w:p>
        </w:tc>
        <w:tc>
          <w:tcPr>
            <w:tcW w:w="552" w:type="pct"/>
            <w:tcMar>
              <w:top w:w="0" w:type="dxa"/>
              <w:bottom w:w="0" w:type="dxa"/>
            </w:tcMar>
            <w:vAlign w:val="center"/>
          </w:tcPr>
          <w:p w14:paraId="311F55B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林芝利新</w:t>
            </w:r>
          </w:p>
        </w:tc>
        <w:tc>
          <w:tcPr>
            <w:tcW w:w="427" w:type="pct"/>
            <w:tcMar>
              <w:top w:w="0" w:type="dxa"/>
              <w:bottom w:w="0" w:type="dxa"/>
            </w:tcMar>
            <w:vAlign w:val="center"/>
          </w:tcPr>
          <w:p w14:paraId="1A284D1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1722054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F316F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7681F66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72D6689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）持有深圳市藤蔓网络文化发展有限公司</w:t>
            </w:r>
            <w:r w:rsidRPr="00DA3766">
              <w:rPr>
                <w:rFonts w:ascii="Times New Roman" w:hAnsi="Times New Roman" w:cs="Times New Roman"/>
                <w:color w:val="000000"/>
                <w:sz w:val="21"/>
                <w:szCs w:val="21"/>
              </w:rPr>
              <w:t>100%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）持有杭州爱钥医疗健康科技有限公司</w:t>
            </w:r>
            <w:r w:rsidRPr="00DA3766">
              <w:rPr>
                <w:rFonts w:ascii="Times New Roman" w:hAnsi="Times New Roman" w:cs="Times New Roman"/>
                <w:color w:val="000000"/>
                <w:sz w:val="21"/>
                <w:szCs w:val="21"/>
              </w:rPr>
              <w:t>73.41%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）持有北京跃然纸上科技有限公司</w:t>
            </w:r>
            <w:r w:rsidRPr="00DA3766">
              <w:rPr>
                <w:rFonts w:ascii="Times New Roman" w:hAnsi="Times New Roman" w:cs="Times New Roman"/>
                <w:color w:val="000000"/>
                <w:sz w:val="21"/>
                <w:szCs w:val="21"/>
              </w:rPr>
              <w:t>100%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）持有杭州慧钥医疗器械科技有限公司</w:t>
            </w:r>
            <w:r w:rsidRPr="00DA3766">
              <w:rPr>
                <w:rFonts w:ascii="Times New Roman" w:hAnsi="Times New Roman" w:cs="Times New Roman"/>
                <w:color w:val="000000"/>
                <w:sz w:val="21"/>
                <w:szCs w:val="21"/>
              </w:rPr>
              <w:t>29.3658%</w:t>
            </w:r>
            <w:r w:rsidRPr="00DA3766">
              <w:rPr>
                <w:rFonts w:ascii="Times New Roman" w:hAnsi="Times New Roman" w:cs="Times New Roman"/>
                <w:color w:val="000000"/>
                <w:sz w:val="21"/>
                <w:szCs w:val="21"/>
              </w:rPr>
              <w:t>的股权</w:t>
            </w:r>
          </w:p>
        </w:tc>
        <w:tc>
          <w:tcPr>
            <w:tcW w:w="580" w:type="pct"/>
            <w:tcMar>
              <w:top w:w="0" w:type="dxa"/>
              <w:bottom w:w="0" w:type="dxa"/>
            </w:tcMar>
            <w:vAlign w:val="center"/>
          </w:tcPr>
          <w:p w14:paraId="26784C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51FAB7FB" w14:textId="77777777" w:rsidTr="007F36AF">
        <w:trPr>
          <w:trHeight w:val="397"/>
          <w:jc w:val="center"/>
        </w:trPr>
        <w:tc>
          <w:tcPr>
            <w:tcW w:w="173" w:type="pct"/>
            <w:tcMar>
              <w:top w:w="0" w:type="dxa"/>
              <w:bottom w:w="0" w:type="dxa"/>
            </w:tcMar>
            <w:vAlign w:val="center"/>
          </w:tcPr>
          <w:p w14:paraId="6383702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552" w:type="pct"/>
            <w:tcMar>
              <w:top w:w="0" w:type="dxa"/>
              <w:bottom w:w="0" w:type="dxa"/>
            </w:tcMar>
            <w:vAlign w:val="center"/>
          </w:tcPr>
          <w:p w14:paraId="4471D35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南通成为常青</w:t>
            </w:r>
          </w:p>
        </w:tc>
        <w:tc>
          <w:tcPr>
            <w:tcW w:w="427" w:type="pct"/>
            <w:tcMar>
              <w:top w:w="0" w:type="dxa"/>
              <w:bottom w:w="0" w:type="dxa"/>
            </w:tcMar>
            <w:vAlign w:val="center"/>
          </w:tcPr>
          <w:p w14:paraId="5DC5AEA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3C96A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10C339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C2351C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62048AF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）持有上海漾漾文化传播有限公司</w:t>
            </w:r>
            <w:r w:rsidRPr="00DA3766">
              <w:rPr>
                <w:rFonts w:ascii="Times New Roman" w:hAnsi="Times New Roman" w:cs="Times New Roman"/>
                <w:color w:val="000000"/>
                <w:sz w:val="21"/>
                <w:szCs w:val="21"/>
              </w:rPr>
              <w:t>50%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）持有广东思沃先进装备有限公司</w:t>
            </w:r>
            <w:r w:rsidRPr="00DA3766">
              <w:rPr>
                <w:rFonts w:ascii="Times New Roman" w:hAnsi="Times New Roman" w:cs="Times New Roman"/>
                <w:color w:val="000000"/>
                <w:sz w:val="21"/>
                <w:szCs w:val="21"/>
              </w:rPr>
              <w:t>17.6024%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）持有优美特（北京）环境科技股份公司</w:t>
            </w:r>
            <w:r w:rsidRPr="00DA3766">
              <w:rPr>
                <w:rFonts w:ascii="Times New Roman" w:hAnsi="Times New Roman" w:cs="Times New Roman"/>
                <w:color w:val="000000"/>
                <w:sz w:val="21"/>
                <w:szCs w:val="21"/>
              </w:rPr>
              <w:t>15.4551%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）持有西咸新区大熊星座智能科技有限公司</w:t>
            </w:r>
            <w:r w:rsidRPr="00DA3766">
              <w:rPr>
                <w:rFonts w:ascii="Times New Roman" w:hAnsi="Times New Roman" w:cs="Times New Roman"/>
                <w:color w:val="000000"/>
                <w:sz w:val="21"/>
                <w:szCs w:val="21"/>
              </w:rPr>
              <w:t>17.1495%</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635514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365D1B99" w14:textId="77777777" w:rsidTr="007F36AF">
        <w:trPr>
          <w:trHeight w:val="397"/>
          <w:jc w:val="center"/>
        </w:trPr>
        <w:tc>
          <w:tcPr>
            <w:tcW w:w="173" w:type="pct"/>
            <w:tcMar>
              <w:top w:w="0" w:type="dxa"/>
              <w:bottom w:w="0" w:type="dxa"/>
            </w:tcMar>
            <w:vAlign w:val="center"/>
          </w:tcPr>
          <w:p w14:paraId="1A70F89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3</w:t>
            </w:r>
          </w:p>
        </w:tc>
        <w:tc>
          <w:tcPr>
            <w:tcW w:w="552" w:type="pct"/>
            <w:tcMar>
              <w:top w:w="0" w:type="dxa"/>
              <w:bottom w:w="0" w:type="dxa"/>
            </w:tcMar>
            <w:vAlign w:val="center"/>
          </w:tcPr>
          <w:p w14:paraId="7AFE967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广发信德科文</w:t>
            </w:r>
          </w:p>
        </w:tc>
        <w:tc>
          <w:tcPr>
            <w:tcW w:w="427" w:type="pct"/>
            <w:tcMar>
              <w:top w:w="0" w:type="dxa"/>
              <w:bottom w:w="0" w:type="dxa"/>
            </w:tcMar>
            <w:vAlign w:val="center"/>
          </w:tcPr>
          <w:p w14:paraId="13DF67F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CA437A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42F737F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129D63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5D0BE8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）持有上海犇家企业管理合</w:t>
            </w:r>
          </w:p>
          <w:p w14:paraId="2CE82A8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伙企业（有限合伙）</w:t>
            </w:r>
            <w:r w:rsidRPr="00DA3766">
              <w:rPr>
                <w:rFonts w:ascii="Times New Roman" w:hAnsi="Times New Roman" w:cs="Times New Roman"/>
                <w:color w:val="000000"/>
                <w:sz w:val="21"/>
                <w:szCs w:val="21"/>
              </w:rPr>
              <w:t>56.48%</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）持有北京博智天下信息技术有限公司</w:t>
            </w:r>
            <w:r w:rsidRPr="00DA3766">
              <w:rPr>
                <w:rFonts w:ascii="Times New Roman" w:hAnsi="Times New Roman" w:cs="Times New Roman"/>
                <w:color w:val="000000"/>
                <w:sz w:val="21"/>
                <w:szCs w:val="21"/>
              </w:rPr>
              <w:t>9.6549%</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）持有深圳市悠游旅途国际旅游有限公司</w:t>
            </w:r>
            <w:r w:rsidRPr="00DA3766">
              <w:rPr>
                <w:rFonts w:ascii="Times New Roman" w:hAnsi="Times New Roman" w:cs="Times New Roman"/>
                <w:color w:val="000000"/>
                <w:sz w:val="21"/>
                <w:szCs w:val="21"/>
              </w:rPr>
              <w:t>7.1442%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61B34B5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7A1B9F7" w14:textId="77777777" w:rsidTr="007F36AF">
        <w:trPr>
          <w:trHeight w:val="397"/>
          <w:jc w:val="center"/>
        </w:trPr>
        <w:tc>
          <w:tcPr>
            <w:tcW w:w="173" w:type="pct"/>
            <w:tcMar>
              <w:top w:w="0" w:type="dxa"/>
              <w:bottom w:w="0" w:type="dxa"/>
            </w:tcMar>
            <w:vAlign w:val="center"/>
          </w:tcPr>
          <w:p w14:paraId="2CF886C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552" w:type="pct"/>
            <w:tcMar>
              <w:top w:w="0" w:type="dxa"/>
              <w:bottom w:w="0" w:type="dxa"/>
            </w:tcMar>
            <w:vAlign w:val="center"/>
          </w:tcPr>
          <w:p w14:paraId="5556B9E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苏州市德同合心</w:t>
            </w:r>
          </w:p>
        </w:tc>
        <w:tc>
          <w:tcPr>
            <w:tcW w:w="427" w:type="pct"/>
            <w:tcMar>
              <w:top w:w="0" w:type="dxa"/>
              <w:bottom w:w="0" w:type="dxa"/>
            </w:tcMar>
            <w:vAlign w:val="center"/>
          </w:tcPr>
          <w:p w14:paraId="7B27F08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643115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5FCBCD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1BE4C76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32C3026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）持有天津德雅企业管理咨询合伙企业（有限合伙）</w:t>
            </w:r>
            <w:r w:rsidRPr="00DA3766">
              <w:rPr>
                <w:rFonts w:ascii="Times New Roman" w:hAnsi="Times New Roman" w:cs="Times New Roman"/>
                <w:color w:val="000000"/>
                <w:sz w:val="21"/>
                <w:szCs w:val="21"/>
              </w:rPr>
              <w:t>99.93%</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）持有德绚（上海）企业管理中心（有限合伙）</w:t>
            </w:r>
            <w:r w:rsidRPr="00DA3766">
              <w:rPr>
                <w:rFonts w:ascii="Times New Roman" w:hAnsi="Times New Roman" w:cs="Times New Roman"/>
                <w:color w:val="000000"/>
                <w:sz w:val="21"/>
                <w:szCs w:val="21"/>
              </w:rPr>
              <w:t>99.994%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）持有上海德始企业管理合伙企业（有限合伙）</w:t>
            </w:r>
            <w:r w:rsidRPr="00DA3766">
              <w:rPr>
                <w:rFonts w:ascii="Times New Roman" w:hAnsi="Times New Roman" w:cs="Times New Roman"/>
                <w:color w:val="000000"/>
                <w:sz w:val="21"/>
                <w:szCs w:val="21"/>
              </w:rPr>
              <w:t>99.97%</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）持有新余德坤投资合伙企业（有限合伙）</w:t>
            </w:r>
            <w:r w:rsidRPr="00DA3766">
              <w:rPr>
                <w:rFonts w:ascii="Times New Roman" w:hAnsi="Times New Roman" w:cs="Times New Roman"/>
                <w:color w:val="000000"/>
                <w:sz w:val="21"/>
                <w:szCs w:val="21"/>
              </w:rPr>
              <w:t>20%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）持有合肥中恒微半导体有限公司</w:t>
            </w:r>
            <w:r w:rsidRPr="00DA3766">
              <w:rPr>
                <w:rFonts w:ascii="Times New Roman" w:hAnsi="Times New Roman" w:cs="Times New Roman"/>
                <w:color w:val="000000"/>
                <w:sz w:val="21"/>
                <w:szCs w:val="21"/>
              </w:rPr>
              <w:t>19.6001%</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E3FFB8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990E15E" w14:textId="77777777" w:rsidTr="007F36AF">
        <w:trPr>
          <w:trHeight w:val="397"/>
          <w:jc w:val="center"/>
        </w:trPr>
        <w:tc>
          <w:tcPr>
            <w:tcW w:w="173" w:type="pct"/>
            <w:tcMar>
              <w:top w:w="0" w:type="dxa"/>
              <w:bottom w:w="0" w:type="dxa"/>
            </w:tcMar>
            <w:vAlign w:val="center"/>
          </w:tcPr>
          <w:p w14:paraId="12683B0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552" w:type="pct"/>
            <w:tcMar>
              <w:top w:w="0" w:type="dxa"/>
              <w:bottom w:w="0" w:type="dxa"/>
            </w:tcMar>
            <w:vAlign w:val="center"/>
          </w:tcPr>
          <w:p w14:paraId="43AD76F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c>
          <w:tcPr>
            <w:tcW w:w="427" w:type="pct"/>
            <w:tcMar>
              <w:top w:w="0" w:type="dxa"/>
              <w:bottom w:w="0" w:type="dxa"/>
            </w:tcMar>
            <w:vAlign w:val="center"/>
          </w:tcPr>
          <w:p w14:paraId="70B9285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8</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A4D3F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096D16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44ED36E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5B5F78B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78A6943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3CA5B32" w14:textId="77777777" w:rsidTr="007F36AF">
        <w:trPr>
          <w:trHeight w:val="397"/>
          <w:jc w:val="center"/>
        </w:trPr>
        <w:tc>
          <w:tcPr>
            <w:tcW w:w="173" w:type="pct"/>
            <w:tcMar>
              <w:top w:w="0" w:type="dxa"/>
              <w:bottom w:w="0" w:type="dxa"/>
            </w:tcMar>
            <w:vAlign w:val="center"/>
          </w:tcPr>
          <w:p w14:paraId="36228F7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w:t>
            </w:r>
          </w:p>
        </w:tc>
        <w:tc>
          <w:tcPr>
            <w:tcW w:w="552" w:type="pct"/>
            <w:tcMar>
              <w:top w:w="0" w:type="dxa"/>
              <w:bottom w:w="0" w:type="dxa"/>
            </w:tcMar>
            <w:vAlign w:val="center"/>
          </w:tcPr>
          <w:p w14:paraId="66E6AA8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璀璨远见</w:t>
            </w:r>
          </w:p>
        </w:tc>
        <w:tc>
          <w:tcPr>
            <w:tcW w:w="427" w:type="pct"/>
            <w:tcMar>
              <w:top w:w="0" w:type="dxa"/>
              <w:bottom w:w="0" w:type="dxa"/>
            </w:tcMar>
            <w:vAlign w:val="center"/>
          </w:tcPr>
          <w:p w14:paraId="3A292F9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11</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5913D4A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8D1DCD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5612EE1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2F44C01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）持有深圳市途林科技有限公司</w:t>
            </w:r>
            <w:r w:rsidRPr="00DA3766">
              <w:rPr>
                <w:rFonts w:ascii="Times New Roman" w:hAnsi="Times New Roman" w:cs="Times New Roman"/>
                <w:color w:val="000000"/>
                <w:sz w:val="21"/>
                <w:szCs w:val="21"/>
              </w:rPr>
              <w:t>13.0385%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）持有天纳（北京）文化娱乐有限公司</w:t>
            </w:r>
            <w:r w:rsidRPr="00DA3766">
              <w:rPr>
                <w:rFonts w:ascii="Times New Roman" w:hAnsi="Times New Roman" w:cs="Times New Roman"/>
                <w:color w:val="000000"/>
                <w:sz w:val="21"/>
                <w:szCs w:val="21"/>
              </w:rPr>
              <w:t>12.5%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）持有上海我讲教育科技有限公司</w:t>
            </w:r>
            <w:r w:rsidRPr="00DA3766">
              <w:rPr>
                <w:rFonts w:ascii="Times New Roman" w:hAnsi="Times New Roman" w:cs="Times New Roman"/>
                <w:color w:val="000000"/>
                <w:sz w:val="21"/>
                <w:szCs w:val="21"/>
              </w:rPr>
              <w:t>4.9996%</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B8A4D7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8E2CBB3" w14:textId="77777777" w:rsidTr="007F36AF">
        <w:trPr>
          <w:trHeight w:val="397"/>
          <w:jc w:val="center"/>
        </w:trPr>
        <w:tc>
          <w:tcPr>
            <w:tcW w:w="173" w:type="pct"/>
            <w:tcMar>
              <w:top w:w="0" w:type="dxa"/>
              <w:bottom w:w="0" w:type="dxa"/>
            </w:tcMar>
            <w:vAlign w:val="center"/>
          </w:tcPr>
          <w:p w14:paraId="051950F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w:t>
            </w:r>
          </w:p>
        </w:tc>
        <w:tc>
          <w:tcPr>
            <w:tcW w:w="552" w:type="pct"/>
            <w:tcMar>
              <w:top w:w="0" w:type="dxa"/>
              <w:bottom w:w="0" w:type="dxa"/>
            </w:tcMar>
            <w:vAlign w:val="center"/>
          </w:tcPr>
          <w:p w14:paraId="3744490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c>
          <w:tcPr>
            <w:tcW w:w="427" w:type="pct"/>
            <w:tcMar>
              <w:top w:w="0" w:type="dxa"/>
              <w:bottom w:w="0" w:type="dxa"/>
            </w:tcMar>
            <w:vAlign w:val="center"/>
          </w:tcPr>
          <w:p w14:paraId="51B38D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053EB0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E6B770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5BC2368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44B219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7F94C1F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D37ECBD" w14:textId="77777777" w:rsidTr="007F36AF">
        <w:trPr>
          <w:trHeight w:val="397"/>
          <w:jc w:val="center"/>
        </w:trPr>
        <w:tc>
          <w:tcPr>
            <w:tcW w:w="173" w:type="pct"/>
            <w:tcMar>
              <w:top w:w="0" w:type="dxa"/>
              <w:bottom w:w="0" w:type="dxa"/>
            </w:tcMar>
            <w:vAlign w:val="center"/>
          </w:tcPr>
          <w:p w14:paraId="7FAD3BE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w:t>
            </w:r>
          </w:p>
        </w:tc>
        <w:tc>
          <w:tcPr>
            <w:tcW w:w="552" w:type="pct"/>
            <w:tcMar>
              <w:top w:w="0" w:type="dxa"/>
              <w:bottom w:w="0" w:type="dxa"/>
            </w:tcMar>
            <w:vAlign w:val="center"/>
          </w:tcPr>
          <w:p w14:paraId="33E0481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c>
          <w:tcPr>
            <w:tcW w:w="427" w:type="pct"/>
            <w:tcMar>
              <w:top w:w="0" w:type="dxa"/>
              <w:bottom w:w="0" w:type="dxa"/>
            </w:tcMar>
            <w:vAlign w:val="center"/>
          </w:tcPr>
          <w:p w14:paraId="3E3A6A4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620D04E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8</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2882189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21F535D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571E3CC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3E0FBF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3F5A8F2" w14:textId="77777777" w:rsidTr="007F36AF">
        <w:trPr>
          <w:trHeight w:val="397"/>
          <w:jc w:val="center"/>
        </w:trPr>
        <w:tc>
          <w:tcPr>
            <w:tcW w:w="173" w:type="pct"/>
            <w:tcMar>
              <w:top w:w="0" w:type="dxa"/>
              <w:bottom w:w="0" w:type="dxa"/>
            </w:tcMar>
            <w:vAlign w:val="center"/>
          </w:tcPr>
          <w:p w14:paraId="6581F9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w:t>
            </w:r>
          </w:p>
        </w:tc>
        <w:tc>
          <w:tcPr>
            <w:tcW w:w="552" w:type="pct"/>
            <w:tcMar>
              <w:top w:w="0" w:type="dxa"/>
              <w:bottom w:w="0" w:type="dxa"/>
            </w:tcMar>
            <w:vAlign w:val="center"/>
          </w:tcPr>
          <w:p w14:paraId="46538A8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深圳市前海千意智合三期</w:t>
            </w:r>
          </w:p>
        </w:tc>
        <w:tc>
          <w:tcPr>
            <w:tcW w:w="427" w:type="pct"/>
            <w:tcMar>
              <w:top w:w="0" w:type="dxa"/>
              <w:bottom w:w="0" w:type="dxa"/>
            </w:tcMar>
            <w:vAlign w:val="center"/>
          </w:tcPr>
          <w:p w14:paraId="0DF7525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641E84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1CF46B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07D80D1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067AA01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295D864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60E29358" w14:textId="77777777" w:rsidTr="007F36AF">
        <w:trPr>
          <w:trHeight w:val="397"/>
          <w:jc w:val="center"/>
        </w:trPr>
        <w:tc>
          <w:tcPr>
            <w:tcW w:w="173" w:type="pct"/>
            <w:tcMar>
              <w:top w:w="0" w:type="dxa"/>
              <w:bottom w:w="0" w:type="dxa"/>
            </w:tcMar>
            <w:vAlign w:val="center"/>
          </w:tcPr>
          <w:p w14:paraId="025EF34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w:t>
            </w:r>
          </w:p>
        </w:tc>
        <w:tc>
          <w:tcPr>
            <w:tcW w:w="552" w:type="pct"/>
            <w:tcMar>
              <w:top w:w="0" w:type="dxa"/>
              <w:bottom w:w="0" w:type="dxa"/>
            </w:tcMar>
            <w:vAlign w:val="center"/>
          </w:tcPr>
          <w:p w14:paraId="0FA6C5F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c>
          <w:tcPr>
            <w:tcW w:w="427" w:type="pct"/>
            <w:tcMar>
              <w:top w:w="0" w:type="dxa"/>
              <w:bottom w:w="0" w:type="dxa"/>
            </w:tcMar>
            <w:vAlign w:val="center"/>
          </w:tcPr>
          <w:p w14:paraId="0C04E41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32AFAEB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8CE39D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3A8E7A2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06F1CE3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0581D5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6315175" w14:textId="77777777" w:rsidTr="007F36AF">
        <w:trPr>
          <w:trHeight w:val="397"/>
          <w:jc w:val="center"/>
        </w:trPr>
        <w:tc>
          <w:tcPr>
            <w:tcW w:w="173" w:type="pct"/>
            <w:tcMar>
              <w:top w:w="0" w:type="dxa"/>
              <w:bottom w:w="0" w:type="dxa"/>
            </w:tcMar>
            <w:vAlign w:val="center"/>
          </w:tcPr>
          <w:p w14:paraId="6F3B72E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w:t>
            </w:r>
          </w:p>
        </w:tc>
        <w:tc>
          <w:tcPr>
            <w:tcW w:w="552" w:type="pct"/>
            <w:tcMar>
              <w:top w:w="0" w:type="dxa"/>
              <w:bottom w:w="0" w:type="dxa"/>
            </w:tcMar>
            <w:vAlign w:val="center"/>
          </w:tcPr>
          <w:p w14:paraId="56B4034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广发信德二期</w:t>
            </w:r>
          </w:p>
        </w:tc>
        <w:tc>
          <w:tcPr>
            <w:tcW w:w="427" w:type="pct"/>
            <w:tcMar>
              <w:top w:w="0" w:type="dxa"/>
              <w:bottom w:w="0" w:type="dxa"/>
            </w:tcMar>
            <w:vAlign w:val="center"/>
          </w:tcPr>
          <w:p w14:paraId="52ED87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2019</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D73AD0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9C312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BB55A8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675DCF6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）持有广州晖印科技有限公司</w:t>
            </w:r>
            <w:r w:rsidRPr="00DA3766">
              <w:rPr>
                <w:rFonts w:ascii="Times New Roman" w:hAnsi="Times New Roman" w:cs="Times New Roman"/>
                <w:color w:val="000000"/>
                <w:sz w:val="21"/>
                <w:szCs w:val="21"/>
              </w:rPr>
              <w:t>24.5893%</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）持有广州萌趣文化创意有限公司</w:t>
            </w:r>
            <w:r w:rsidRPr="00DA3766">
              <w:rPr>
                <w:rFonts w:ascii="Times New Roman" w:hAnsi="Times New Roman" w:cs="Times New Roman"/>
                <w:color w:val="000000"/>
                <w:sz w:val="21"/>
                <w:szCs w:val="21"/>
              </w:rPr>
              <w:t>14.8364%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）持有广东九四智能科技有限公司</w:t>
            </w:r>
            <w:r w:rsidRPr="00DA3766">
              <w:rPr>
                <w:rFonts w:ascii="Times New Roman" w:hAnsi="Times New Roman" w:cs="Times New Roman"/>
                <w:color w:val="000000"/>
                <w:sz w:val="21"/>
                <w:szCs w:val="21"/>
              </w:rPr>
              <w:t>14.1232%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14EA28F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DF7F5FF" w14:textId="77777777" w:rsidTr="007F36AF">
        <w:trPr>
          <w:trHeight w:val="397"/>
          <w:jc w:val="center"/>
        </w:trPr>
        <w:tc>
          <w:tcPr>
            <w:tcW w:w="173" w:type="pct"/>
            <w:tcMar>
              <w:top w:w="0" w:type="dxa"/>
              <w:bottom w:w="0" w:type="dxa"/>
            </w:tcMar>
            <w:vAlign w:val="center"/>
          </w:tcPr>
          <w:p w14:paraId="5D0EE04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w:t>
            </w:r>
          </w:p>
        </w:tc>
        <w:tc>
          <w:tcPr>
            <w:tcW w:w="552" w:type="pct"/>
            <w:tcMar>
              <w:top w:w="0" w:type="dxa"/>
              <w:bottom w:w="0" w:type="dxa"/>
            </w:tcMar>
            <w:vAlign w:val="center"/>
          </w:tcPr>
          <w:p w14:paraId="1EBED7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璀璨德商</w:t>
            </w:r>
          </w:p>
        </w:tc>
        <w:tc>
          <w:tcPr>
            <w:tcW w:w="427" w:type="pct"/>
            <w:tcMar>
              <w:top w:w="0" w:type="dxa"/>
              <w:bottom w:w="0" w:type="dxa"/>
            </w:tcMar>
            <w:vAlign w:val="center"/>
          </w:tcPr>
          <w:p w14:paraId="1A5DAC2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16A1400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43226F2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1B0E71B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142CAD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）持有深圳劲鑫科技股份有限公司</w:t>
            </w:r>
            <w:r w:rsidRPr="00DA3766">
              <w:rPr>
                <w:rFonts w:ascii="Times New Roman" w:hAnsi="Times New Roman" w:cs="Times New Roman"/>
                <w:color w:val="000000"/>
                <w:sz w:val="21"/>
                <w:szCs w:val="21"/>
              </w:rPr>
              <w:t>1.4272%</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lastRenderedPageBreak/>
              <w:t>持有上海我讲教育科技有限公司</w:t>
            </w:r>
            <w:r w:rsidRPr="00DA3766">
              <w:rPr>
                <w:rFonts w:ascii="Times New Roman" w:hAnsi="Times New Roman" w:cs="Times New Roman"/>
                <w:color w:val="000000"/>
                <w:sz w:val="21"/>
                <w:szCs w:val="21"/>
              </w:rPr>
              <w:t>4.9996%</w:t>
            </w:r>
            <w:r w:rsidRPr="00DA3766">
              <w:rPr>
                <w:rFonts w:ascii="Times New Roman" w:hAnsi="Times New Roman" w:cs="Times New Roman"/>
                <w:color w:val="000000"/>
                <w:sz w:val="21"/>
                <w:szCs w:val="21"/>
              </w:rPr>
              <w:t>的股权</w:t>
            </w:r>
          </w:p>
        </w:tc>
        <w:tc>
          <w:tcPr>
            <w:tcW w:w="580" w:type="pct"/>
            <w:tcMar>
              <w:top w:w="0" w:type="dxa"/>
              <w:bottom w:w="0" w:type="dxa"/>
            </w:tcMar>
            <w:vAlign w:val="center"/>
          </w:tcPr>
          <w:p w14:paraId="110EC06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否</w:t>
            </w:r>
          </w:p>
        </w:tc>
      </w:tr>
      <w:tr w:rsidR="007D6CF8" w:rsidRPr="00DA3766" w14:paraId="2B8F8B09" w14:textId="77777777" w:rsidTr="007F36AF">
        <w:trPr>
          <w:trHeight w:val="397"/>
          <w:jc w:val="center"/>
        </w:trPr>
        <w:tc>
          <w:tcPr>
            <w:tcW w:w="173" w:type="pct"/>
            <w:tcMar>
              <w:top w:w="0" w:type="dxa"/>
              <w:bottom w:w="0" w:type="dxa"/>
            </w:tcMar>
            <w:vAlign w:val="center"/>
          </w:tcPr>
          <w:p w14:paraId="2CA53BE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w:t>
            </w:r>
          </w:p>
        </w:tc>
        <w:tc>
          <w:tcPr>
            <w:tcW w:w="552" w:type="pct"/>
            <w:tcMar>
              <w:top w:w="0" w:type="dxa"/>
              <w:bottom w:w="0" w:type="dxa"/>
            </w:tcMar>
            <w:vAlign w:val="center"/>
          </w:tcPr>
          <w:p w14:paraId="59F73DD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广州信德创业营</w:t>
            </w:r>
          </w:p>
        </w:tc>
        <w:tc>
          <w:tcPr>
            <w:tcW w:w="427" w:type="pct"/>
            <w:tcMar>
              <w:top w:w="0" w:type="dxa"/>
              <w:bottom w:w="0" w:type="dxa"/>
            </w:tcMar>
            <w:vAlign w:val="center"/>
          </w:tcPr>
          <w:p w14:paraId="7D0D55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39B9F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448246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5EAA5F3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4914616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）持有上海犇家企业管理合</w:t>
            </w:r>
          </w:p>
          <w:p w14:paraId="2DE8A54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伙企业（有限合伙）</w:t>
            </w:r>
            <w:r w:rsidRPr="00DA3766">
              <w:rPr>
                <w:rFonts w:ascii="Times New Roman" w:hAnsi="Times New Roman" w:cs="Times New Roman"/>
                <w:color w:val="000000"/>
                <w:sz w:val="21"/>
                <w:szCs w:val="21"/>
              </w:rPr>
              <w:t>38.524%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）持有广东高航知识产权运营有限公司</w:t>
            </w:r>
            <w:r w:rsidRPr="00DA3766">
              <w:rPr>
                <w:rFonts w:ascii="Times New Roman" w:hAnsi="Times New Roman" w:cs="Times New Roman"/>
                <w:color w:val="000000"/>
                <w:sz w:val="21"/>
                <w:szCs w:val="21"/>
              </w:rPr>
              <w:t>12.7632%</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）持有广州纽诺教育科技有限公司</w:t>
            </w:r>
            <w:r w:rsidRPr="00DA3766">
              <w:rPr>
                <w:rFonts w:ascii="Times New Roman" w:hAnsi="Times New Roman" w:cs="Times New Roman"/>
                <w:color w:val="000000"/>
                <w:sz w:val="21"/>
                <w:szCs w:val="21"/>
              </w:rPr>
              <w:t>9.92%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511848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CE6AD56" w14:textId="77777777" w:rsidTr="007F36AF">
        <w:trPr>
          <w:trHeight w:val="397"/>
          <w:jc w:val="center"/>
        </w:trPr>
        <w:tc>
          <w:tcPr>
            <w:tcW w:w="173" w:type="pct"/>
            <w:tcMar>
              <w:top w:w="0" w:type="dxa"/>
              <w:bottom w:w="0" w:type="dxa"/>
            </w:tcMar>
            <w:vAlign w:val="center"/>
          </w:tcPr>
          <w:p w14:paraId="3CD599F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w:t>
            </w:r>
          </w:p>
        </w:tc>
        <w:tc>
          <w:tcPr>
            <w:tcW w:w="552" w:type="pct"/>
            <w:tcMar>
              <w:top w:w="0" w:type="dxa"/>
              <w:bottom w:w="0" w:type="dxa"/>
            </w:tcMar>
            <w:vAlign w:val="center"/>
          </w:tcPr>
          <w:p w14:paraId="6981177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乐摇</w:t>
            </w:r>
          </w:p>
        </w:tc>
        <w:tc>
          <w:tcPr>
            <w:tcW w:w="427" w:type="pct"/>
            <w:tcMar>
              <w:top w:w="0" w:type="dxa"/>
              <w:bottom w:w="0" w:type="dxa"/>
            </w:tcMar>
            <w:vAlign w:val="center"/>
          </w:tcPr>
          <w:p w14:paraId="186EE01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096B4D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0A516B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3866412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45DD5B1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57FD56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36FC43AC" w14:textId="77777777" w:rsidTr="007F36AF">
        <w:trPr>
          <w:trHeight w:val="397"/>
          <w:jc w:val="center"/>
        </w:trPr>
        <w:tc>
          <w:tcPr>
            <w:tcW w:w="173" w:type="pct"/>
            <w:tcMar>
              <w:top w:w="0" w:type="dxa"/>
              <w:bottom w:w="0" w:type="dxa"/>
            </w:tcMar>
            <w:vAlign w:val="center"/>
          </w:tcPr>
          <w:p w14:paraId="289492A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w:t>
            </w:r>
          </w:p>
        </w:tc>
        <w:tc>
          <w:tcPr>
            <w:tcW w:w="552" w:type="pct"/>
            <w:tcMar>
              <w:top w:w="0" w:type="dxa"/>
              <w:bottom w:w="0" w:type="dxa"/>
            </w:tcMar>
            <w:vAlign w:val="center"/>
          </w:tcPr>
          <w:p w14:paraId="66CA3B3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w:t>
            </w:r>
          </w:p>
        </w:tc>
        <w:tc>
          <w:tcPr>
            <w:tcW w:w="427" w:type="pct"/>
            <w:tcMar>
              <w:top w:w="0" w:type="dxa"/>
              <w:bottom w:w="0" w:type="dxa"/>
            </w:tcMar>
            <w:vAlign w:val="center"/>
          </w:tcPr>
          <w:p w14:paraId="774FDD6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11</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DED28A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E3E960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620E0C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50020CF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）持有广州信德厚峡股权投资合伙企业（有限合伙）</w:t>
            </w:r>
            <w:r w:rsidRPr="00DA3766">
              <w:rPr>
                <w:rFonts w:ascii="Times New Roman" w:hAnsi="Times New Roman" w:cs="Times New Roman"/>
                <w:color w:val="000000"/>
                <w:sz w:val="21"/>
                <w:szCs w:val="21"/>
              </w:rPr>
              <w:t>5.3081%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）持有上海厚叁企业管理合伙企业（有限合伙）</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）持有济南瑞普德投资合伙企业（有限合伙）</w:t>
            </w:r>
            <w:r w:rsidRPr="00DA3766">
              <w:rPr>
                <w:rFonts w:ascii="Times New Roman" w:hAnsi="Times New Roman" w:cs="Times New Roman"/>
                <w:color w:val="000000"/>
                <w:sz w:val="21"/>
                <w:szCs w:val="21"/>
              </w:rPr>
              <w:t>1.19%</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9B8861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4AF6A41" w14:textId="77777777" w:rsidTr="007F36AF">
        <w:trPr>
          <w:trHeight w:val="397"/>
          <w:jc w:val="center"/>
        </w:trPr>
        <w:tc>
          <w:tcPr>
            <w:tcW w:w="173" w:type="pct"/>
            <w:tcMar>
              <w:top w:w="0" w:type="dxa"/>
              <w:bottom w:w="0" w:type="dxa"/>
            </w:tcMar>
            <w:vAlign w:val="center"/>
          </w:tcPr>
          <w:p w14:paraId="06BCDCF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w:t>
            </w:r>
          </w:p>
        </w:tc>
        <w:tc>
          <w:tcPr>
            <w:tcW w:w="552" w:type="pct"/>
            <w:tcMar>
              <w:top w:w="0" w:type="dxa"/>
              <w:bottom w:w="0" w:type="dxa"/>
            </w:tcMar>
            <w:vAlign w:val="center"/>
          </w:tcPr>
          <w:p w14:paraId="16752A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上海德盾</w:t>
            </w:r>
          </w:p>
        </w:tc>
        <w:tc>
          <w:tcPr>
            <w:tcW w:w="427" w:type="pct"/>
            <w:tcMar>
              <w:top w:w="0" w:type="dxa"/>
              <w:bottom w:w="0" w:type="dxa"/>
            </w:tcMar>
            <w:vAlign w:val="center"/>
          </w:tcPr>
          <w:p w14:paraId="27E66A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D91A0D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6D47C9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00BBE1C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42D168F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）持有上海蛟腾医疗管理有限公司</w:t>
            </w:r>
            <w:r w:rsidRPr="00DA3766">
              <w:rPr>
                <w:rFonts w:ascii="Times New Roman" w:hAnsi="Times New Roman" w:cs="Times New Roman"/>
                <w:color w:val="000000"/>
                <w:sz w:val="21"/>
                <w:szCs w:val="21"/>
              </w:rPr>
              <w:t>0.2168%</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）持有杭州快售宝科技有限公司</w:t>
            </w:r>
            <w:r w:rsidRPr="00DA3766">
              <w:rPr>
                <w:rFonts w:ascii="Times New Roman" w:hAnsi="Times New Roman" w:cs="Times New Roman"/>
                <w:color w:val="000000"/>
                <w:sz w:val="21"/>
                <w:szCs w:val="21"/>
              </w:rPr>
              <w:t>0.35%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）持有宁波深擎信息科技有限公司</w:t>
            </w:r>
            <w:r w:rsidRPr="00DA3766">
              <w:rPr>
                <w:rFonts w:ascii="Times New Roman" w:hAnsi="Times New Roman" w:cs="Times New Roman"/>
                <w:color w:val="000000"/>
                <w:sz w:val="21"/>
                <w:szCs w:val="21"/>
              </w:rPr>
              <w:t>0.0629%</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6B54F4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bl>
    <w:p w14:paraId="1A6669D8" w14:textId="11D18163" w:rsidR="00A661C3" w:rsidRPr="00DA3766" w:rsidRDefault="002372DE" w:rsidP="00C93B0F">
      <w:pPr>
        <w:pStyle w:val="005"/>
        <w:spacing w:before="120" w:after="120"/>
        <w:ind w:firstLine="480"/>
        <w:rPr>
          <w:snapToGrid w:val="0"/>
        </w:rPr>
      </w:pPr>
      <w:r w:rsidRPr="00DA3766">
        <w:rPr>
          <w:snapToGrid w:val="0"/>
        </w:rPr>
        <w:t>由上表可知，本次交易的非自然人交易对方成立时间及最初取得标的公司股份的时间较早，均早于本次交易停牌（</w:t>
      </w:r>
      <w:r w:rsidRPr="00DA3766">
        <w:rPr>
          <w:snapToGrid w:val="0"/>
        </w:rPr>
        <w:t>2025</w:t>
      </w:r>
      <w:r w:rsidRPr="00DA3766">
        <w:rPr>
          <w:snapToGrid w:val="0"/>
        </w:rPr>
        <w:t>年</w:t>
      </w:r>
      <w:r w:rsidRPr="00DA3766">
        <w:rPr>
          <w:snapToGrid w:val="0"/>
        </w:rPr>
        <w:t>6</w:t>
      </w:r>
      <w:r w:rsidRPr="00DA3766">
        <w:rPr>
          <w:snapToGrid w:val="0"/>
        </w:rPr>
        <w:t>月</w:t>
      </w:r>
      <w:r w:rsidRPr="00DA3766">
        <w:rPr>
          <w:snapToGrid w:val="0"/>
        </w:rPr>
        <w:t>10</w:t>
      </w:r>
      <w:r w:rsidRPr="00DA3766">
        <w:rPr>
          <w:snapToGrid w:val="0"/>
        </w:rPr>
        <w:t>日）前</w:t>
      </w:r>
      <w:r w:rsidRPr="00DA3766">
        <w:rPr>
          <w:snapToGrid w:val="0"/>
        </w:rPr>
        <w:t>6</w:t>
      </w:r>
      <w:r w:rsidRPr="00DA3766">
        <w:rPr>
          <w:snapToGrid w:val="0"/>
        </w:rPr>
        <w:t>个月，届时本次重组尚未在筹划中，非专为本次交易设立的主体</w:t>
      </w:r>
      <w:r w:rsidR="00A661C3" w:rsidRPr="00DA3766">
        <w:rPr>
          <w:snapToGrid w:val="0"/>
        </w:rPr>
        <w:t>。</w:t>
      </w:r>
    </w:p>
    <w:p w14:paraId="63810CD0" w14:textId="61CA1D6E" w:rsidR="00615021" w:rsidRPr="00DA3766" w:rsidRDefault="00A661C3" w:rsidP="00C93B0F">
      <w:pPr>
        <w:pStyle w:val="005"/>
        <w:spacing w:before="120" w:after="120"/>
        <w:ind w:firstLine="480"/>
        <w:rPr>
          <w:snapToGrid w:val="0"/>
        </w:rPr>
      </w:pPr>
      <w:r w:rsidRPr="00DA3766">
        <w:rPr>
          <w:snapToGrid w:val="0"/>
        </w:rPr>
        <w:t>乐熙熙、乐腾腾、深圳市前海千意智合三期、乐哈哈、乐摇的全体合伙人以及乐陶陶</w:t>
      </w:r>
      <w:r w:rsidR="00615021" w:rsidRPr="00DA3766">
        <w:rPr>
          <w:snapToGrid w:val="0"/>
        </w:rPr>
        <w:t>无其他对外投资，基于谨慎性考虑，上述交易对方的</w:t>
      </w:r>
      <w:bookmarkStart w:id="190" w:name="OLE_LINK26"/>
      <w:r w:rsidR="00615021" w:rsidRPr="00DA3766">
        <w:rPr>
          <w:snapToGrid w:val="0"/>
        </w:rPr>
        <w:t>执行事务合伙人已承诺不配合其他有限合伙人处分因本次交易间接取得的上市公司股份，具体内容如下：</w:t>
      </w:r>
    </w:p>
    <w:p w14:paraId="468C3274" w14:textId="49405DE5" w:rsidR="00A661C3" w:rsidRPr="00DA3766" w:rsidRDefault="00A661C3" w:rsidP="00C93B0F">
      <w:pPr>
        <w:pStyle w:val="005"/>
        <w:spacing w:before="120" w:after="120"/>
        <w:ind w:firstLine="480"/>
      </w:pPr>
      <w:r w:rsidRPr="00DA3766">
        <w:rPr>
          <w:rFonts w:ascii="宋体" w:hAnsi="宋体"/>
          <w:snapToGrid w:val="0"/>
        </w:rPr>
        <w:t>“</w:t>
      </w:r>
      <w:r w:rsidR="002372DE" w:rsidRPr="00DA3766">
        <w:rPr>
          <w:snapToGrid w:val="0"/>
        </w:rPr>
        <w:t>1</w:t>
      </w:r>
      <w:r w:rsidR="002372DE" w:rsidRPr="00DA3766">
        <w:rPr>
          <w:snapToGrid w:val="0"/>
        </w:rPr>
        <w:t>、</w:t>
      </w:r>
      <w:r w:rsidRPr="00DA3766">
        <w:rPr>
          <w:szCs w:val="40"/>
        </w:rPr>
        <w:t>本承诺人作为乐陶陶</w:t>
      </w:r>
      <w:r w:rsidRPr="00DA3766">
        <w:rPr>
          <w:szCs w:val="40"/>
        </w:rPr>
        <w:t>/</w:t>
      </w:r>
      <w:r w:rsidRPr="00DA3766">
        <w:rPr>
          <w:szCs w:val="40"/>
        </w:rPr>
        <w:t>乐熙熙</w:t>
      </w:r>
      <w:r w:rsidRPr="00DA3766">
        <w:rPr>
          <w:szCs w:val="40"/>
        </w:rPr>
        <w:t>/</w:t>
      </w:r>
      <w:r w:rsidRPr="00DA3766">
        <w:rPr>
          <w:szCs w:val="40"/>
        </w:rPr>
        <w:t>乐腾腾</w:t>
      </w:r>
      <w:r w:rsidRPr="00DA3766">
        <w:rPr>
          <w:szCs w:val="40"/>
        </w:rPr>
        <w:t>/</w:t>
      </w:r>
      <w:r w:rsidRPr="00DA3766">
        <w:rPr>
          <w:szCs w:val="40"/>
        </w:rPr>
        <w:t>乐哈哈</w:t>
      </w:r>
      <w:r w:rsidRPr="00DA3766">
        <w:rPr>
          <w:szCs w:val="40"/>
        </w:rPr>
        <w:t>/</w:t>
      </w:r>
      <w:r w:rsidRPr="00DA3766">
        <w:rPr>
          <w:szCs w:val="40"/>
        </w:rPr>
        <w:t>乐摇</w:t>
      </w:r>
      <w:r w:rsidRPr="00DA3766">
        <w:rPr>
          <w:szCs w:val="40"/>
        </w:rPr>
        <w:t>/</w:t>
      </w:r>
      <w:r w:rsidRPr="00DA3766">
        <w:rPr>
          <w:szCs w:val="40"/>
        </w:rPr>
        <w:t>深圳市前海千意智合三期执行事务合伙人，将严格督促乐陶陶</w:t>
      </w:r>
      <w:r w:rsidRPr="00DA3766">
        <w:rPr>
          <w:szCs w:val="40"/>
        </w:rPr>
        <w:t>/</w:t>
      </w:r>
      <w:r w:rsidRPr="00DA3766">
        <w:rPr>
          <w:szCs w:val="40"/>
        </w:rPr>
        <w:t>乐熙熙</w:t>
      </w:r>
      <w:r w:rsidRPr="00DA3766">
        <w:rPr>
          <w:szCs w:val="40"/>
        </w:rPr>
        <w:t>/</w:t>
      </w:r>
      <w:r w:rsidRPr="00DA3766">
        <w:rPr>
          <w:szCs w:val="40"/>
        </w:rPr>
        <w:t>乐腾腾</w:t>
      </w:r>
      <w:r w:rsidRPr="00DA3766">
        <w:rPr>
          <w:szCs w:val="40"/>
        </w:rPr>
        <w:t>/</w:t>
      </w:r>
      <w:r w:rsidRPr="00DA3766">
        <w:rPr>
          <w:szCs w:val="40"/>
        </w:rPr>
        <w:t>乐哈哈</w:t>
      </w:r>
      <w:r w:rsidRPr="00DA3766">
        <w:rPr>
          <w:szCs w:val="40"/>
        </w:rPr>
        <w:t>/</w:t>
      </w:r>
      <w:r w:rsidRPr="00DA3766">
        <w:rPr>
          <w:szCs w:val="40"/>
        </w:rPr>
        <w:t>乐摇</w:t>
      </w:r>
      <w:r w:rsidRPr="00DA3766">
        <w:rPr>
          <w:szCs w:val="40"/>
        </w:rPr>
        <w:t>/</w:t>
      </w:r>
      <w:r w:rsidRPr="00DA3766">
        <w:rPr>
          <w:szCs w:val="40"/>
        </w:rPr>
        <w:t>深圳市前海千意智合三期按照其就本次交易</w:t>
      </w:r>
      <w:r w:rsidRPr="00DA3766">
        <w:rPr>
          <w:color w:val="000000"/>
          <w:lang w:bidi="ar"/>
        </w:rPr>
        <w:t>出具的《关于股份锁定期的承诺函》规定的股份锁定要求履行股份锁定义务；</w:t>
      </w:r>
    </w:p>
    <w:p w14:paraId="0B785520" w14:textId="710A59BD" w:rsidR="00A661C3" w:rsidRPr="00DA3766" w:rsidRDefault="002372DE" w:rsidP="00C93B0F">
      <w:pPr>
        <w:pStyle w:val="005"/>
        <w:spacing w:before="120" w:after="120"/>
        <w:ind w:firstLine="480"/>
      </w:pPr>
      <w:r w:rsidRPr="00DA3766">
        <w:rPr>
          <w:color w:val="000000"/>
          <w:lang w:bidi="ar"/>
        </w:rPr>
        <w:t>2</w:t>
      </w:r>
      <w:r w:rsidRPr="00DA3766">
        <w:rPr>
          <w:color w:val="000000"/>
          <w:lang w:bidi="ar"/>
        </w:rPr>
        <w:t>、</w:t>
      </w:r>
      <w:r w:rsidR="00A661C3" w:rsidRPr="00DA3766">
        <w:rPr>
          <w:color w:val="000000"/>
          <w:lang w:bidi="ar"/>
        </w:rPr>
        <w:t>本承诺人</w:t>
      </w:r>
      <w:r w:rsidR="00A661C3" w:rsidRPr="00DA3766">
        <w:rPr>
          <w:szCs w:val="40"/>
        </w:rPr>
        <w:t>作为乐陶陶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w:t>
      </w:r>
      <w:r w:rsidR="00A661C3" w:rsidRPr="00DA3766">
        <w:rPr>
          <w:szCs w:val="40"/>
        </w:rPr>
        <w:lastRenderedPageBreak/>
        <w:t>期执行事务合伙人，</w:t>
      </w:r>
      <w:r w:rsidR="00A661C3" w:rsidRPr="00DA3766">
        <w:rPr>
          <w:color w:val="000000"/>
          <w:lang w:bidi="ar"/>
        </w:rPr>
        <w:t>将按照法律法规规定及</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合伙协议赋予的权利，敦促</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全体合伙人在</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承诺的股份锁定内</w:t>
      </w:r>
      <w:r w:rsidR="00A661C3" w:rsidRPr="00DA3766">
        <w:t>不会以任何方式进行转让、委托他人管理</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t>合伙份额，该等敦促手段包括但不限于以执行事务合伙人享有的职权行使否决权、拒绝配合办理包括工商登记在内的各项手续等。</w:t>
      </w:r>
    </w:p>
    <w:p w14:paraId="22665CF5" w14:textId="783BB435" w:rsidR="00A661C3" w:rsidRPr="00DA3766" w:rsidRDefault="002372DE" w:rsidP="00C93B0F">
      <w:pPr>
        <w:pStyle w:val="005"/>
        <w:spacing w:before="120" w:after="120"/>
        <w:ind w:firstLine="480"/>
      </w:pPr>
      <w:r w:rsidRPr="00DA3766">
        <w:t>3</w:t>
      </w:r>
      <w:r w:rsidRPr="00DA3766">
        <w:t>、</w:t>
      </w:r>
      <w:r w:rsidR="00A661C3" w:rsidRPr="00DA3766">
        <w:t>本承诺人若未能履行作出的上述承诺，给上市公司或投资者造成损失的，本承诺人将依法承担相应法律责任。</w:t>
      </w:r>
      <w:r w:rsidR="00A661C3" w:rsidRPr="00DA3766">
        <w:rPr>
          <w:rFonts w:ascii="宋体" w:hAnsi="宋体"/>
        </w:rPr>
        <w:t>”</w:t>
      </w:r>
      <w:bookmarkEnd w:id="190"/>
    </w:p>
    <w:p w14:paraId="691B2084" w14:textId="22C88A56" w:rsidR="002372DE" w:rsidRPr="00DA3766" w:rsidRDefault="002372DE" w:rsidP="00C93B0F">
      <w:pPr>
        <w:pStyle w:val="005"/>
        <w:spacing w:before="120" w:after="120"/>
        <w:ind w:firstLine="480"/>
        <w:rPr>
          <w:snapToGrid w:val="0"/>
        </w:rPr>
      </w:pPr>
      <w:r w:rsidRPr="00DA3766">
        <w:rPr>
          <w:snapToGrid w:val="0"/>
        </w:rPr>
        <w:t>综上所述，本次交易的非自然人交易对方均非专为本次交易设立，但基于审慎性考虑，截至本回复出具之日，无其他对外投资的非自然人交易对方</w:t>
      </w:r>
      <w:r w:rsidR="00615021" w:rsidRPr="00DA3766">
        <w:rPr>
          <w:snapToGrid w:val="0"/>
        </w:rPr>
        <w:t>的</w:t>
      </w:r>
      <w:r w:rsidRPr="00DA3766">
        <w:rPr>
          <w:snapToGrid w:val="0"/>
        </w:rPr>
        <w:t>执行事务合伙人出具的专项承诺合法有效，本次交易的交易对方的锁定期安排合规。</w:t>
      </w:r>
    </w:p>
    <w:p w14:paraId="00ED5245" w14:textId="6ACBF190" w:rsidR="00D915FA" w:rsidRPr="00DA3766" w:rsidRDefault="00E22816" w:rsidP="007002A3">
      <w:pPr>
        <w:pStyle w:val="005"/>
        <w:spacing w:before="120" w:after="120"/>
        <w:ind w:firstLine="480"/>
      </w:pPr>
      <w:r w:rsidRPr="00DA3766">
        <w:t>上述内容已在《重组报告书》</w:t>
      </w:r>
      <w:r w:rsidRPr="00DA3766">
        <w:rPr>
          <w:rFonts w:ascii="宋体" w:hAnsi="宋体"/>
        </w:rPr>
        <w:t>“</w:t>
      </w:r>
      <w:r w:rsidRPr="00DA3766">
        <w:t>第</w:t>
      </w:r>
      <w:r w:rsidR="00176D50" w:rsidRPr="00DA3766">
        <w:t>八</w:t>
      </w:r>
      <w:r w:rsidRPr="00DA3766">
        <w:t>节</w:t>
      </w:r>
      <w:r w:rsidRPr="00DA3766">
        <w:t xml:space="preserve"> </w:t>
      </w:r>
      <w:r w:rsidR="00176D50" w:rsidRPr="00DA3766">
        <w:t>本次交易的合规性分析</w:t>
      </w:r>
      <w:r w:rsidRPr="00DA3766">
        <w:rPr>
          <w:rFonts w:ascii="宋体" w:hAnsi="宋体"/>
        </w:rPr>
        <w:t>”</w:t>
      </w:r>
      <w:r w:rsidRPr="00DA3766">
        <w:t>之</w:t>
      </w:r>
      <w:r w:rsidRPr="00DA3766">
        <w:rPr>
          <w:rFonts w:ascii="宋体" w:hAnsi="宋体"/>
        </w:rPr>
        <w:t>“</w:t>
      </w:r>
      <w:r w:rsidR="00176D50" w:rsidRPr="00DA3766">
        <w:t>八</w:t>
      </w:r>
      <w:r w:rsidRPr="00DA3766">
        <w:t>、</w:t>
      </w:r>
      <w:r w:rsidR="00176D50" w:rsidRPr="00DA3766">
        <w:t>本次交易符合《重组管理办法》第四十七条规定</w:t>
      </w:r>
      <w:r w:rsidRPr="00DA3766">
        <w:rPr>
          <w:rFonts w:ascii="宋体" w:hAnsi="宋体"/>
        </w:rPr>
        <w:t>”</w:t>
      </w:r>
      <w:r w:rsidRPr="00DA3766">
        <w:t>补充披露。</w:t>
      </w:r>
      <w:bookmarkEnd w:id="189"/>
    </w:p>
    <w:p w14:paraId="16F01A78" w14:textId="791DA26E" w:rsidR="00E93DA8" w:rsidRPr="00DA3766" w:rsidRDefault="00A661C3" w:rsidP="00A661C3">
      <w:pPr>
        <w:pStyle w:val="002"/>
        <w:spacing w:before="120" w:after="120"/>
        <w:ind w:firstLine="482"/>
      </w:pPr>
      <w:r w:rsidRPr="00DA3766">
        <w:t>二、按照《</w:t>
      </w:r>
      <w:r w:rsidRPr="00DA3766">
        <w:t>26</w:t>
      </w:r>
      <w:r w:rsidRPr="00DA3766">
        <w:t>号准则》的有关规定，全面披露</w:t>
      </w:r>
      <w:bookmarkStart w:id="191" w:name="OLE_LINK39"/>
      <w:r w:rsidRPr="00DA3766">
        <w:t>相关交易对方的历史沿革及产权控制关系</w:t>
      </w:r>
      <w:bookmarkEnd w:id="191"/>
      <w:r w:rsidRPr="00DA3766">
        <w:t>，并结合交易对方的穿透披露情况补充披露穿透计算后总人数是否符合《证券法》发行对象不超过</w:t>
      </w:r>
      <w:r w:rsidRPr="00DA3766">
        <w:t>200</w:t>
      </w:r>
      <w:r w:rsidRPr="00DA3766">
        <w:t>名的相关规定，标的资产是否符合《非上市公众公司监管指引第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人的未上市股份有限公司申请行政许可有关问题的审核指引》等相关规定</w:t>
      </w:r>
    </w:p>
    <w:p w14:paraId="0ACD2ECC" w14:textId="77777777" w:rsidR="007A44DA" w:rsidRPr="00DA3766" w:rsidRDefault="007A44DA" w:rsidP="007A44DA">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（一）按照《</w:t>
      </w:r>
      <w:r w:rsidRPr="00DA3766">
        <w:rPr>
          <w:rFonts w:ascii="Times New Roman" w:hAnsi="Times New Roman" w:cs="Times New Roman"/>
          <w:b/>
          <w:bCs/>
          <w:szCs w:val="28"/>
        </w:rPr>
        <w:t>26</w:t>
      </w:r>
      <w:r w:rsidRPr="00DA3766">
        <w:rPr>
          <w:rFonts w:ascii="Times New Roman" w:hAnsi="Times New Roman" w:cs="Times New Roman"/>
          <w:b/>
          <w:bCs/>
          <w:szCs w:val="28"/>
        </w:rPr>
        <w:t>号准则》的有关规定，全面披露相关交易对方的历史沿革及产权控制关系</w:t>
      </w:r>
    </w:p>
    <w:p w14:paraId="49716EEB" w14:textId="77777777" w:rsidR="0098704A"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w:t>
      </w:r>
      <w:r w:rsidRPr="00DA3766">
        <w:rPr>
          <w:rFonts w:ascii="Times New Roman" w:hAnsi="Times New Roman" w:cs="Times New Roman"/>
          <w:szCs w:val="22"/>
        </w:rPr>
        <w:t>26</w:t>
      </w:r>
      <w:r w:rsidRPr="00DA3766">
        <w:rPr>
          <w:rFonts w:ascii="Times New Roman" w:hAnsi="Times New Roman" w:cs="Times New Roman"/>
          <w:szCs w:val="22"/>
        </w:rPr>
        <w:t>号准则》第十五条规定：（一）交易对方为法人的，应当</w:t>
      </w:r>
      <w:r w:rsidR="0098704A" w:rsidRPr="00DA3766">
        <w:rPr>
          <w:rFonts w:ascii="Times New Roman" w:hAnsi="Times New Roman" w:cs="Times New Roman"/>
          <w:szCs w:val="22"/>
        </w:rPr>
        <w:t>披露其名称、企业性质、注册地、主要办公地点、法定代表人、注册资本、统一社会信用代码、历史沿革、经营范围，最近三年注册资本变化情况、主要业务发展状况和最近两年主要财务指标，最近一年简要财务报表并注明是否已经审计。</w:t>
      </w:r>
    </w:p>
    <w:p w14:paraId="49B4A6DA" w14:textId="77777777" w:rsidR="0098704A" w:rsidRPr="00DA3766" w:rsidRDefault="0098704A"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p>
    <w:p w14:paraId="494A0EFC" w14:textId="7E4A8C63" w:rsidR="0098704A"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以方框图或者其他有效形式，全面披露交易对方相关的产权及控制关系，包括交易对方的主要股东或权益持有人、股权或权益的间接控制人及各层之间的产</w:t>
      </w:r>
      <w:r w:rsidRPr="00DA3766">
        <w:rPr>
          <w:rFonts w:ascii="Times New Roman" w:hAnsi="Times New Roman" w:cs="Times New Roman"/>
          <w:szCs w:val="22"/>
        </w:rPr>
        <w:lastRenderedPageBreak/>
        <w:t>权关系结构图，直至自然人、国有资产管理部门或者股东之间达成某种协议或安排的其他机构</w:t>
      </w:r>
      <w:r w:rsidR="0098704A" w:rsidRPr="00DA3766">
        <w:rPr>
          <w:rFonts w:ascii="Times New Roman" w:hAnsi="Times New Roman" w:cs="Times New Roman"/>
          <w:szCs w:val="22"/>
        </w:rPr>
        <w:t>。</w:t>
      </w:r>
    </w:p>
    <w:p w14:paraId="5071A922" w14:textId="76203425" w:rsidR="00615021"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p>
    <w:p w14:paraId="0AA6A256" w14:textId="2BE7B068" w:rsidR="00615021" w:rsidRPr="00DA3766" w:rsidRDefault="00615021" w:rsidP="00615021">
      <w:pPr>
        <w:pStyle w:val="005"/>
        <w:spacing w:before="120" w:after="120"/>
        <w:ind w:firstLine="480"/>
      </w:pPr>
      <w:r w:rsidRPr="00DA3766">
        <w:t>（三）交易对方为其他主体的，应当披露其名称、性质及相关协议安排，并比照第（一）项相关要求，披露该主体的基本情况及其相关产权及控制关系，以及该主体下属企业名目等情况。如为合伙企业，应当穿透披露至最终出资人，同时还应当披露合伙人、最终出资人与参与本次交易的其他有关主体的关联关系（如有）。交易完成后合伙企业成为上市公司第一大股东或持股百分之五以上股东的，还应当披露最终出资人的资金来源，合伙企业利润分配、亏损负担及合伙事务执行（含表决权行使）的有关协议安排，上市公司董事会就本次交易申请停牌前或首次作出决议前（孰早）六个月内及停牌期间（如有）合伙人入伙、退伙、转让财产份额、有限合伙人与普通合伙人转变身份的情况及未来存续期间内的类似变动安排（如有）。如为契约型私募基金、券商资产管理计划、基金专户及基金子公司产品、信托计划、理财产品、保险资管计划、专为本次交易设立的公司等，应当比照对合伙企业的上述要求进行披露；</w:t>
      </w:r>
    </w:p>
    <w:p w14:paraId="54E4550D" w14:textId="733BA560" w:rsidR="00615021" w:rsidRPr="00DA3766" w:rsidRDefault="00615021" w:rsidP="00615021">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cs="Times New Roman"/>
          <w:szCs w:val="22"/>
        </w:rPr>
        <w:t>”</w:t>
      </w:r>
    </w:p>
    <w:p w14:paraId="648088D8" w14:textId="7DB9F4EA" w:rsidR="00DB1CA4" w:rsidRPr="00DA3766" w:rsidRDefault="00DB1CA4" w:rsidP="007002A3">
      <w:pPr>
        <w:pStyle w:val="005"/>
        <w:spacing w:before="120" w:after="120"/>
        <w:ind w:firstLine="480"/>
      </w:pPr>
      <w:r w:rsidRPr="00DA3766">
        <w:t>本次发行股份及支付现金购买资产的非自然人交易对方共计</w:t>
      </w:r>
      <w:r w:rsidR="0098704A" w:rsidRPr="00DA3766">
        <w:t>16</w:t>
      </w:r>
      <w:r w:rsidR="0098704A" w:rsidRPr="00DA3766">
        <w:t>名，其中林芝利新为法人交易对方，南通成为常青等其他</w:t>
      </w:r>
      <w:r w:rsidR="0098704A" w:rsidRPr="00DA3766">
        <w:t>15</w:t>
      </w:r>
      <w:r w:rsidR="0098704A" w:rsidRPr="00DA3766">
        <w:t>名交易对方属于有限合伙企业。</w:t>
      </w:r>
    </w:p>
    <w:p w14:paraId="7C88F12B" w14:textId="2241C6BB" w:rsidR="007A44DA" w:rsidRPr="00DA3766" w:rsidRDefault="007A44DA" w:rsidP="00C93B0F">
      <w:pPr>
        <w:pStyle w:val="005"/>
        <w:spacing w:before="120" w:after="120"/>
        <w:ind w:firstLine="480"/>
      </w:pPr>
      <w:r w:rsidRPr="00DA3766">
        <w:t>上市公司已在《重组报告书》</w:t>
      </w:r>
      <w:r w:rsidRPr="00DA3766">
        <w:rPr>
          <w:rFonts w:ascii="宋体" w:hAnsi="宋体"/>
        </w:rPr>
        <w:t>“</w:t>
      </w:r>
      <w:r w:rsidRPr="00DA3766">
        <w:t>第三节交易对方基本情况</w:t>
      </w:r>
      <w:r w:rsidRPr="00DA3766">
        <w:rPr>
          <w:rFonts w:ascii="宋体" w:hAnsi="宋体"/>
        </w:rPr>
        <w:t>”</w:t>
      </w:r>
      <w:r w:rsidRPr="00DA3766">
        <w:t>之</w:t>
      </w:r>
      <w:r w:rsidRPr="00DA3766">
        <w:rPr>
          <w:rFonts w:ascii="宋体" w:hAnsi="宋体"/>
        </w:rPr>
        <w:t>“</w:t>
      </w:r>
      <w:r w:rsidRPr="00DA3766">
        <w:t>一、发行股份及支付现金购买资产的交易对方情况</w:t>
      </w:r>
      <w:r w:rsidRPr="00DA3766">
        <w:rPr>
          <w:rFonts w:ascii="宋体" w:hAnsi="宋体"/>
        </w:rPr>
        <w:t>”</w:t>
      </w:r>
      <w:r w:rsidRPr="00DA3766">
        <w:t>披露各交易对方的产权控制关系情况。</w:t>
      </w:r>
    </w:p>
    <w:p w14:paraId="2C98ED24" w14:textId="6BA7687E" w:rsidR="007A44DA" w:rsidRPr="00DA3766" w:rsidRDefault="0012401B" w:rsidP="00C93B0F">
      <w:pPr>
        <w:pStyle w:val="005"/>
        <w:spacing w:before="120" w:after="120"/>
        <w:ind w:firstLine="480"/>
      </w:pPr>
      <w:r w:rsidRPr="00DA3766">
        <w:t>按照《</w:t>
      </w:r>
      <w:r w:rsidRPr="00DA3766">
        <w:t>26</w:t>
      </w:r>
      <w:r w:rsidRPr="00DA3766">
        <w:t>号准则》第十五条规定，</w:t>
      </w:r>
      <w:r w:rsidR="007A44DA" w:rsidRPr="00DA3766">
        <w:t>上市公司已在《重组报告书》</w:t>
      </w:r>
      <w:r w:rsidR="007A44DA" w:rsidRPr="00DA3766">
        <w:rPr>
          <w:rFonts w:ascii="宋体" w:hAnsi="宋体"/>
        </w:rPr>
        <w:t>“</w:t>
      </w:r>
      <w:r w:rsidR="007A44DA" w:rsidRPr="00DA3766">
        <w:t>第三节交易对方基本情况</w:t>
      </w:r>
      <w:r w:rsidR="007A44DA" w:rsidRPr="00DA3766">
        <w:rPr>
          <w:rFonts w:ascii="宋体" w:hAnsi="宋体"/>
        </w:rPr>
        <w:t>”</w:t>
      </w:r>
      <w:r w:rsidR="007A44DA" w:rsidRPr="00DA3766">
        <w:t>之</w:t>
      </w:r>
      <w:r w:rsidR="007A44DA" w:rsidRPr="00DA3766">
        <w:rPr>
          <w:rFonts w:ascii="宋体" w:hAnsi="宋体"/>
        </w:rPr>
        <w:t>“</w:t>
      </w:r>
      <w:r w:rsidR="007A44DA" w:rsidRPr="00DA3766">
        <w:t>一、发行股份及支付现金购买资产的交易对方情况</w:t>
      </w:r>
      <w:r w:rsidR="007A44DA" w:rsidRPr="00DA3766">
        <w:rPr>
          <w:rFonts w:ascii="宋体" w:hAnsi="宋体"/>
        </w:rPr>
        <w:t>”</w:t>
      </w:r>
      <w:r w:rsidR="007A44DA" w:rsidRPr="00DA3766">
        <w:t>之</w:t>
      </w:r>
      <w:r w:rsidR="007A44DA" w:rsidRPr="00DA3766">
        <w:rPr>
          <w:rFonts w:ascii="宋体" w:hAnsi="宋体"/>
        </w:rPr>
        <w:t>“</w:t>
      </w:r>
      <w:r w:rsidR="007A44DA" w:rsidRPr="00DA3766">
        <w:t>（一）非自然人交易对方</w:t>
      </w:r>
      <w:r w:rsidR="007A44DA" w:rsidRPr="00DA3766">
        <w:rPr>
          <w:rFonts w:ascii="宋体" w:hAnsi="宋体"/>
        </w:rPr>
        <w:t>”</w:t>
      </w:r>
      <w:r w:rsidR="007A44DA" w:rsidRPr="00DA3766">
        <w:t>披露</w:t>
      </w:r>
      <w:r w:rsidR="00F95086" w:rsidRPr="00DA3766">
        <w:t>法人交易对方</w:t>
      </w:r>
      <w:r w:rsidR="007A44DA" w:rsidRPr="00DA3766">
        <w:t>林芝利新的历史沿革情况。</w:t>
      </w:r>
      <w:r w:rsidRPr="00DA3766">
        <w:t>对于其他</w:t>
      </w:r>
      <w:r w:rsidRPr="00DA3766">
        <w:t>15</w:t>
      </w:r>
      <w:r w:rsidRPr="00DA3766">
        <w:t>名属于有限合伙企业的交易对</w:t>
      </w:r>
      <w:r w:rsidR="009127B1" w:rsidRPr="00DA3766">
        <w:t>方</w:t>
      </w:r>
      <w:r w:rsidRPr="00DA3766">
        <w:t>，不涉及本次交易完成后成为上市公司第一大股东或持股百分之五以上股东的情况，基于谨慎原则，比照《</w:t>
      </w:r>
      <w:r w:rsidRPr="00DA3766">
        <w:t>26</w:t>
      </w:r>
      <w:r w:rsidRPr="00DA3766">
        <w:t>号准则》第十五条第（三）款规定，其他</w:t>
      </w:r>
      <w:r w:rsidRPr="00DA3766">
        <w:t>15</w:t>
      </w:r>
      <w:r w:rsidRPr="00DA3766">
        <w:t>名属于有限合伙企业的交易对手自上市公司董事会就本次交易申请停牌前或首次作出决议前（孰早）六个月内及停牌期间（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日）合伙人入伙、退伙、转让财产份额、</w:t>
      </w:r>
      <w:r w:rsidRPr="00DA3766">
        <w:lastRenderedPageBreak/>
        <w:t>有限合伙人与普通合伙人转变身份的情况及未来存续期间内的类似变动安排情况如下：</w:t>
      </w:r>
    </w:p>
    <w:p w14:paraId="36EF2752" w14:textId="5776B20D" w:rsidR="0012401B" w:rsidRPr="00DA3766" w:rsidRDefault="0012401B" w:rsidP="0012401B">
      <w:pPr>
        <w:overflowPunct w:val="0"/>
        <w:autoSpaceDE w:val="0"/>
        <w:autoSpaceDN w:val="0"/>
        <w:adjustRightInd w:val="0"/>
        <w:spacing w:before="120" w:after="120"/>
        <w:ind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1</w:t>
      </w:r>
      <w:r w:rsidRPr="00DA3766">
        <w:rPr>
          <w:rFonts w:ascii="Times New Roman" w:hAnsi="Times New Roman" w:cs="Times New Roman"/>
          <w:b/>
          <w:bCs/>
          <w:snapToGrid w:val="0"/>
        </w:rPr>
        <w:t>）南通成为常青</w:t>
      </w:r>
    </w:p>
    <w:p w14:paraId="6486E2A0" w14:textId="3CBBB291" w:rsidR="0012401B" w:rsidRPr="00DA3766" w:rsidRDefault="0012401B" w:rsidP="00C93B0F">
      <w:pPr>
        <w:pStyle w:val="005"/>
        <w:spacing w:before="120" w:after="120"/>
        <w:ind w:firstLine="480"/>
      </w:pPr>
      <w:r w:rsidRPr="00DA3766">
        <w:t>南通成为常青在上市公司董事会就本次交易申请停牌前或首次作出决议前（孰早）六个月内及停牌期间（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日）不存在合伙人入伙、退伙、转让财产份额、有限合伙人与普通合伙人转变身份的情况及未来存续期间内的类似变动安排情形。</w:t>
      </w:r>
    </w:p>
    <w:p w14:paraId="6E0588D4" w14:textId="5430E35B" w:rsidR="007A44DA" w:rsidRPr="00DA3766" w:rsidRDefault="00C93B0F" w:rsidP="0012401B">
      <w:pPr>
        <w:overflowPunct w:val="0"/>
        <w:autoSpaceDE w:val="0"/>
        <w:autoSpaceDN w:val="0"/>
        <w:adjustRightInd w:val="0"/>
        <w:spacing w:before="120" w:after="120"/>
        <w:ind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2</w:t>
      </w:r>
      <w:r w:rsidRPr="00DA3766">
        <w:rPr>
          <w:rFonts w:ascii="Times New Roman" w:hAnsi="Times New Roman" w:cs="Times New Roman"/>
          <w:b/>
          <w:bCs/>
          <w:snapToGrid w:val="0"/>
        </w:rPr>
        <w:t>）</w:t>
      </w:r>
      <w:r w:rsidR="007A44DA" w:rsidRPr="00DA3766">
        <w:rPr>
          <w:rFonts w:ascii="Times New Roman" w:hAnsi="Times New Roman" w:cs="Times New Roman"/>
          <w:b/>
          <w:bCs/>
          <w:snapToGrid w:val="0"/>
        </w:rPr>
        <w:t>广发信德科文</w:t>
      </w:r>
    </w:p>
    <w:p w14:paraId="1E533817" w14:textId="12FD785E" w:rsidR="007A44DA" w:rsidRPr="00DA3766" w:rsidRDefault="0012401B" w:rsidP="007A44DA">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2" w:name="_Hlk219327974"/>
      <w:r w:rsidRPr="00DA3766">
        <w:rPr>
          <w:rFonts w:ascii="Times New Roman" w:hAnsi="Times New Roman" w:cs="Times New Roman"/>
          <w:snapToGrid w:val="0"/>
        </w:rPr>
        <w:t>广发信德科文在上市公司董事会就本次交易申请停牌前或首次作出决议前（孰早）六个月内及停牌期间（</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日）不存在合伙人入伙、退伙、转让财产份额、有限合伙人与普通合伙人转变身份的情况及未来存续期间内的类似变动安排情形</w:t>
      </w:r>
      <w:bookmarkEnd w:id="192"/>
      <w:r w:rsidR="00176D50" w:rsidRPr="00DA3766">
        <w:rPr>
          <w:rFonts w:ascii="Times New Roman" w:hAnsi="Times New Roman" w:cs="Times New Roman"/>
          <w:snapToGrid w:val="0"/>
        </w:rPr>
        <w:t>。</w:t>
      </w:r>
    </w:p>
    <w:p w14:paraId="799B8AA4" w14:textId="3ED6DEDF" w:rsidR="007A44DA" w:rsidRPr="00DA3766" w:rsidRDefault="00C93B0F" w:rsidP="00C93B0F">
      <w:pPr>
        <w:overflowPunct w:val="0"/>
        <w:autoSpaceDE w:val="0"/>
        <w:autoSpaceDN w:val="0"/>
        <w:adjustRightInd w:val="0"/>
        <w:spacing w:before="120" w:after="120"/>
        <w:ind w:firstLineChars="0"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3</w:t>
      </w:r>
      <w:r w:rsidRPr="00DA3766">
        <w:rPr>
          <w:rFonts w:ascii="Times New Roman" w:hAnsi="Times New Roman" w:cs="Times New Roman"/>
          <w:b/>
          <w:bCs/>
          <w:snapToGrid w:val="0"/>
        </w:rPr>
        <w:t>）</w:t>
      </w:r>
      <w:r w:rsidR="007A44DA" w:rsidRPr="00DA3766">
        <w:rPr>
          <w:rFonts w:ascii="Times New Roman" w:hAnsi="Times New Roman" w:cs="Times New Roman"/>
          <w:b/>
          <w:bCs/>
          <w:snapToGrid w:val="0"/>
        </w:rPr>
        <w:t>苏州市德同合心</w:t>
      </w:r>
    </w:p>
    <w:p w14:paraId="2AD75313" w14:textId="453C0943" w:rsidR="0012401B" w:rsidRPr="00DA3766" w:rsidRDefault="0012401B" w:rsidP="0012401B">
      <w:pPr>
        <w:pStyle w:val="005"/>
        <w:spacing w:before="120" w:after="120"/>
        <w:ind w:firstLine="480"/>
        <w:rPr>
          <w:snapToGrid w:val="0"/>
        </w:rPr>
      </w:pPr>
      <w:r w:rsidRPr="00DA3766">
        <w:rPr>
          <w:snapToGrid w:val="0"/>
        </w:rPr>
        <w:t>苏州市德同合心在上市公司董事会就本次交易申请停牌前或首次作出决议前（孰早）六个月内及停牌期间（</w:t>
      </w:r>
      <w:r w:rsidRPr="00DA3766">
        <w:rPr>
          <w:snapToGrid w:val="0"/>
        </w:rPr>
        <w:t>2024</w:t>
      </w:r>
      <w:r w:rsidRPr="00DA3766">
        <w:rPr>
          <w:snapToGrid w:val="0"/>
        </w:rPr>
        <w:t>年</w:t>
      </w:r>
      <w:r w:rsidRPr="00DA3766">
        <w:rPr>
          <w:snapToGrid w:val="0"/>
        </w:rPr>
        <w:t>12</w:t>
      </w:r>
      <w:r w:rsidRPr="00DA3766">
        <w:rPr>
          <w:snapToGrid w:val="0"/>
        </w:rPr>
        <w:t>月</w:t>
      </w:r>
      <w:r w:rsidRPr="00DA3766">
        <w:rPr>
          <w:snapToGrid w:val="0"/>
        </w:rPr>
        <w:t>9</w:t>
      </w:r>
      <w:r w:rsidRPr="00DA3766">
        <w:rPr>
          <w:snapToGrid w:val="0"/>
        </w:rPr>
        <w:t>日至</w:t>
      </w:r>
      <w:r w:rsidRPr="00DA3766">
        <w:rPr>
          <w:snapToGrid w:val="0"/>
        </w:rPr>
        <w:t>2025</w:t>
      </w:r>
      <w:r w:rsidRPr="00DA3766">
        <w:rPr>
          <w:snapToGrid w:val="0"/>
        </w:rPr>
        <w:t>年</w:t>
      </w:r>
      <w:r w:rsidRPr="00DA3766">
        <w:rPr>
          <w:snapToGrid w:val="0"/>
        </w:rPr>
        <w:t>6</w:t>
      </w:r>
      <w:r w:rsidRPr="00DA3766">
        <w:rPr>
          <w:snapToGrid w:val="0"/>
        </w:rPr>
        <w:t>月</w:t>
      </w:r>
      <w:r w:rsidRPr="00DA3766">
        <w:rPr>
          <w:snapToGrid w:val="0"/>
        </w:rPr>
        <w:t>23</w:t>
      </w:r>
      <w:r w:rsidRPr="00DA3766">
        <w:rPr>
          <w:snapToGrid w:val="0"/>
        </w:rPr>
        <w:t>日）不存在合伙人入伙、退伙、转让财产份额、有限合伙人与普通合伙人转变身份的情况及未来存续期间内的类似变动安排情形。</w:t>
      </w:r>
    </w:p>
    <w:p w14:paraId="2847AB59" w14:textId="796C516F" w:rsidR="0012401B" w:rsidRPr="00DA3766" w:rsidRDefault="0012401B" w:rsidP="0012401B">
      <w:pPr>
        <w:overflowPunct w:val="0"/>
        <w:autoSpaceDE w:val="0"/>
        <w:autoSpaceDN w:val="0"/>
        <w:adjustRightInd w:val="0"/>
        <w:spacing w:before="120" w:after="120"/>
        <w:ind w:left="480" w:firstLineChars="0" w:firstLine="0"/>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4</w:t>
      </w:r>
      <w:r w:rsidRPr="00DA3766">
        <w:rPr>
          <w:rFonts w:ascii="Times New Roman" w:hAnsi="Times New Roman" w:cs="Times New Roman"/>
          <w:b/>
          <w:bCs/>
          <w:snapToGrid w:val="0"/>
        </w:rPr>
        <w:t>）乐陶陶</w:t>
      </w:r>
    </w:p>
    <w:p w14:paraId="60854C3F" w14:textId="1060A389" w:rsidR="0012401B" w:rsidRPr="00DA3766" w:rsidRDefault="0012401B" w:rsidP="00DA3766">
      <w:pPr>
        <w:spacing w:before="120" w:after="120"/>
        <w:ind w:firstLine="480"/>
        <w:jc w:val="both"/>
        <w:rPr>
          <w:rFonts w:ascii="Times New Roman" w:hAnsi="Times New Roman" w:cs="Times New Roman"/>
          <w:snapToGrid w:val="0"/>
        </w:rPr>
      </w:pPr>
      <w:bookmarkStart w:id="193" w:name="_Hlk219328145"/>
      <w:r w:rsidRPr="00DA3766">
        <w:rPr>
          <w:rFonts w:ascii="Times New Roman" w:hAnsi="Times New Roman" w:cs="Times New Roman"/>
        </w:rPr>
        <w:t>乐陶陶在上市公司董事会就本次交易申请停牌前或首次作出决议前（孰早）六个月内及停牌期间（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日）存在减少出资额的情况，具体如下：</w:t>
      </w:r>
    </w:p>
    <w:p w14:paraId="2B0D10B0"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日，经乐陶陶全体合伙人一致同意，合伙企业总出资额由</w:t>
      </w:r>
      <w:r w:rsidRPr="00DA3766">
        <w:rPr>
          <w:rFonts w:ascii="Times New Roman" w:hAnsi="Times New Roman" w:cs="Times New Roman"/>
          <w:snapToGrid w:val="0"/>
        </w:rPr>
        <w:t>728.3265</w:t>
      </w:r>
      <w:r w:rsidRPr="00DA3766">
        <w:rPr>
          <w:rFonts w:ascii="Times New Roman" w:hAnsi="Times New Roman" w:cs="Times New Roman"/>
          <w:snapToGrid w:val="0"/>
        </w:rPr>
        <w:t>万元减少至</w:t>
      </w:r>
      <w:r w:rsidRPr="00DA3766">
        <w:rPr>
          <w:rFonts w:ascii="Times New Roman" w:hAnsi="Times New Roman" w:cs="Times New Roman"/>
          <w:snapToGrid w:val="0"/>
        </w:rPr>
        <w:t>267.3283</w:t>
      </w:r>
      <w:r w:rsidRPr="00DA3766">
        <w:rPr>
          <w:rFonts w:ascii="Times New Roman" w:hAnsi="Times New Roman" w:cs="Times New Roman"/>
          <w:snapToGrid w:val="0"/>
        </w:rPr>
        <w:t>万元，由各合伙人按照所持股权比例同比例减资。全体合伙人重新签署合伙人协议。</w:t>
      </w:r>
    </w:p>
    <w:p w14:paraId="2F45EFB4"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日，乐陶陶在珠海市横琴新区工商管理局完成本次变更的工商变更登记。</w:t>
      </w:r>
    </w:p>
    <w:p w14:paraId="290995F9"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本次变更后，乐陶陶出资结构如下：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10E4527E" w14:textId="77777777" w:rsidTr="00DA3766">
        <w:trPr>
          <w:trHeight w:val="397"/>
          <w:jc w:val="center"/>
        </w:trPr>
        <w:tc>
          <w:tcPr>
            <w:tcW w:w="668" w:type="dxa"/>
            <w:vAlign w:val="center"/>
          </w:tcPr>
          <w:p w14:paraId="6FCB332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176DD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282C96C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51A032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09C976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5DE5DCC9" w14:textId="77777777" w:rsidTr="00DA3766">
        <w:trPr>
          <w:trHeight w:val="397"/>
          <w:jc w:val="center"/>
        </w:trPr>
        <w:tc>
          <w:tcPr>
            <w:tcW w:w="668" w:type="dxa"/>
            <w:vAlign w:val="center"/>
          </w:tcPr>
          <w:p w14:paraId="223D70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2A224D6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100345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0.0258</w:t>
            </w:r>
          </w:p>
        </w:tc>
        <w:tc>
          <w:tcPr>
            <w:tcW w:w="1428" w:type="dxa"/>
            <w:vAlign w:val="center"/>
          </w:tcPr>
          <w:p w14:paraId="7FE407B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0.0097%</w:t>
            </w:r>
          </w:p>
        </w:tc>
        <w:tc>
          <w:tcPr>
            <w:tcW w:w="1420" w:type="dxa"/>
            <w:vAlign w:val="center"/>
          </w:tcPr>
          <w:p w14:paraId="6A085D0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63567A32" w14:textId="77777777" w:rsidTr="00DA3766">
        <w:trPr>
          <w:trHeight w:val="397"/>
          <w:jc w:val="center"/>
        </w:trPr>
        <w:tc>
          <w:tcPr>
            <w:tcW w:w="668" w:type="dxa"/>
            <w:vAlign w:val="center"/>
          </w:tcPr>
          <w:p w14:paraId="565405E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7073448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徐德强</w:t>
            </w:r>
          </w:p>
        </w:tc>
        <w:tc>
          <w:tcPr>
            <w:tcW w:w="1641" w:type="dxa"/>
            <w:vAlign w:val="center"/>
          </w:tcPr>
          <w:p w14:paraId="111A13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36.9523</w:t>
            </w:r>
          </w:p>
        </w:tc>
        <w:tc>
          <w:tcPr>
            <w:tcW w:w="1428" w:type="dxa"/>
            <w:vAlign w:val="center"/>
          </w:tcPr>
          <w:p w14:paraId="3066BD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13.8228%</w:t>
            </w:r>
          </w:p>
        </w:tc>
        <w:tc>
          <w:tcPr>
            <w:tcW w:w="1420" w:type="dxa"/>
            <w:vAlign w:val="center"/>
          </w:tcPr>
          <w:p w14:paraId="707F6BC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110DE91" w14:textId="77777777" w:rsidTr="00DA3766">
        <w:trPr>
          <w:trHeight w:val="397"/>
          <w:jc w:val="center"/>
        </w:trPr>
        <w:tc>
          <w:tcPr>
            <w:tcW w:w="668" w:type="dxa"/>
            <w:vAlign w:val="center"/>
          </w:tcPr>
          <w:p w14:paraId="079AC65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57B749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陈岳政</w:t>
            </w:r>
          </w:p>
        </w:tc>
        <w:tc>
          <w:tcPr>
            <w:tcW w:w="1641" w:type="dxa"/>
            <w:vAlign w:val="center"/>
          </w:tcPr>
          <w:p w14:paraId="2D7E1F5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85.9926</w:t>
            </w:r>
          </w:p>
        </w:tc>
        <w:tc>
          <w:tcPr>
            <w:tcW w:w="1428" w:type="dxa"/>
            <w:vAlign w:val="center"/>
          </w:tcPr>
          <w:p w14:paraId="5A84C24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32.1674%</w:t>
            </w:r>
          </w:p>
        </w:tc>
        <w:tc>
          <w:tcPr>
            <w:tcW w:w="1420" w:type="dxa"/>
            <w:vAlign w:val="center"/>
          </w:tcPr>
          <w:p w14:paraId="321D81F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469AD4" w14:textId="77777777" w:rsidTr="00DA3766">
        <w:trPr>
          <w:trHeight w:val="397"/>
          <w:jc w:val="center"/>
        </w:trPr>
        <w:tc>
          <w:tcPr>
            <w:tcW w:w="668" w:type="dxa"/>
            <w:vAlign w:val="center"/>
          </w:tcPr>
          <w:p w14:paraId="6F372CB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32BBC36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6844D6C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17.7622</w:t>
            </w:r>
          </w:p>
        </w:tc>
        <w:tc>
          <w:tcPr>
            <w:tcW w:w="1428" w:type="dxa"/>
            <w:vAlign w:val="center"/>
          </w:tcPr>
          <w:p w14:paraId="33F09A9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4.3999%</w:t>
            </w:r>
          </w:p>
        </w:tc>
        <w:tc>
          <w:tcPr>
            <w:tcW w:w="1420" w:type="dxa"/>
            <w:vAlign w:val="center"/>
          </w:tcPr>
          <w:p w14:paraId="3068385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864FB02" w14:textId="77777777" w:rsidTr="00DA3766">
        <w:trPr>
          <w:trHeight w:val="397"/>
          <w:jc w:val="center"/>
        </w:trPr>
        <w:tc>
          <w:tcPr>
            <w:tcW w:w="668" w:type="dxa"/>
            <w:vAlign w:val="center"/>
          </w:tcPr>
          <w:p w14:paraId="14AE917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080EF23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黄俊波</w:t>
            </w:r>
          </w:p>
        </w:tc>
        <w:tc>
          <w:tcPr>
            <w:tcW w:w="1641" w:type="dxa"/>
            <w:vAlign w:val="center"/>
          </w:tcPr>
          <w:p w14:paraId="406E46F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87.7048</w:t>
            </w:r>
          </w:p>
        </w:tc>
        <w:tc>
          <w:tcPr>
            <w:tcW w:w="1428" w:type="dxa"/>
            <w:vAlign w:val="center"/>
          </w:tcPr>
          <w:p w14:paraId="61A4A97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31.3116%</w:t>
            </w:r>
          </w:p>
        </w:tc>
        <w:tc>
          <w:tcPr>
            <w:tcW w:w="1420" w:type="dxa"/>
            <w:vAlign w:val="center"/>
          </w:tcPr>
          <w:p w14:paraId="0507697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99ADE8A" w14:textId="77777777" w:rsidTr="00DA3766">
        <w:trPr>
          <w:trHeight w:val="397"/>
          <w:jc w:val="center"/>
        </w:trPr>
        <w:tc>
          <w:tcPr>
            <w:tcW w:w="668" w:type="dxa"/>
            <w:vAlign w:val="center"/>
          </w:tcPr>
          <w:p w14:paraId="24FE1ED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43F30BC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宁波圣哲管理咨询合伙企业（有限合伙）</w:t>
            </w:r>
          </w:p>
        </w:tc>
        <w:tc>
          <w:tcPr>
            <w:tcW w:w="1641" w:type="dxa"/>
            <w:vAlign w:val="center"/>
          </w:tcPr>
          <w:p w14:paraId="5E16D48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48.4906</w:t>
            </w:r>
          </w:p>
        </w:tc>
        <w:tc>
          <w:tcPr>
            <w:tcW w:w="1428" w:type="dxa"/>
            <w:vAlign w:val="center"/>
          </w:tcPr>
          <w:p w14:paraId="2CE47B6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18.2886%</w:t>
            </w:r>
          </w:p>
        </w:tc>
        <w:tc>
          <w:tcPr>
            <w:tcW w:w="1420" w:type="dxa"/>
            <w:vAlign w:val="center"/>
          </w:tcPr>
          <w:p w14:paraId="545F5DB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D660B9B" w14:textId="77777777" w:rsidTr="00DA3766">
        <w:trPr>
          <w:trHeight w:val="397"/>
          <w:jc w:val="center"/>
        </w:trPr>
        <w:tc>
          <w:tcPr>
            <w:tcW w:w="4039" w:type="dxa"/>
            <w:gridSpan w:val="2"/>
            <w:vAlign w:val="center"/>
          </w:tcPr>
          <w:p w14:paraId="755842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5601D76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267.3283</w:t>
            </w:r>
          </w:p>
        </w:tc>
        <w:tc>
          <w:tcPr>
            <w:tcW w:w="1428" w:type="dxa"/>
            <w:vAlign w:val="center"/>
          </w:tcPr>
          <w:p w14:paraId="1FB2A45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20" w:type="dxa"/>
            <w:vAlign w:val="center"/>
          </w:tcPr>
          <w:p w14:paraId="2357E12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3"/>
    <w:p w14:paraId="121BF43B" w14:textId="74848B9D" w:rsidR="00BA6F27" w:rsidRPr="00DA3766" w:rsidRDefault="00BA6F27" w:rsidP="007F36AF">
      <w:pPr>
        <w:pStyle w:val="006"/>
        <w:ind w:firstLine="420"/>
        <w:rPr>
          <w:snapToGrid w:val="0"/>
        </w:rPr>
      </w:pPr>
      <w:r w:rsidRPr="00DA3766">
        <w:rPr>
          <w:snapToGrid w:val="0"/>
        </w:rPr>
        <w:t>注：</w:t>
      </w:r>
      <w:r w:rsidRPr="00DA3766">
        <w:rPr>
          <w:snapToGrid w:val="0"/>
        </w:rPr>
        <w:t>2025</w:t>
      </w:r>
      <w:r w:rsidRPr="00DA3766">
        <w:rPr>
          <w:snapToGrid w:val="0"/>
        </w:rPr>
        <w:t>年</w:t>
      </w:r>
      <w:r w:rsidRPr="00DA3766">
        <w:rPr>
          <w:snapToGrid w:val="0"/>
        </w:rPr>
        <w:t>7</w:t>
      </w:r>
      <w:r w:rsidRPr="00DA3766">
        <w:rPr>
          <w:snapToGrid w:val="0"/>
        </w:rPr>
        <w:t>月，乐陶陶执行事务合伙人由陈耿豪变更为杨凯然。</w:t>
      </w:r>
    </w:p>
    <w:p w14:paraId="7892FEC3" w14:textId="04281E38" w:rsidR="0012401B" w:rsidRPr="00DA3766" w:rsidRDefault="0012401B" w:rsidP="0012401B">
      <w:pPr>
        <w:pStyle w:val="005"/>
        <w:spacing w:before="120" w:after="120"/>
        <w:ind w:firstLine="482"/>
        <w:rPr>
          <w:b/>
          <w:bCs/>
          <w:snapToGrid w:val="0"/>
        </w:rPr>
      </w:pPr>
      <w:r w:rsidRPr="00DA3766">
        <w:rPr>
          <w:b/>
          <w:bCs/>
          <w:snapToGrid w:val="0"/>
        </w:rPr>
        <w:t>（</w:t>
      </w:r>
      <w:r w:rsidRPr="00DA3766">
        <w:rPr>
          <w:b/>
          <w:bCs/>
          <w:snapToGrid w:val="0"/>
        </w:rPr>
        <w:t>5</w:t>
      </w:r>
      <w:r w:rsidRPr="00DA3766">
        <w:rPr>
          <w:b/>
          <w:bCs/>
          <w:snapToGrid w:val="0"/>
        </w:rPr>
        <w:t>）璀璨远见</w:t>
      </w:r>
    </w:p>
    <w:p w14:paraId="3A448184" w14:textId="493365BD"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4" w:name="_Hlk219328194"/>
      <w:r w:rsidRPr="00DA3766">
        <w:rPr>
          <w:rFonts w:ascii="Times New Roman" w:hAnsi="Times New Roman" w:cs="Times New Roman"/>
          <w:snapToGrid w:val="0"/>
        </w:rPr>
        <w:t>璀璨远见在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日）存在合伙人入伙、退伙、转让财产份额及减少出资额的情况，具体如下：</w:t>
      </w:r>
    </w:p>
    <w:p w14:paraId="5EB011E7" w14:textId="084DD25F"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22</w:t>
      </w:r>
      <w:r w:rsidRPr="00DA3766">
        <w:rPr>
          <w:rFonts w:ascii="Times New Roman" w:hAnsi="Times New Roman" w:cs="Times New Roman"/>
          <w:snapToGrid w:val="0"/>
        </w:rPr>
        <w:t>日，璀璨远见全体合伙人召开合伙人会议并作出变更决定。同意合伙人大有可为（深圳）创业投资企业（有限合伙）退出合伙，将其持有的</w:t>
      </w:r>
      <w:r w:rsidRPr="00DA3766">
        <w:rPr>
          <w:rFonts w:ascii="Times New Roman" w:hAnsi="Times New Roman" w:cs="Times New Roman"/>
          <w:snapToGrid w:val="0"/>
        </w:rPr>
        <w:t>1,500.00</w:t>
      </w:r>
      <w:r w:rsidRPr="00DA3766">
        <w:rPr>
          <w:rFonts w:ascii="Times New Roman" w:hAnsi="Times New Roman" w:cs="Times New Roman"/>
          <w:snapToGrid w:val="0"/>
        </w:rPr>
        <w:t>万元的出资额转让给现有合伙人深圳璀璨私募股权投资管理有限公司。同意合伙人深圳市有</w:t>
      </w:r>
      <w:r w:rsidR="001A58DA" w:rsidRPr="00DA3766">
        <w:rPr>
          <w:rFonts w:ascii="Times New Roman" w:hAnsi="Times New Roman" w:cs="Times New Roman"/>
          <w:snapToGrid w:val="0"/>
        </w:rPr>
        <w:t>棵</w:t>
      </w:r>
      <w:r w:rsidRPr="00DA3766">
        <w:rPr>
          <w:rFonts w:ascii="Times New Roman" w:hAnsi="Times New Roman" w:cs="Times New Roman"/>
          <w:snapToGrid w:val="0"/>
        </w:rPr>
        <w:t>树科技股份有限公司退出合伙，将其持有的</w:t>
      </w:r>
      <w:r w:rsidRPr="00DA3766">
        <w:rPr>
          <w:rFonts w:ascii="Times New Roman" w:hAnsi="Times New Roman" w:cs="Times New Roman"/>
          <w:snapToGrid w:val="0"/>
        </w:rPr>
        <w:t>2,000.00</w:t>
      </w:r>
      <w:r w:rsidRPr="00DA3766">
        <w:rPr>
          <w:rFonts w:ascii="Times New Roman" w:hAnsi="Times New Roman" w:cs="Times New Roman"/>
          <w:snapToGrid w:val="0"/>
        </w:rPr>
        <w:t>万元的出资额转让给现有合伙人西安原本俱甲企业管理咨询合伙企业（有限合伙）。</w:t>
      </w:r>
    </w:p>
    <w:p w14:paraId="5618E69A" w14:textId="29B568A8" w:rsidR="00BA6F27" w:rsidRPr="00DA3766" w:rsidRDefault="00BA6F27"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日，璀璨远见全体合伙人召开合伙人会议并作出变更决定。同意合伙人汕头市毅博玩具科技实业有限公司退出合伙，将其持有的</w:t>
      </w:r>
      <w:r w:rsidRPr="00DA3766">
        <w:rPr>
          <w:rFonts w:ascii="Times New Roman" w:hAnsi="Times New Roman" w:cs="Times New Roman"/>
          <w:snapToGrid w:val="0"/>
        </w:rPr>
        <w:t>18,000.00</w:t>
      </w:r>
      <w:r w:rsidRPr="00DA3766">
        <w:rPr>
          <w:rFonts w:ascii="Times New Roman" w:hAnsi="Times New Roman" w:cs="Times New Roman"/>
          <w:snapToGrid w:val="0"/>
        </w:rPr>
        <w:t>万元的出资额以</w:t>
      </w:r>
      <w:r w:rsidRPr="00DA3766">
        <w:rPr>
          <w:rFonts w:ascii="Times New Roman" w:hAnsi="Times New Roman" w:cs="Times New Roman"/>
          <w:snapToGrid w:val="0"/>
        </w:rPr>
        <w:t>25,520,870.60</w:t>
      </w:r>
      <w:r w:rsidRPr="00DA3766">
        <w:rPr>
          <w:rFonts w:ascii="Times New Roman" w:hAnsi="Times New Roman" w:cs="Times New Roman"/>
          <w:snapToGrid w:val="0"/>
        </w:rPr>
        <w:t>元的价格转让给新合伙人深圳欣典信息科技有限公司。同日，璀璨远见全体合伙人召开合伙人会议并作出变更决定。同意合伙企业的出资额由</w:t>
      </w:r>
      <w:r w:rsidRPr="00DA3766">
        <w:rPr>
          <w:rFonts w:ascii="Times New Roman" w:hAnsi="Times New Roman" w:cs="Times New Roman"/>
          <w:snapToGrid w:val="0"/>
        </w:rPr>
        <w:t>27,100.00</w:t>
      </w:r>
      <w:r w:rsidRPr="00DA3766">
        <w:rPr>
          <w:rFonts w:ascii="Times New Roman" w:hAnsi="Times New Roman" w:cs="Times New Roman"/>
          <w:snapToGrid w:val="0"/>
        </w:rPr>
        <w:t>万元缩减至</w:t>
      </w:r>
      <w:r w:rsidRPr="00DA3766">
        <w:rPr>
          <w:rFonts w:ascii="Times New Roman" w:hAnsi="Times New Roman" w:cs="Times New Roman"/>
          <w:snapToGrid w:val="0"/>
        </w:rPr>
        <w:t>3,842.091331</w:t>
      </w:r>
      <w:r w:rsidRPr="00DA3766">
        <w:rPr>
          <w:rFonts w:ascii="Times New Roman" w:hAnsi="Times New Roman" w:cs="Times New Roman"/>
          <w:snapToGrid w:val="0"/>
        </w:rPr>
        <w:t>万元。各位合伙人同比例缩减认缴出资额。</w:t>
      </w:r>
    </w:p>
    <w:p w14:paraId="23ABA5A8"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日，璀璨远见就本次变更完成工商变更登记。</w:t>
      </w:r>
    </w:p>
    <w:p w14:paraId="3A36955E" w14:textId="4A6FF066" w:rsidR="0012401B" w:rsidRPr="00DA3766" w:rsidRDefault="0012401B"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w:t>
      </w:r>
      <w:r w:rsidR="00BA6F27" w:rsidRPr="00DA3766">
        <w:rPr>
          <w:rFonts w:ascii="Times New Roman" w:hAnsi="Times New Roman" w:cs="Times New Roman"/>
          <w:snapToGrid w:val="0"/>
        </w:rPr>
        <w:t>变更</w:t>
      </w:r>
      <w:r w:rsidRPr="00DA3766">
        <w:rPr>
          <w:rFonts w:ascii="Times New Roman" w:hAnsi="Times New Roman" w:cs="Times New Roman"/>
          <w:snapToGrid w:val="0"/>
        </w:rPr>
        <w:t>后，璀璨远见出资结构如下：</w:t>
      </w:r>
    </w:p>
    <w:tbl>
      <w:tblPr>
        <w:tblStyle w:val="afc"/>
        <w:tblW w:w="8714" w:type="dxa"/>
        <w:jc w:val="center"/>
        <w:tblBorders>
          <w:top w:val="thinThickSmallGap" w:sz="24" w:space="0" w:color="auto"/>
          <w:bottom w:val="thickThinSmallGap" w:sz="24" w:space="0" w:color="auto"/>
        </w:tblBorders>
        <w:tblLook w:val="04A0" w:firstRow="1" w:lastRow="0" w:firstColumn="1" w:lastColumn="0" w:noHBand="0" w:noVBand="1"/>
      </w:tblPr>
      <w:tblGrid>
        <w:gridCol w:w="818"/>
        <w:gridCol w:w="3576"/>
        <w:gridCol w:w="1491"/>
        <w:gridCol w:w="1423"/>
        <w:gridCol w:w="1406"/>
      </w:tblGrid>
      <w:tr w:rsidR="0012401B" w:rsidRPr="00DA3766" w14:paraId="7944535A" w14:textId="77777777" w:rsidTr="00635015">
        <w:trPr>
          <w:trHeight w:val="397"/>
          <w:tblHeader/>
          <w:jc w:val="center"/>
        </w:trPr>
        <w:tc>
          <w:tcPr>
            <w:tcW w:w="818" w:type="dxa"/>
            <w:vAlign w:val="center"/>
          </w:tcPr>
          <w:p w14:paraId="5B0CF8DC"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576" w:type="dxa"/>
            <w:vAlign w:val="center"/>
          </w:tcPr>
          <w:p w14:paraId="1BB3F53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491" w:type="dxa"/>
            <w:vAlign w:val="center"/>
          </w:tcPr>
          <w:p w14:paraId="61D37BB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出资额（元）</w:t>
            </w:r>
          </w:p>
        </w:tc>
        <w:tc>
          <w:tcPr>
            <w:tcW w:w="1423" w:type="dxa"/>
            <w:vAlign w:val="center"/>
          </w:tcPr>
          <w:p w14:paraId="093E5741"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06" w:type="dxa"/>
            <w:vAlign w:val="center"/>
          </w:tcPr>
          <w:p w14:paraId="37A6136F"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01F821E9" w14:textId="77777777" w:rsidTr="00635015">
        <w:trPr>
          <w:trHeight w:val="397"/>
          <w:jc w:val="center"/>
        </w:trPr>
        <w:tc>
          <w:tcPr>
            <w:tcW w:w="818" w:type="dxa"/>
            <w:vAlign w:val="center"/>
          </w:tcPr>
          <w:p w14:paraId="4D3E8F3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576" w:type="dxa"/>
            <w:vAlign w:val="center"/>
          </w:tcPr>
          <w:p w14:paraId="740923F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深圳璀璨私募股权投资管理有限公司</w:t>
            </w:r>
          </w:p>
        </w:tc>
        <w:tc>
          <w:tcPr>
            <w:tcW w:w="1491" w:type="dxa"/>
            <w:vAlign w:val="center"/>
          </w:tcPr>
          <w:p w14:paraId="1DB6C0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2,254,575.92</w:t>
            </w:r>
          </w:p>
        </w:tc>
        <w:tc>
          <w:tcPr>
            <w:tcW w:w="1423" w:type="dxa"/>
            <w:vAlign w:val="center"/>
          </w:tcPr>
          <w:p w14:paraId="070411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5.9041%</w:t>
            </w:r>
          </w:p>
        </w:tc>
        <w:tc>
          <w:tcPr>
            <w:tcW w:w="1406" w:type="dxa"/>
            <w:vAlign w:val="center"/>
          </w:tcPr>
          <w:p w14:paraId="4213859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2CF0DCE1" w14:textId="77777777" w:rsidTr="00635015">
        <w:trPr>
          <w:trHeight w:val="397"/>
          <w:jc w:val="center"/>
        </w:trPr>
        <w:tc>
          <w:tcPr>
            <w:tcW w:w="818" w:type="dxa"/>
            <w:vAlign w:val="center"/>
          </w:tcPr>
          <w:p w14:paraId="2739A26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w:t>
            </w:r>
          </w:p>
        </w:tc>
        <w:tc>
          <w:tcPr>
            <w:tcW w:w="3576" w:type="dxa"/>
            <w:vAlign w:val="center"/>
          </w:tcPr>
          <w:p w14:paraId="6917996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深圳欣典信息科技有限公司</w:t>
            </w:r>
          </w:p>
        </w:tc>
        <w:tc>
          <w:tcPr>
            <w:tcW w:w="1491" w:type="dxa"/>
            <w:vAlign w:val="center"/>
          </w:tcPr>
          <w:p w14:paraId="4964719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25,520,970.60</w:t>
            </w:r>
          </w:p>
        </w:tc>
        <w:tc>
          <w:tcPr>
            <w:tcW w:w="1423" w:type="dxa"/>
            <w:vAlign w:val="center"/>
          </w:tcPr>
          <w:p w14:paraId="2D6757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66.4207%</w:t>
            </w:r>
          </w:p>
        </w:tc>
        <w:tc>
          <w:tcPr>
            <w:tcW w:w="1406" w:type="dxa"/>
            <w:vAlign w:val="center"/>
          </w:tcPr>
          <w:p w14:paraId="708803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E84675F" w14:textId="77777777" w:rsidTr="00635015">
        <w:trPr>
          <w:trHeight w:val="397"/>
          <w:jc w:val="center"/>
        </w:trPr>
        <w:tc>
          <w:tcPr>
            <w:tcW w:w="818" w:type="dxa"/>
            <w:vAlign w:val="center"/>
          </w:tcPr>
          <w:p w14:paraId="2F5673B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576" w:type="dxa"/>
            <w:vAlign w:val="center"/>
          </w:tcPr>
          <w:p w14:paraId="22A0F98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汕头市黄金嘉玩具有限公司</w:t>
            </w:r>
          </w:p>
        </w:tc>
        <w:tc>
          <w:tcPr>
            <w:tcW w:w="1491" w:type="dxa"/>
            <w:vAlign w:val="center"/>
          </w:tcPr>
          <w:p w14:paraId="1490D0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2,115,118.60</w:t>
            </w:r>
          </w:p>
        </w:tc>
        <w:tc>
          <w:tcPr>
            <w:tcW w:w="1423" w:type="dxa"/>
            <w:vAlign w:val="center"/>
          </w:tcPr>
          <w:p w14:paraId="129BF4B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5.5351%</w:t>
            </w:r>
          </w:p>
        </w:tc>
        <w:tc>
          <w:tcPr>
            <w:tcW w:w="1406" w:type="dxa"/>
            <w:vAlign w:val="center"/>
          </w:tcPr>
          <w:p w14:paraId="040853D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11CC7DD" w14:textId="77777777" w:rsidTr="00635015">
        <w:trPr>
          <w:trHeight w:val="397"/>
          <w:jc w:val="center"/>
        </w:trPr>
        <w:tc>
          <w:tcPr>
            <w:tcW w:w="818" w:type="dxa"/>
            <w:vAlign w:val="center"/>
          </w:tcPr>
          <w:p w14:paraId="487E77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576" w:type="dxa"/>
            <w:vAlign w:val="center"/>
          </w:tcPr>
          <w:p w14:paraId="36B3FCB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广东聚盛药业集团有限公司</w:t>
            </w:r>
          </w:p>
        </w:tc>
        <w:tc>
          <w:tcPr>
            <w:tcW w:w="1491" w:type="dxa"/>
            <w:vAlign w:val="center"/>
          </w:tcPr>
          <w:p w14:paraId="31F2213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30F0173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05B663B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5E182D9" w14:textId="77777777" w:rsidTr="00635015">
        <w:trPr>
          <w:trHeight w:val="397"/>
          <w:jc w:val="center"/>
        </w:trPr>
        <w:tc>
          <w:tcPr>
            <w:tcW w:w="818" w:type="dxa"/>
            <w:vAlign w:val="center"/>
          </w:tcPr>
          <w:p w14:paraId="082C35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576" w:type="dxa"/>
            <w:vAlign w:val="center"/>
          </w:tcPr>
          <w:p w14:paraId="23070C1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深圳市天华资产管理有限公司</w:t>
            </w:r>
          </w:p>
        </w:tc>
        <w:tc>
          <w:tcPr>
            <w:tcW w:w="1491" w:type="dxa"/>
            <w:vAlign w:val="center"/>
          </w:tcPr>
          <w:p w14:paraId="6067C51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0801E5E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4BDE2FE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DEFDE7D" w14:textId="77777777" w:rsidTr="00635015">
        <w:trPr>
          <w:trHeight w:val="397"/>
          <w:jc w:val="center"/>
        </w:trPr>
        <w:tc>
          <w:tcPr>
            <w:tcW w:w="818" w:type="dxa"/>
            <w:vAlign w:val="center"/>
          </w:tcPr>
          <w:p w14:paraId="576579F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576" w:type="dxa"/>
            <w:vAlign w:val="center"/>
          </w:tcPr>
          <w:p w14:paraId="6B04452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汕头市大业塑胶玩具有限公司</w:t>
            </w:r>
          </w:p>
        </w:tc>
        <w:tc>
          <w:tcPr>
            <w:tcW w:w="1491" w:type="dxa"/>
            <w:vAlign w:val="center"/>
          </w:tcPr>
          <w:p w14:paraId="1DDED0C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07FB23E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489D19B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F0E11ED" w14:textId="77777777" w:rsidTr="00635015">
        <w:trPr>
          <w:trHeight w:val="397"/>
          <w:jc w:val="center"/>
        </w:trPr>
        <w:tc>
          <w:tcPr>
            <w:tcW w:w="818" w:type="dxa"/>
            <w:vAlign w:val="center"/>
          </w:tcPr>
          <w:p w14:paraId="063741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576" w:type="dxa"/>
            <w:vAlign w:val="center"/>
          </w:tcPr>
          <w:p w14:paraId="10E8AC6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西安原本俱甲企业管理咨询合伙企业（有限合伙）</w:t>
            </w:r>
          </w:p>
        </w:tc>
        <w:tc>
          <w:tcPr>
            <w:tcW w:w="1491" w:type="dxa"/>
            <w:vAlign w:val="center"/>
          </w:tcPr>
          <w:p w14:paraId="492B22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3,556,208.23</w:t>
            </w:r>
          </w:p>
        </w:tc>
        <w:tc>
          <w:tcPr>
            <w:tcW w:w="1423" w:type="dxa"/>
            <w:vAlign w:val="center"/>
          </w:tcPr>
          <w:p w14:paraId="16D345E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9.2251%</w:t>
            </w:r>
          </w:p>
        </w:tc>
        <w:tc>
          <w:tcPr>
            <w:tcW w:w="1406" w:type="dxa"/>
            <w:vAlign w:val="center"/>
          </w:tcPr>
          <w:p w14:paraId="422D4D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6AFA8D7" w14:textId="77777777" w:rsidTr="00635015">
        <w:trPr>
          <w:trHeight w:val="397"/>
          <w:jc w:val="center"/>
        </w:trPr>
        <w:tc>
          <w:tcPr>
            <w:tcW w:w="818" w:type="dxa"/>
            <w:vAlign w:val="center"/>
          </w:tcPr>
          <w:p w14:paraId="39D29F3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576" w:type="dxa"/>
            <w:vAlign w:val="center"/>
          </w:tcPr>
          <w:p w14:paraId="6033E7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深圳市恒和装饰设计工程有限公司</w:t>
            </w:r>
          </w:p>
        </w:tc>
        <w:tc>
          <w:tcPr>
            <w:tcW w:w="1491" w:type="dxa"/>
            <w:vAlign w:val="center"/>
          </w:tcPr>
          <w:p w14:paraId="4250EBA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720,544.83</w:t>
            </w:r>
          </w:p>
        </w:tc>
        <w:tc>
          <w:tcPr>
            <w:tcW w:w="1423" w:type="dxa"/>
            <w:vAlign w:val="center"/>
          </w:tcPr>
          <w:p w14:paraId="356E593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1.8450%</w:t>
            </w:r>
          </w:p>
        </w:tc>
        <w:tc>
          <w:tcPr>
            <w:tcW w:w="1406" w:type="dxa"/>
            <w:vAlign w:val="center"/>
          </w:tcPr>
          <w:p w14:paraId="656249A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C10FAD" w14:textId="77777777" w:rsidTr="00635015">
        <w:trPr>
          <w:trHeight w:val="397"/>
          <w:jc w:val="center"/>
        </w:trPr>
        <w:tc>
          <w:tcPr>
            <w:tcW w:w="4394" w:type="dxa"/>
            <w:gridSpan w:val="2"/>
            <w:vAlign w:val="center"/>
          </w:tcPr>
          <w:p w14:paraId="1BED038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491" w:type="dxa"/>
            <w:vAlign w:val="center"/>
          </w:tcPr>
          <w:p w14:paraId="6EADB14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38,420,913.31</w:t>
            </w:r>
          </w:p>
        </w:tc>
        <w:tc>
          <w:tcPr>
            <w:tcW w:w="1423" w:type="dxa"/>
            <w:vAlign w:val="center"/>
          </w:tcPr>
          <w:p w14:paraId="1875E89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06" w:type="dxa"/>
            <w:vAlign w:val="center"/>
          </w:tcPr>
          <w:p w14:paraId="7E6820D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4"/>
    <w:p w14:paraId="232B22EB" w14:textId="178B89EC" w:rsidR="0012401B" w:rsidRPr="00DA3766" w:rsidRDefault="0012401B" w:rsidP="0012401B">
      <w:pPr>
        <w:pStyle w:val="005"/>
        <w:spacing w:before="120" w:after="120"/>
        <w:ind w:firstLine="482"/>
        <w:rPr>
          <w:b/>
          <w:bCs/>
          <w:snapToGrid w:val="0"/>
        </w:rPr>
      </w:pPr>
      <w:r w:rsidRPr="00DA3766">
        <w:rPr>
          <w:b/>
          <w:bCs/>
          <w:snapToGrid w:val="0"/>
        </w:rPr>
        <w:t>（</w:t>
      </w:r>
      <w:r w:rsidRPr="00DA3766">
        <w:rPr>
          <w:b/>
          <w:bCs/>
          <w:snapToGrid w:val="0"/>
        </w:rPr>
        <w:t>6</w:t>
      </w:r>
      <w:r w:rsidRPr="00DA3766">
        <w:rPr>
          <w:b/>
          <w:bCs/>
          <w:snapToGrid w:val="0"/>
        </w:rPr>
        <w:t>）乐熙熙</w:t>
      </w:r>
    </w:p>
    <w:p w14:paraId="48E766A4" w14:textId="40A858E2"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bookmarkStart w:id="195" w:name="_Hlk219328251"/>
      <w:r w:rsidRPr="00DA3766">
        <w:rPr>
          <w:rFonts w:ascii="Times New Roman" w:hAnsi="Times New Roman" w:cs="Times New Roman"/>
          <w:snapToGrid w:val="0"/>
        </w:rPr>
        <w:t>乐熙熙在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日）存在合伙人入伙、退伙、转让财产份额、减少出资额情况，具体如下：</w:t>
      </w:r>
    </w:p>
    <w:p w14:paraId="7059702D"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hint="eastAsia"/>
        </w:rPr>
        <w:t>①</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月，出资额转让</w:t>
      </w:r>
    </w:p>
    <w:p w14:paraId="32315CF1"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4</w:t>
      </w:r>
      <w:r w:rsidRPr="00DA3766">
        <w:rPr>
          <w:rFonts w:ascii="Times New Roman" w:hAnsi="Times New Roman" w:cs="Times New Roman"/>
        </w:rPr>
        <w:t>日，乐熙熙全体合伙人签署新的《合伙协议》，</w:t>
      </w:r>
      <w:r w:rsidRPr="00DA3766">
        <w:rPr>
          <w:rFonts w:ascii="Times New Roman" w:hAnsi="Times New Roman" w:cs="Times New Roman"/>
          <w:lang w:bidi="ar"/>
        </w:rPr>
        <w:t>何靖蕴将持有的</w:t>
      </w:r>
      <w:r w:rsidRPr="00DA3766">
        <w:rPr>
          <w:rFonts w:ascii="Times New Roman" w:hAnsi="Times New Roman" w:cs="Times New Roman"/>
          <w:lang w:bidi="ar"/>
        </w:rPr>
        <w:t>8.88</w:t>
      </w:r>
      <w:r w:rsidRPr="00DA3766">
        <w:rPr>
          <w:rFonts w:ascii="Times New Roman" w:hAnsi="Times New Roman" w:cs="Times New Roman"/>
          <w:lang w:bidi="ar"/>
        </w:rPr>
        <w:t>万元合伙份额转让给陈耿豪并退出合伙企业。</w:t>
      </w:r>
      <w:r w:rsidRPr="00DA3766">
        <w:rPr>
          <w:rFonts w:ascii="Times New Roman" w:hAnsi="Times New Roman" w:cs="Times New Roman"/>
          <w:snapToGrid w:val="0"/>
        </w:rPr>
        <w:t>本次转让系</w:t>
      </w:r>
      <w:r w:rsidRPr="00DA3766">
        <w:rPr>
          <w:rFonts w:ascii="Times New Roman" w:hAnsi="Times New Roman" w:cs="Times New Roman"/>
          <w:lang w:bidi="ar"/>
        </w:rPr>
        <w:t>何靖蕴</w:t>
      </w:r>
      <w:r w:rsidRPr="00DA3766">
        <w:rPr>
          <w:rFonts w:ascii="Times New Roman" w:hAnsi="Times New Roman" w:cs="Times New Roman"/>
          <w:snapToGrid w:val="0"/>
        </w:rPr>
        <w:t>自公司离职，实控人收回激励股权。</w:t>
      </w:r>
    </w:p>
    <w:p w14:paraId="2AC7674A"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2024</w:t>
      </w:r>
      <w:r w:rsidRPr="00DA3766">
        <w:rPr>
          <w:rFonts w:ascii="Times New Roman" w:hAnsi="Times New Roman" w:cs="Times New Roman"/>
          <w:lang w:bidi="ar"/>
        </w:rPr>
        <w:t>年</w:t>
      </w:r>
      <w:r w:rsidRPr="00DA3766">
        <w:rPr>
          <w:rFonts w:ascii="Times New Roman" w:hAnsi="Times New Roman" w:cs="Times New Roman"/>
          <w:lang w:bidi="ar"/>
        </w:rPr>
        <w:t>12</w:t>
      </w:r>
      <w:r w:rsidRPr="00DA3766">
        <w:rPr>
          <w:rFonts w:ascii="Times New Roman" w:hAnsi="Times New Roman" w:cs="Times New Roman"/>
          <w:lang w:bidi="ar"/>
        </w:rPr>
        <w:t>月</w:t>
      </w:r>
      <w:r w:rsidRPr="00DA3766">
        <w:rPr>
          <w:rFonts w:ascii="Times New Roman" w:hAnsi="Times New Roman" w:cs="Times New Roman"/>
          <w:lang w:bidi="ar"/>
        </w:rPr>
        <w:t>12</w:t>
      </w:r>
      <w:r w:rsidRPr="00DA3766">
        <w:rPr>
          <w:rFonts w:ascii="Times New Roman" w:hAnsi="Times New Roman" w:cs="Times New Roman"/>
          <w:lang w:bidi="ar"/>
        </w:rPr>
        <w:t>日，乐熙熙就本次变更完成工商变更登记。</w:t>
      </w:r>
    </w:p>
    <w:p w14:paraId="3ED23E47"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本次转让后，乐熙熙的出资结构如下：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5926509C" w14:textId="77777777" w:rsidTr="007F36AF">
        <w:trPr>
          <w:trHeight w:val="397"/>
          <w:tblHeader/>
          <w:jc w:val="center"/>
        </w:trPr>
        <w:tc>
          <w:tcPr>
            <w:tcW w:w="668" w:type="dxa"/>
            <w:vAlign w:val="center"/>
          </w:tcPr>
          <w:p w14:paraId="22ABECB5"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38A4971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D456E87"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BADFFB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2D38050B"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182E8CAF" w14:textId="77777777" w:rsidTr="00DA3766">
        <w:trPr>
          <w:trHeight w:val="397"/>
          <w:jc w:val="center"/>
        </w:trPr>
        <w:tc>
          <w:tcPr>
            <w:tcW w:w="668" w:type="dxa"/>
            <w:vAlign w:val="center"/>
          </w:tcPr>
          <w:p w14:paraId="2DEF53C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516EC53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21910F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24.846</w:t>
            </w:r>
          </w:p>
        </w:tc>
        <w:tc>
          <w:tcPr>
            <w:tcW w:w="1428" w:type="dxa"/>
            <w:vAlign w:val="center"/>
          </w:tcPr>
          <w:p w14:paraId="54FFE14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12.4230%</w:t>
            </w:r>
          </w:p>
        </w:tc>
        <w:tc>
          <w:tcPr>
            <w:tcW w:w="1420" w:type="dxa"/>
            <w:vAlign w:val="center"/>
          </w:tcPr>
          <w:p w14:paraId="77732A6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7E250A6F" w14:textId="77777777" w:rsidTr="00DA3766">
        <w:trPr>
          <w:trHeight w:val="397"/>
          <w:jc w:val="center"/>
        </w:trPr>
        <w:tc>
          <w:tcPr>
            <w:tcW w:w="668" w:type="dxa"/>
            <w:vAlign w:val="center"/>
          </w:tcPr>
          <w:p w14:paraId="4CD7D2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0EAD395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267E4B8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62429F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446BFF1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04F9438" w14:textId="77777777" w:rsidTr="00DA3766">
        <w:trPr>
          <w:trHeight w:val="397"/>
          <w:jc w:val="center"/>
        </w:trPr>
        <w:tc>
          <w:tcPr>
            <w:tcW w:w="668" w:type="dxa"/>
            <w:vAlign w:val="center"/>
          </w:tcPr>
          <w:p w14:paraId="6E0E4DA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35C6710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18EA5C7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1EA8CB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E25EF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9F17635" w14:textId="77777777" w:rsidTr="00DA3766">
        <w:trPr>
          <w:trHeight w:val="397"/>
          <w:jc w:val="center"/>
        </w:trPr>
        <w:tc>
          <w:tcPr>
            <w:tcW w:w="668" w:type="dxa"/>
            <w:vAlign w:val="center"/>
          </w:tcPr>
          <w:p w14:paraId="27F5F66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21FB4B0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407B05F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4A9FCEA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6FC8EB2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B41D551" w14:textId="77777777" w:rsidTr="00DA3766">
        <w:trPr>
          <w:trHeight w:val="397"/>
          <w:jc w:val="center"/>
        </w:trPr>
        <w:tc>
          <w:tcPr>
            <w:tcW w:w="668" w:type="dxa"/>
            <w:vAlign w:val="center"/>
          </w:tcPr>
          <w:p w14:paraId="0F5096A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21B0AF3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123E479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A4E372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25A80E8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8F9A7EE" w14:textId="77777777" w:rsidTr="00DA3766">
        <w:trPr>
          <w:trHeight w:val="397"/>
          <w:jc w:val="center"/>
        </w:trPr>
        <w:tc>
          <w:tcPr>
            <w:tcW w:w="668" w:type="dxa"/>
            <w:vAlign w:val="center"/>
          </w:tcPr>
          <w:p w14:paraId="67A1457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30F2B32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69D0DA7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48.0800</w:t>
            </w:r>
          </w:p>
        </w:tc>
        <w:tc>
          <w:tcPr>
            <w:tcW w:w="1428" w:type="dxa"/>
            <w:vAlign w:val="center"/>
          </w:tcPr>
          <w:p w14:paraId="0C597F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24.0400%</w:t>
            </w:r>
          </w:p>
        </w:tc>
        <w:tc>
          <w:tcPr>
            <w:tcW w:w="1420" w:type="dxa"/>
            <w:vAlign w:val="center"/>
          </w:tcPr>
          <w:p w14:paraId="6089291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201AB5D" w14:textId="77777777" w:rsidTr="00DA3766">
        <w:trPr>
          <w:trHeight w:val="397"/>
          <w:jc w:val="center"/>
        </w:trPr>
        <w:tc>
          <w:tcPr>
            <w:tcW w:w="668" w:type="dxa"/>
            <w:vAlign w:val="center"/>
          </w:tcPr>
          <w:p w14:paraId="6CAC09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1EFF4F7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43974E2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7.8600</w:t>
            </w:r>
          </w:p>
        </w:tc>
        <w:tc>
          <w:tcPr>
            <w:tcW w:w="1428" w:type="dxa"/>
            <w:vAlign w:val="center"/>
          </w:tcPr>
          <w:p w14:paraId="1E9F3A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3.9300%</w:t>
            </w:r>
          </w:p>
        </w:tc>
        <w:tc>
          <w:tcPr>
            <w:tcW w:w="1420" w:type="dxa"/>
            <w:vAlign w:val="center"/>
          </w:tcPr>
          <w:p w14:paraId="5D8FD59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754D060" w14:textId="77777777" w:rsidTr="00DA3766">
        <w:trPr>
          <w:trHeight w:val="397"/>
          <w:jc w:val="center"/>
        </w:trPr>
        <w:tc>
          <w:tcPr>
            <w:tcW w:w="668" w:type="dxa"/>
            <w:vAlign w:val="center"/>
          </w:tcPr>
          <w:p w14:paraId="451800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44E1AA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04C63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5.3280</w:t>
            </w:r>
          </w:p>
        </w:tc>
        <w:tc>
          <w:tcPr>
            <w:tcW w:w="1428" w:type="dxa"/>
            <w:vAlign w:val="center"/>
          </w:tcPr>
          <w:p w14:paraId="2D8511E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2.6640%</w:t>
            </w:r>
          </w:p>
        </w:tc>
        <w:tc>
          <w:tcPr>
            <w:tcW w:w="1420" w:type="dxa"/>
            <w:vAlign w:val="center"/>
          </w:tcPr>
          <w:p w14:paraId="650CCE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8CD73A5" w14:textId="77777777" w:rsidTr="00DA3766">
        <w:trPr>
          <w:trHeight w:val="397"/>
          <w:jc w:val="center"/>
        </w:trPr>
        <w:tc>
          <w:tcPr>
            <w:tcW w:w="668" w:type="dxa"/>
            <w:vAlign w:val="center"/>
          </w:tcPr>
          <w:p w14:paraId="4BCAB48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3A7BE3E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3DE3C8E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20.7200</w:t>
            </w:r>
          </w:p>
        </w:tc>
        <w:tc>
          <w:tcPr>
            <w:tcW w:w="1428" w:type="dxa"/>
            <w:vAlign w:val="center"/>
          </w:tcPr>
          <w:p w14:paraId="669E01A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10.3600%</w:t>
            </w:r>
          </w:p>
        </w:tc>
        <w:tc>
          <w:tcPr>
            <w:tcW w:w="1420" w:type="dxa"/>
            <w:vAlign w:val="center"/>
          </w:tcPr>
          <w:p w14:paraId="56B354E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9E03578" w14:textId="77777777" w:rsidTr="00DA3766">
        <w:trPr>
          <w:trHeight w:val="397"/>
          <w:jc w:val="center"/>
        </w:trPr>
        <w:tc>
          <w:tcPr>
            <w:tcW w:w="668" w:type="dxa"/>
            <w:vAlign w:val="center"/>
          </w:tcPr>
          <w:p w14:paraId="3CDA44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10</w:t>
            </w:r>
          </w:p>
        </w:tc>
        <w:tc>
          <w:tcPr>
            <w:tcW w:w="3371" w:type="dxa"/>
            <w:vAlign w:val="center"/>
          </w:tcPr>
          <w:p w14:paraId="1C78434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4CB8FA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6F7AF4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5B01A9E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ECFEE37" w14:textId="77777777" w:rsidTr="00DA3766">
        <w:trPr>
          <w:trHeight w:val="397"/>
          <w:jc w:val="center"/>
        </w:trPr>
        <w:tc>
          <w:tcPr>
            <w:tcW w:w="668" w:type="dxa"/>
            <w:vAlign w:val="center"/>
          </w:tcPr>
          <w:p w14:paraId="597037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40FBD9B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18DD0B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730DAB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6E8B3DD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1CDE5FE" w14:textId="77777777" w:rsidTr="00DA3766">
        <w:trPr>
          <w:trHeight w:val="397"/>
          <w:jc w:val="center"/>
        </w:trPr>
        <w:tc>
          <w:tcPr>
            <w:tcW w:w="668" w:type="dxa"/>
            <w:vAlign w:val="center"/>
          </w:tcPr>
          <w:p w14:paraId="39F2AC1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2DC0CE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58C9EC7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11.1000</w:t>
            </w:r>
          </w:p>
        </w:tc>
        <w:tc>
          <w:tcPr>
            <w:tcW w:w="1428" w:type="dxa"/>
            <w:vAlign w:val="center"/>
          </w:tcPr>
          <w:p w14:paraId="55810C8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5.5500%</w:t>
            </w:r>
          </w:p>
        </w:tc>
        <w:tc>
          <w:tcPr>
            <w:tcW w:w="1420" w:type="dxa"/>
            <w:vAlign w:val="center"/>
          </w:tcPr>
          <w:p w14:paraId="52C9C66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5A63B72" w14:textId="77777777" w:rsidTr="00DA3766">
        <w:trPr>
          <w:trHeight w:val="397"/>
          <w:jc w:val="center"/>
        </w:trPr>
        <w:tc>
          <w:tcPr>
            <w:tcW w:w="668" w:type="dxa"/>
            <w:vAlign w:val="center"/>
          </w:tcPr>
          <w:p w14:paraId="72FD030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6F6B42B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00EB78D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3.7000</w:t>
            </w:r>
          </w:p>
        </w:tc>
        <w:tc>
          <w:tcPr>
            <w:tcW w:w="1428" w:type="dxa"/>
            <w:vAlign w:val="center"/>
          </w:tcPr>
          <w:p w14:paraId="6486BA0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1.8500%</w:t>
            </w:r>
          </w:p>
        </w:tc>
        <w:tc>
          <w:tcPr>
            <w:tcW w:w="1420" w:type="dxa"/>
            <w:vAlign w:val="center"/>
          </w:tcPr>
          <w:p w14:paraId="1F9B58B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DF5C8C0" w14:textId="77777777" w:rsidTr="00DA3766">
        <w:trPr>
          <w:trHeight w:val="397"/>
          <w:jc w:val="center"/>
        </w:trPr>
        <w:tc>
          <w:tcPr>
            <w:tcW w:w="668" w:type="dxa"/>
            <w:vAlign w:val="center"/>
          </w:tcPr>
          <w:p w14:paraId="7543404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3005E90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6DC916C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67C498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791CB91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FF49F72" w14:textId="77777777" w:rsidTr="00DA3766">
        <w:trPr>
          <w:trHeight w:val="397"/>
          <w:jc w:val="center"/>
        </w:trPr>
        <w:tc>
          <w:tcPr>
            <w:tcW w:w="668" w:type="dxa"/>
            <w:vAlign w:val="center"/>
          </w:tcPr>
          <w:p w14:paraId="392351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1AF9AC7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7759D6F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4C99F45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493E8EA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548B66D" w14:textId="77777777" w:rsidTr="00DA3766">
        <w:trPr>
          <w:trHeight w:val="397"/>
          <w:jc w:val="center"/>
        </w:trPr>
        <w:tc>
          <w:tcPr>
            <w:tcW w:w="668" w:type="dxa"/>
            <w:vAlign w:val="center"/>
          </w:tcPr>
          <w:p w14:paraId="6695CA6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1B81CFB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5E0A8F9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4.5880</w:t>
            </w:r>
          </w:p>
        </w:tc>
        <w:tc>
          <w:tcPr>
            <w:tcW w:w="1428" w:type="dxa"/>
            <w:vAlign w:val="center"/>
          </w:tcPr>
          <w:p w14:paraId="5632CA0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2.2940%</w:t>
            </w:r>
          </w:p>
        </w:tc>
        <w:tc>
          <w:tcPr>
            <w:tcW w:w="1420" w:type="dxa"/>
            <w:vAlign w:val="center"/>
          </w:tcPr>
          <w:p w14:paraId="757E31C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B67D90" w14:textId="77777777" w:rsidTr="00DA3766">
        <w:trPr>
          <w:trHeight w:val="397"/>
          <w:jc w:val="center"/>
        </w:trPr>
        <w:tc>
          <w:tcPr>
            <w:tcW w:w="668" w:type="dxa"/>
            <w:vAlign w:val="center"/>
          </w:tcPr>
          <w:p w14:paraId="518B35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6488FD0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765ED9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2FB85D8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4EE7B27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D3E63A" w14:textId="77777777" w:rsidTr="00DA3766">
        <w:trPr>
          <w:trHeight w:val="397"/>
          <w:jc w:val="center"/>
        </w:trPr>
        <w:tc>
          <w:tcPr>
            <w:tcW w:w="668" w:type="dxa"/>
            <w:vAlign w:val="center"/>
          </w:tcPr>
          <w:p w14:paraId="58FBBA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4C2436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24559BB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0342F91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3B5AEA1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F1180CD" w14:textId="77777777" w:rsidTr="00DA3766">
        <w:trPr>
          <w:trHeight w:val="397"/>
          <w:jc w:val="center"/>
        </w:trPr>
        <w:tc>
          <w:tcPr>
            <w:tcW w:w="668" w:type="dxa"/>
            <w:vAlign w:val="center"/>
          </w:tcPr>
          <w:p w14:paraId="4134167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064D989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9E37A6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56DC697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60C6A0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7BF6C8F" w14:textId="77777777" w:rsidTr="00DA3766">
        <w:trPr>
          <w:trHeight w:val="397"/>
          <w:jc w:val="center"/>
        </w:trPr>
        <w:tc>
          <w:tcPr>
            <w:tcW w:w="668" w:type="dxa"/>
            <w:vAlign w:val="center"/>
          </w:tcPr>
          <w:p w14:paraId="1D8701E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5F60D50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20DA67A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75C67AC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5A60343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34C1896" w14:textId="77777777" w:rsidTr="00DA3766">
        <w:trPr>
          <w:trHeight w:val="397"/>
          <w:jc w:val="center"/>
        </w:trPr>
        <w:tc>
          <w:tcPr>
            <w:tcW w:w="668" w:type="dxa"/>
            <w:vAlign w:val="center"/>
          </w:tcPr>
          <w:p w14:paraId="45B470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6426F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2DC833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7459D99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35FE994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B59C44D" w14:textId="77777777" w:rsidTr="00DA3766">
        <w:trPr>
          <w:trHeight w:val="397"/>
          <w:jc w:val="center"/>
        </w:trPr>
        <w:tc>
          <w:tcPr>
            <w:tcW w:w="668" w:type="dxa"/>
            <w:vAlign w:val="center"/>
          </w:tcPr>
          <w:p w14:paraId="1957DE6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5AFBD9D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0AE084A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4.4400</w:t>
            </w:r>
          </w:p>
        </w:tc>
        <w:tc>
          <w:tcPr>
            <w:tcW w:w="1428" w:type="dxa"/>
            <w:vAlign w:val="center"/>
          </w:tcPr>
          <w:p w14:paraId="624D4D4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2.2200%</w:t>
            </w:r>
          </w:p>
        </w:tc>
        <w:tc>
          <w:tcPr>
            <w:tcW w:w="1420" w:type="dxa"/>
            <w:vAlign w:val="center"/>
          </w:tcPr>
          <w:p w14:paraId="4A99DA5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2C34E7F" w14:textId="77777777" w:rsidTr="00DA3766">
        <w:trPr>
          <w:trHeight w:val="397"/>
          <w:jc w:val="center"/>
        </w:trPr>
        <w:tc>
          <w:tcPr>
            <w:tcW w:w="668" w:type="dxa"/>
            <w:vAlign w:val="center"/>
          </w:tcPr>
          <w:p w14:paraId="0DCC74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779095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00CF6B3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0.2220</w:t>
            </w:r>
          </w:p>
        </w:tc>
        <w:tc>
          <w:tcPr>
            <w:tcW w:w="1428" w:type="dxa"/>
            <w:vAlign w:val="center"/>
          </w:tcPr>
          <w:p w14:paraId="3051923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0.1110%</w:t>
            </w:r>
          </w:p>
        </w:tc>
        <w:tc>
          <w:tcPr>
            <w:tcW w:w="1420" w:type="dxa"/>
            <w:vAlign w:val="center"/>
          </w:tcPr>
          <w:p w14:paraId="44635B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FFB405B" w14:textId="77777777" w:rsidTr="00DA3766">
        <w:trPr>
          <w:trHeight w:val="397"/>
          <w:jc w:val="center"/>
        </w:trPr>
        <w:tc>
          <w:tcPr>
            <w:tcW w:w="668" w:type="dxa"/>
            <w:vAlign w:val="center"/>
          </w:tcPr>
          <w:p w14:paraId="09A71E6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6B470F9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202E057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2093CE5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615FB6F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EFF474C" w14:textId="77777777" w:rsidTr="00DA3766">
        <w:trPr>
          <w:trHeight w:val="397"/>
          <w:jc w:val="center"/>
        </w:trPr>
        <w:tc>
          <w:tcPr>
            <w:tcW w:w="668" w:type="dxa"/>
            <w:vAlign w:val="center"/>
          </w:tcPr>
          <w:p w14:paraId="54E0AAF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4A0C942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5F9BCF9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777BBA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765FF4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F3E27C4" w14:textId="77777777" w:rsidTr="00DA3766">
        <w:trPr>
          <w:trHeight w:val="397"/>
          <w:jc w:val="center"/>
        </w:trPr>
        <w:tc>
          <w:tcPr>
            <w:tcW w:w="668" w:type="dxa"/>
            <w:vAlign w:val="center"/>
          </w:tcPr>
          <w:p w14:paraId="125EF5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600835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35FF17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6313B5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79BEFEB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B2A4FE0" w14:textId="77777777" w:rsidTr="00DA3766">
        <w:trPr>
          <w:trHeight w:val="397"/>
          <w:jc w:val="center"/>
        </w:trPr>
        <w:tc>
          <w:tcPr>
            <w:tcW w:w="668" w:type="dxa"/>
            <w:vAlign w:val="center"/>
          </w:tcPr>
          <w:p w14:paraId="7E88651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519B09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43D602F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2.2200</w:t>
            </w:r>
          </w:p>
        </w:tc>
        <w:tc>
          <w:tcPr>
            <w:tcW w:w="1428" w:type="dxa"/>
            <w:vAlign w:val="center"/>
          </w:tcPr>
          <w:p w14:paraId="043D2AA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1.1100%</w:t>
            </w:r>
          </w:p>
        </w:tc>
        <w:tc>
          <w:tcPr>
            <w:tcW w:w="1420" w:type="dxa"/>
            <w:vAlign w:val="center"/>
          </w:tcPr>
          <w:p w14:paraId="399A2FD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EC233C0" w14:textId="77777777" w:rsidTr="00DA3766">
        <w:trPr>
          <w:trHeight w:val="397"/>
          <w:jc w:val="center"/>
        </w:trPr>
        <w:tc>
          <w:tcPr>
            <w:tcW w:w="668" w:type="dxa"/>
            <w:vAlign w:val="center"/>
          </w:tcPr>
          <w:p w14:paraId="51473F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355B3C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0825686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E224E9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252DF2A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517E6E9" w14:textId="77777777" w:rsidTr="00DA3766">
        <w:trPr>
          <w:trHeight w:val="397"/>
          <w:jc w:val="center"/>
        </w:trPr>
        <w:tc>
          <w:tcPr>
            <w:tcW w:w="668" w:type="dxa"/>
            <w:vAlign w:val="center"/>
          </w:tcPr>
          <w:p w14:paraId="2B48331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0BDD4B1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439627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4.5140</w:t>
            </w:r>
          </w:p>
        </w:tc>
        <w:tc>
          <w:tcPr>
            <w:tcW w:w="1428" w:type="dxa"/>
            <w:vAlign w:val="center"/>
          </w:tcPr>
          <w:p w14:paraId="72861A3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2.2570%</w:t>
            </w:r>
          </w:p>
        </w:tc>
        <w:tc>
          <w:tcPr>
            <w:tcW w:w="1420" w:type="dxa"/>
            <w:vAlign w:val="center"/>
          </w:tcPr>
          <w:p w14:paraId="1DA7B00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4AAA51" w14:textId="77777777" w:rsidTr="00DA3766">
        <w:trPr>
          <w:trHeight w:val="397"/>
          <w:jc w:val="center"/>
        </w:trPr>
        <w:tc>
          <w:tcPr>
            <w:tcW w:w="668" w:type="dxa"/>
            <w:vAlign w:val="center"/>
          </w:tcPr>
          <w:p w14:paraId="41025C9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12A73F4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3532B3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5.9200</w:t>
            </w:r>
          </w:p>
        </w:tc>
        <w:tc>
          <w:tcPr>
            <w:tcW w:w="1428" w:type="dxa"/>
            <w:vAlign w:val="center"/>
          </w:tcPr>
          <w:p w14:paraId="751C03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2.9600%</w:t>
            </w:r>
          </w:p>
        </w:tc>
        <w:tc>
          <w:tcPr>
            <w:tcW w:w="1420" w:type="dxa"/>
            <w:vAlign w:val="center"/>
          </w:tcPr>
          <w:p w14:paraId="4EBB1CB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BD5BE3F" w14:textId="77777777" w:rsidTr="00DA3766">
        <w:trPr>
          <w:trHeight w:val="397"/>
          <w:jc w:val="center"/>
        </w:trPr>
        <w:tc>
          <w:tcPr>
            <w:tcW w:w="668" w:type="dxa"/>
            <w:vAlign w:val="center"/>
          </w:tcPr>
          <w:p w14:paraId="7A74EAF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72663A2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56D0D35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11.8400</w:t>
            </w:r>
          </w:p>
        </w:tc>
        <w:tc>
          <w:tcPr>
            <w:tcW w:w="1428" w:type="dxa"/>
            <w:vAlign w:val="center"/>
          </w:tcPr>
          <w:p w14:paraId="244871D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5.9200%</w:t>
            </w:r>
          </w:p>
        </w:tc>
        <w:tc>
          <w:tcPr>
            <w:tcW w:w="1420" w:type="dxa"/>
            <w:vAlign w:val="center"/>
          </w:tcPr>
          <w:p w14:paraId="0A45338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061FFA4" w14:textId="77777777" w:rsidTr="00DA3766">
        <w:trPr>
          <w:trHeight w:val="397"/>
          <w:jc w:val="center"/>
        </w:trPr>
        <w:tc>
          <w:tcPr>
            <w:tcW w:w="668" w:type="dxa"/>
            <w:vAlign w:val="center"/>
          </w:tcPr>
          <w:p w14:paraId="71F03D5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371" w:type="dxa"/>
            <w:vAlign w:val="center"/>
          </w:tcPr>
          <w:p w14:paraId="286D42B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张满光</w:t>
            </w:r>
          </w:p>
        </w:tc>
        <w:tc>
          <w:tcPr>
            <w:tcW w:w="1641" w:type="dxa"/>
            <w:vAlign w:val="center"/>
          </w:tcPr>
          <w:p w14:paraId="02A61F4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7.4000</w:t>
            </w:r>
          </w:p>
        </w:tc>
        <w:tc>
          <w:tcPr>
            <w:tcW w:w="1428" w:type="dxa"/>
            <w:vAlign w:val="center"/>
          </w:tcPr>
          <w:p w14:paraId="3A0BDA9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73CD91D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77725DD" w14:textId="77777777" w:rsidTr="00DA3766">
        <w:trPr>
          <w:trHeight w:val="397"/>
          <w:jc w:val="center"/>
        </w:trPr>
        <w:tc>
          <w:tcPr>
            <w:tcW w:w="668" w:type="dxa"/>
            <w:vAlign w:val="center"/>
          </w:tcPr>
          <w:p w14:paraId="3A98F2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33</w:t>
            </w:r>
          </w:p>
        </w:tc>
        <w:tc>
          <w:tcPr>
            <w:tcW w:w="3371" w:type="dxa"/>
            <w:vAlign w:val="center"/>
          </w:tcPr>
          <w:p w14:paraId="188E5E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何勤红</w:t>
            </w:r>
          </w:p>
        </w:tc>
        <w:tc>
          <w:tcPr>
            <w:tcW w:w="1641" w:type="dxa"/>
            <w:vAlign w:val="center"/>
          </w:tcPr>
          <w:p w14:paraId="28D7540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4.6620</w:t>
            </w:r>
          </w:p>
        </w:tc>
        <w:tc>
          <w:tcPr>
            <w:tcW w:w="1428" w:type="dxa"/>
            <w:vAlign w:val="center"/>
          </w:tcPr>
          <w:p w14:paraId="67C093C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2.3310%</w:t>
            </w:r>
          </w:p>
        </w:tc>
        <w:tc>
          <w:tcPr>
            <w:tcW w:w="1420" w:type="dxa"/>
            <w:vAlign w:val="center"/>
          </w:tcPr>
          <w:p w14:paraId="61F1E1F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80213F" w14:textId="77777777" w:rsidTr="00DA3766">
        <w:trPr>
          <w:trHeight w:val="397"/>
          <w:jc w:val="center"/>
        </w:trPr>
        <w:tc>
          <w:tcPr>
            <w:tcW w:w="4039" w:type="dxa"/>
            <w:gridSpan w:val="2"/>
            <w:vAlign w:val="center"/>
          </w:tcPr>
          <w:p w14:paraId="50F4544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4852A64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200.000</w:t>
            </w:r>
          </w:p>
        </w:tc>
        <w:tc>
          <w:tcPr>
            <w:tcW w:w="1428" w:type="dxa"/>
            <w:vAlign w:val="center"/>
          </w:tcPr>
          <w:p w14:paraId="25C0B9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100.0000%</w:t>
            </w:r>
          </w:p>
        </w:tc>
        <w:tc>
          <w:tcPr>
            <w:tcW w:w="1420" w:type="dxa"/>
            <w:vAlign w:val="center"/>
          </w:tcPr>
          <w:p w14:paraId="6D9530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41881FB7"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hint="eastAsia"/>
        </w:rPr>
        <w:t>②</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3</w:t>
      </w:r>
      <w:r w:rsidRPr="00DA3766">
        <w:rPr>
          <w:rFonts w:ascii="Times New Roman" w:hAnsi="Times New Roman" w:cs="Times New Roman"/>
        </w:rPr>
        <w:t>月，出资额转让</w:t>
      </w:r>
    </w:p>
    <w:p w14:paraId="1E35814E" w14:textId="1566B5A3"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2</w:t>
      </w:r>
      <w:r w:rsidRPr="00DA3766">
        <w:rPr>
          <w:rFonts w:ascii="Times New Roman" w:hAnsi="Times New Roman" w:cs="Times New Roman"/>
        </w:rPr>
        <w:t>月</w:t>
      </w:r>
      <w:r w:rsidRPr="00DA3766">
        <w:rPr>
          <w:rFonts w:ascii="Times New Roman" w:hAnsi="Times New Roman" w:cs="Times New Roman"/>
        </w:rPr>
        <w:t>28</w:t>
      </w:r>
      <w:r w:rsidRPr="00DA3766">
        <w:rPr>
          <w:rFonts w:ascii="Times New Roman" w:hAnsi="Times New Roman" w:cs="Times New Roman"/>
        </w:rPr>
        <w:t>日，乐熙熙全体合伙人签署新的《合伙协议》，</w:t>
      </w:r>
      <w:r w:rsidRPr="00DA3766">
        <w:rPr>
          <w:rFonts w:ascii="Times New Roman" w:hAnsi="Times New Roman" w:cs="Times New Roman"/>
          <w:lang w:bidi="ar"/>
        </w:rPr>
        <w:t>张满光、何勤红分别将持有的</w:t>
      </w:r>
      <w:r w:rsidRPr="00DA3766">
        <w:rPr>
          <w:rFonts w:ascii="Times New Roman" w:hAnsi="Times New Roman" w:cs="Times New Roman"/>
          <w:lang w:bidi="ar"/>
        </w:rPr>
        <w:t>7.4</w:t>
      </w:r>
      <w:r w:rsidRPr="00DA3766">
        <w:rPr>
          <w:rFonts w:ascii="Times New Roman" w:hAnsi="Times New Roman" w:cs="Times New Roman"/>
          <w:lang w:bidi="ar"/>
        </w:rPr>
        <w:t>万元合伙份额、</w:t>
      </w:r>
      <w:r w:rsidRPr="00DA3766">
        <w:rPr>
          <w:rFonts w:ascii="Times New Roman" w:hAnsi="Times New Roman" w:cs="Times New Roman"/>
          <w:lang w:bidi="ar"/>
        </w:rPr>
        <w:t>4.662</w:t>
      </w:r>
      <w:r w:rsidRPr="00DA3766">
        <w:rPr>
          <w:rFonts w:ascii="Times New Roman" w:hAnsi="Times New Roman" w:cs="Times New Roman"/>
          <w:lang w:bidi="ar"/>
        </w:rPr>
        <w:t>万元合伙份额转让给陈耿豪并退出合伙企业。</w:t>
      </w:r>
      <w:r w:rsidRPr="00DA3766">
        <w:rPr>
          <w:rFonts w:ascii="Times New Roman" w:hAnsi="Times New Roman" w:cs="Times New Roman"/>
          <w:snapToGrid w:val="0"/>
        </w:rPr>
        <w:t>本次转让系</w:t>
      </w:r>
      <w:r w:rsidRPr="00DA3766">
        <w:rPr>
          <w:rFonts w:ascii="Times New Roman" w:hAnsi="Times New Roman" w:cs="Times New Roman"/>
          <w:lang w:bidi="ar"/>
        </w:rPr>
        <w:t>张满光、何勤红</w:t>
      </w:r>
      <w:r w:rsidRPr="00DA3766">
        <w:rPr>
          <w:rFonts w:ascii="Times New Roman" w:hAnsi="Times New Roman" w:cs="Times New Roman"/>
          <w:snapToGrid w:val="0"/>
        </w:rPr>
        <w:t>自公司离职，实控人收回激励股权。</w:t>
      </w:r>
    </w:p>
    <w:p w14:paraId="05AE4E4D"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2025</w:t>
      </w:r>
      <w:r w:rsidRPr="00DA3766">
        <w:rPr>
          <w:rFonts w:ascii="Times New Roman" w:hAnsi="Times New Roman" w:cs="Times New Roman"/>
          <w:lang w:bidi="ar"/>
        </w:rPr>
        <w:t>年</w:t>
      </w:r>
      <w:r w:rsidRPr="00DA3766">
        <w:rPr>
          <w:rFonts w:ascii="Times New Roman" w:hAnsi="Times New Roman" w:cs="Times New Roman"/>
          <w:lang w:bidi="ar"/>
        </w:rPr>
        <w:t>3</w:t>
      </w:r>
      <w:r w:rsidRPr="00DA3766">
        <w:rPr>
          <w:rFonts w:ascii="Times New Roman" w:hAnsi="Times New Roman" w:cs="Times New Roman"/>
          <w:lang w:bidi="ar"/>
        </w:rPr>
        <w:t>月</w:t>
      </w:r>
      <w:r w:rsidRPr="00DA3766">
        <w:rPr>
          <w:rFonts w:ascii="Times New Roman" w:hAnsi="Times New Roman" w:cs="Times New Roman"/>
          <w:lang w:bidi="ar"/>
        </w:rPr>
        <w:t>7</w:t>
      </w:r>
      <w:r w:rsidRPr="00DA3766">
        <w:rPr>
          <w:rFonts w:ascii="Times New Roman" w:hAnsi="Times New Roman" w:cs="Times New Roman"/>
          <w:lang w:bidi="ar"/>
        </w:rPr>
        <w:t>日，乐熙熙就本次变更完成工商变更登记。</w:t>
      </w:r>
    </w:p>
    <w:p w14:paraId="4F44C7A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4527785C" w14:textId="77777777" w:rsidTr="00DA3766">
        <w:trPr>
          <w:trHeight w:val="397"/>
          <w:jc w:val="center"/>
        </w:trPr>
        <w:tc>
          <w:tcPr>
            <w:tcW w:w="668" w:type="dxa"/>
            <w:vAlign w:val="center"/>
          </w:tcPr>
          <w:p w14:paraId="0AFEA5F6"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6317481"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24F642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AC256EF"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C8DC0B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03BDB157" w14:textId="77777777" w:rsidTr="00DA3766">
        <w:trPr>
          <w:trHeight w:val="397"/>
          <w:jc w:val="center"/>
        </w:trPr>
        <w:tc>
          <w:tcPr>
            <w:tcW w:w="668" w:type="dxa"/>
            <w:vAlign w:val="center"/>
          </w:tcPr>
          <w:p w14:paraId="164144A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0F29AD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562B3FD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36.908</w:t>
            </w:r>
          </w:p>
        </w:tc>
        <w:tc>
          <w:tcPr>
            <w:tcW w:w="1428" w:type="dxa"/>
            <w:vAlign w:val="center"/>
          </w:tcPr>
          <w:p w14:paraId="543BE54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18.4540%</w:t>
            </w:r>
          </w:p>
        </w:tc>
        <w:tc>
          <w:tcPr>
            <w:tcW w:w="1420" w:type="dxa"/>
            <w:vAlign w:val="center"/>
          </w:tcPr>
          <w:p w14:paraId="18D6CE8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396021B2" w14:textId="77777777" w:rsidTr="00DA3766">
        <w:trPr>
          <w:trHeight w:val="397"/>
          <w:jc w:val="center"/>
        </w:trPr>
        <w:tc>
          <w:tcPr>
            <w:tcW w:w="668" w:type="dxa"/>
            <w:vAlign w:val="center"/>
          </w:tcPr>
          <w:p w14:paraId="1F49151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51BB264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13B8C64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329BE3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217FA81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088CCCE" w14:textId="77777777" w:rsidTr="00DA3766">
        <w:trPr>
          <w:trHeight w:val="397"/>
          <w:jc w:val="center"/>
        </w:trPr>
        <w:tc>
          <w:tcPr>
            <w:tcW w:w="668" w:type="dxa"/>
            <w:vAlign w:val="center"/>
          </w:tcPr>
          <w:p w14:paraId="37F96B0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768AC7D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4520C7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5A222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0824381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A7F64B6" w14:textId="77777777" w:rsidTr="00DA3766">
        <w:trPr>
          <w:trHeight w:val="397"/>
          <w:jc w:val="center"/>
        </w:trPr>
        <w:tc>
          <w:tcPr>
            <w:tcW w:w="668" w:type="dxa"/>
            <w:vAlign w:val="center"/>
          </w:tcPr>
          <w:p w14:paraId="4B25DD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6B892E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71E74E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1BA73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78EE56A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B83F3AB" w14:textId="77777777" w:rsidTr="00DA3766">
        <w:trPr>
          <w:trHeight w:val="397"/>
          <w:jc w:val="center"/>
        </w:trPr>
        <w:tc>
          <w:tcPr>
            <w:tcW w:w="668" w:type="dxa"/>
            <w:vAlign w:val="center"/>
          </w:tcPr>
          <w:p w14:paraId="344799B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39E10E7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9F5F22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3B56CD9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0C198EB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6BA8CA9" w14:textId="77777777" w:rsidTr="00DA3766">
        <w:trPr>
          <w:trHeight w:val="397"/>
          <w:jc w:val="center"/>
        </w:trPr>
        <w:tc>
          <w:tcPr>
            <w:tcW w:w="668" w:type="dxa"/>
            <w:vAlign w:val="center"/>
          </w:tcPr>
          <w:p w14:paraId="2027B9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2EF1BC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0AE2D39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48.0800</w:t>
            </w:r>
          </w:p>
        </w:tc>
        <w:tc>
          <w:tcPr>
            <w:tcW w:w="1428" w:type="dxa"/>
            <w:vAlign w:val="center"/>
          </w:tcPr>
          <w:p w14:paraId="3ADCFA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24.0400%</w:t>
            </w:r>
          </w:p>
        </w:tc>
        <w:tc>
          <w:tcPr>
            <w:tcW w:w="1420" w:type="dxa"/>
            <w:vAlign w:val="center"/>
          </w:tcPr>
          <w:p w14:paraId="4A92A46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1BD5496" w14:textId="77777777" w:rsidTr="00DA3766">
        <w:trPr>
          <w:trHeight w:val="397"/>
          <w:jc w:val="center"/>
        </w:trPr>
        <w:tc>
          <w:tcPr>
            <w:tcW w:w="668" w:type="dxa"/>
            <w:vAlign w:val="center"/>
          </w:tcPr>
          <w:p w14:paraId="6DB32FE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0E4151D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7AEC688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7.8600</w:t>
            </w:r>
          </w:p>
        </w:tc>
        <w:tc>
          <w:tcPr>
            <w:tcW w:w="1428" w:type="dxa"/>
            <w:vAlign w:val="center"/>
          </w:tcPr>
          <w:p w14:paraId="5A723C2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3.9300%</w:t>
            </w:r>
          </w:p>
        </w:tc>
        <w:tc>
          <w:tcPr>
            <w:tcW w:w="1420" w:type="dxa"/>
            <w:vAlign w:val="center"/>
          </w:tcPr>
          <w:p w14:paraId="6B7AD15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7C2C9F2" w14:textId="77777777" w:rsidTr="00DA3766">
        <w:trPr>
          <w:trHeight w:val="397"/>
          <w:jc w:val="center"/>
        </w:trPr>
        <w:tc>
          <w:tcPr>
            <w:tcW w:w="668" w:type="dxa"/>
            <w:vAlign w:val="center"/>
          </w:tcPr>
          <w:p w14:paraId="3762ED0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692B62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407C526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5.3280</w:t>
            </w:r>
          </w:p>
        </w:tc>
        <w:tc>
          <w:tcPr>
            <w:tcW w:w="1428" w:type="dxa"/>
            <w:vAlign w:val="center"/>
          </w:tcPr>
          <w:p w14:paraId="7C73553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2.6640%</w:t>
            </w:r>
          </w:p>
        </w:tc>
        <w:tc>
          <w:tcPr>
            <w:tcW w:w="1420" w:type="dxa"/>
            <w:vAlign w:val="center"/>
          </w:tcPr>
          <w:p w14:paraId="6F9950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4C2C543" w14:textId="77777777" w:rsidTr="00DA3766">
        <w:trPr>
          <w:trHeight w:val="397"/>
          <w:jc w:val="center"/>
        </w:trPr>
        <w:tc>
          <w:tcPr>
            <w:tcW w:w="668" w:type="dxa"/>
            <w:vAlign w:val="center"/>
          </w:tcPr>
          <w:p w14:paraId="36CA431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087DDF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6004042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20.7200</w:t>
            </w:r>
          </w:p>
        </w:tc>
        <w:tc>
          <w:tcPr>
            <w:tcW w:w="1428" w:type="dxa"/>
            <w:vAlign w:val="center"/>
          </w:tcPr>
          <w:p w14:paraId="152108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10.3600%</w:t>
            </w:r>
          </w:p>
        </w:tc>
        <w:tc>
          <w:tcPr>
            <w:tcW w:w="1420" w:type="dxa"/>
            <w:vAlign w:val="center"/>
          </w:tcPr>
          <w:p w14:paraId="2F61C4A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3160EC" w14:textId="77777777" w:rsidTr="00DA3766">
        <w:trPr>
          <w:trHeight w:val="397"/>
          <w:jc w:val="center"/>
        </w:trPr>
        <w:tc>
          <w:tcPr>
            <w:tcW w:w="668" w:type="dxa"/>
            <w:vAlign w:val="center"/>
          </w:tcPr>
          <w:p w14:paraId="4F167FD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2D3265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015A40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7E67F24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74C6F1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68B234E" w14:textId="77777777" w:rsidTr="00DA3766">
        <w:trPr>
          <w:trHeight w:val="397"/>
          <w:jc w:val="center"/>
        </w:trPr>
        <w:tc>
          <w:tcPr>
            <w:tcW w:w="668" w:type="dxa"/>
            <w:vAlign w:val="center"/>
          </w:tcPr>
          <w:p w14:paraId="745FFBB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2147E43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5E09B71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35C2BDC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0AF791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D9B6399" w14:textId="77777777" w:rsidTr="00DA3766">
        <w:trPr>
          <w:trHeight w:val="397"/>
          <w:jc w:val="center"/>
        </w:trPr>
        <w:tc>
          <w:tcPr>
            <w:tcW w:w="668" w:type="dxa"/>
            <w:vAlign w:val="center"/>
          </w:tcPr>
          <w:p w14:paraId="32D63A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5F9DB7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40A433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11.1000</w:t>
            </w:r>
          </w:p>
        </w:tc>
        <w:tc>
          <w:tcPr>
            <w:tcW w:w="1428" w:type="dxa"/>
            <w:vAlign w:val="center"/>
          </w:tcPr>
          <w:p w14:paraId="7654587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5.5500%</w:t>
            </w:r>
          </w:p>
        </w:tc>
        <w:tc>
          <w:tcPr>
            <w:tcW w:w="1420" w:type="dxa"/>
            <w:vAlign w:val="center"/>
          </w:tcPr>
          <w:p w14:paraId="1CD1F47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CE0D75C" w14:textId="77777777" w:rsidTr="00DA3766">
        <w:trPr>
          <w:trHeight w:val="397"/>
          <w:jc w:val="center"/>
        </w:trPr>
        <w:tc>
          <w:tcPr>
            <w:tcW w:w="668" w:type="dxa"/>
            <w:vAlign w:val="center"/>
          </w:tcPr>
          <w:p w14:paraId="0D48C88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3C4215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4E3DA2E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3.7000</w:t>
            </w:r>
          </w:p>
        </w:tc>
        <w:tc>
          <w:tcPr>
            <w:tcW w:w="1428" w:type="dxa"/>
            <w:vAlign w:val="center"/>
          </w:tcPr>
          <w:p w14:paraId="2D9F9F1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1.8500%</w:t>
            </w:r>
          </w:p>
        </w:tc>
        <w:tc>
          <w:tcPr>
            <w:tcW w:w="1420" w:type="dxa"/>
            <w:vAlign w:val="center"/>
          </w:tcPr>
          <w:p w14:paraId="5FA6CBA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EBBF8E3" w14:textId="77777777" w:rsidTr="00DA3766">
        <w:trPr>
          <w:trHeight w:val="397"/>
          <w:jc w:val="center"/>
        </w:trPr>
        <w:tc>
          <w:tcPr>
            <w:tcW w:w="668" w:type="dxa"/>
            <w:vAlign w:val="center"/>
          </w:tcPr>
          <w:p w14:paraId="78B2B5A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7AEF50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49FED52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043238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3AB722B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AD186D3" w14:textId="77777777" w:rsidTr="00DA3766">
        <w:trPr>
          <w:trHeight w:val="397"/>
          <w:jc w:val="center"/>
        </w:trPr>
        <w:tc>
          <w:tcPr>
            <w:tcW w:w="668" w:type="dxa"/>
            <w:vAlign w:val="center"/>
          </w:tcPr>
          <w:p w14:paraId="2C47E29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5CCCE2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3B07BCD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32E595C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2CB0845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C600C2F" w14:textId="77777777" w:rsidTr="00DA3766">
        <w:trPr>
          <w:trHeight w:val="397"/>
          <w:jc w:val="center"/>
        </w:trPr>
        <w:tc>
          <w:tcPr>
            <w:tcW w:w="668" w:type="dxa"/>
            <w:vAlign w:val="center"/>
          </w:tcPr>
          <w:p w14:paraId="232E0D3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8BECD0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0ACC66A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4.5880</w:t>
            </w:r>
          </w:p>
        </w:tc>
        <w:tc>
          <w:tcPr>
            <w:tcW w:w="1428" w:type="dxa"/>
            <w:vAlign w:val="center"/>
          </w:tcPr>
          <w:p w14:paraId="5E8AD7B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2.2940%</w:t>
            </w:r>
          </w:p>
        </w:tc>
        <w:tc>
          <w:tcPr>
            <w:tcW w:w="1420" w:type="dxa"/>
            <w:vAlign w:val="center"/>
          </w:tcPr>
          <w:p w14:paraId="0F82EA3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AD5E1D8" w14:textId="77777777" w:rsidTr="00DA3766">
        <w:trPr>
          <w:trHeight w:val="397"/>
          <w:jc w:val="center"/>
        </w:trPr>
        <w:tc>
          <w:tcPr>
            <w:tcW w:w="668" w:type="dxa"/>
            <w:vAlign w:val="center"/>
          </w:tcPr>
          <w:p w14:paraId="7BC0367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17F794A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100EC7E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2216A3D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5998ED5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948D88C" w14:textId="77777777" w:rsidTr="00DA3766">
        <w:trPr>
          <w:trHeight w:val="397"/>
          <w:jc w:val="center"/>
        </w:trPr>
        <w:tc>
          <w:tcPr>
            <w:tcW w:w="668" w:type="dxa"/>
            <w:vAlign w:val="center"/>
          </w:tcPr>
          <w:p w14:paraId="5A4600F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4AA1153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20B701D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27CE9DC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3C879A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F6F8200" w14:textId="77777777" w:rsidTr="00DA3766">
        <w:trPr>
          <w:trHeight w:val="397"/>
          <w:jc w:val="center"/>
        </w:trPr>
        <w:tc>
          <w:tcPr>
            <w:tcW w:w="668" w:type="dxa"/>
            <w:vAlign w:val="center"/>
          </w:tcPr>
          <w:p w14:paraId="3AA8450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646E0DE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D17BB9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42839E6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4E61225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8EEB448" w14:textId="77777777" w:rsidTr="00DA3766">
        <w:trPr>
          <w:trHeight w:val="397"/>
          <w:jc w:val="center"/>
        </w:trPr>
        <w:tc>
          <w:tcPr>
            <w:tcW w:w="668" w:type="dxa"/>
            <w:vAlign w:val="center"/>
          </w:tcPr>
          <w:p w14:paraId="73DB39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3C436F6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0216084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224967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75076D0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02748C6" w14:textId="77777777" w:rsidTr="00DA3766">
        <w:trPr>
          <w:trHeight w:val="397"/>
          <w:jc w:val="center"/>
        </w:trPr>
        <w:tc>
          <w:tcPr>
            <w:tcW w:w="668" w:type="dxa"/>
            <w:vAlign w:val="center"/>
          </w:tcPr>
          <w:p w14:paraId="3887090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2F72D18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2DBE18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2868FE6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5EF5360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6BF1193" w14:textId="77777777" w:rsidTr="00DA3766">
        <w:trPr>
          <w:trHeight w:val="397"/>
          <w:jc w:val="center"/>
        </w:trPr>
        <w:tc>
          <w:tcPr>
            <w:tcW w:w="668" w:type="dxa"/>
            <w:vAlign w:val="center"/>
          </w:tcPr>
          <w:p w14:paraId="7E1F82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19D6FB4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6771935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4.4400</w:t>
            </w:r>
          </w:p>
        </w:tc>
        <w:tc>
          <w:tcPr>
            <w:tcW w:w="1428" w:type="dxa"/>
            <w:vAlign w:val="center"/>
          </w:tcPr>
          <w:p w14:paraId="0B2EBA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2.2200%</w:t>
            </w:r>
          </w:p>
        </w:tc>
        <w:tc>
          <w:tcPr>
            <w:tcW w:w="1420" w:type="dxa"/>
            <w:vAlign w:val="center"/>
          </w:tcPr>
          <w:p w14:paraId="1AA2E88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F8F3674" w14:textId="77777777" w:rsidTr="00DA3766">
        <w:trPr>
          <w:trHeight w:val="397"/>
          <w:jc w:val="center"/>
        </w:trPr>
        <w:tc>
          <w:tcPr>
            <w:tcW w:w="668" w:type="dxa"/>
            <w:vAlign w:val="center"/>
          </w:tcPr>
          <w:p w14:paraId="1B123D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5D7A04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5C2CA01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0.2220</w:t>
            </w:r>
          </w:p>
        </w:tc>
        <w:tc>
          <w:tcPr>
            <w:tcW w:w="1428" w:type="dxa"/>
            <w:vAlign w:val="center"/>
          </w:tcPr>
          <w:p w14:paraId="3706FD4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0.1110%</w:t>
            </w:r>
          </w:p>
        </w:tc>
        <w:tc>
          <w:tcPr>
            <w:tcW w:w="1420" w:type="dxa"/>
            <w:vAlign w:val="center"/>
          </w:tcPr>
          <w:p w14:paraId="222E917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E4AD877" w14:textId="77777777" w:rsidTr="00DA3766">
        <w:trPr>
          <w:trHeight w:val="397"/>
          <w:jc w:val="center"/>
        </w:trPr>
        <w:tc>
          <w:tcPr>
            <w:tcW w:w="668" w:type="dxa"/>
            <w:vAlign w:val="center"/>
          </w:tcPr>
          <w:p w14:paraId="6428F12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11B77BE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4718D2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E43642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1A6636A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7C46A2" w14:textId="77777777" w:rsidTr="00DA3766">
        <w:trPr>
          <w:trHeight w:val="397"/>
          <w:jc w:val="center"/>
        </w:trPr>
        <w:tc>
          <w:tcPr>
            <w:tcW w:w="668" w:type="dxa"/>
            <w:vAlign w:val="center"/>
          </w:tcPr>
          <w:p w14:paraId="785F31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76FA3D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790C02E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CD77B1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5199AC8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CCAF553" w14:textId="77777777" w:rsidTr="00DA3766">
        <w:trPr>
          <w:trHeight w:val="397"/>
          <w:jc w:val="center"/>
        </w:trPr>
        <w:tc>
          <w:tcPr>
            <w:tcW w:w="668" w:type="dxa"/>
            <w:vAlign w:val="center"/>
          </w:tcPr>
          <w:p w14:paraId="2DAE5FF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15A33EA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32A8271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7EFCE8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5D30DF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176101E" w14:textId="77777777" w:rsidTr="00DA3766">
        <w:trPr>
          <w:trHeight w:val="397"/>
          <w:jc w:val="center"/>
        </w:trPr>
        <w:tc>
          <w:tcPr>
            <w:tcW w:w="668" w:type="dxa"/>
            <w:vAlign w:val="center"/>
          </w:tcPr>
          <w:p w14:paraId="213247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20DB6AC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1C9D081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2.2200</w:t>
            </w:r>
          </w:p>
        </w:tc>
        <w:tc>
          <w:tcPr>
            <w:tcW w:w="1428" w:type="dxa"/>
            <w:vAlign w:val="center"/>
          </w:tcPr>
          <w:p w14:paraId="4F4C87D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1.1100%</w:t>
            </w:r>
          </w:p>
        </w:tc>
        <w:tc>
          <w:tcPr>
            <w:tcW w:w="1420" w:type="dxa"/>
            <w:vAlign w:val="center"/>
          </w:tcPr>
          <w:p w14:paraId="4603238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47C706E" w14:textId="77777777" w:rsidTr="00DA3766">
        <w:trPr>
          <w:trHeight w:val="397"/>
          <w:jc w:val="center"/>
        </w:trPr>
        <w:tc>
          <w:tcPr>
            <w:tcW w:w="668" w:type="dxa"/>
            <w:vAlign w:val="center"/>
          </w:tcPr>
          <w:p w14:paraId="2954F2D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3AF5E95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0704B66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AD5A99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51D8C7F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7F72A0" w14:textId="77777777" w:rsidTr="00DA3766">
        <w:trPr>
          <w:trHeight w:val="397"/>
          <w:jc w:val="center"/>
        </w:trPr>
        <w:tc>
          <w:tcPr>
            <w:tcW w:w="668" w:type="dxa"/>
            <w:vAlign w:val="center"/>
          </w:tcPr>
          <w:p w14:paraId="34F1DEB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3DF8DEA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0F8288E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4.5140</w:t>
            </w:r>
          </w:p>
        </w:tc>
        <w:tc>
          <w:tcPr>
            <w:tcW w:w="1428" w:type="dxa"/>
            <w:vAlign w:val="center"/>
          </w:tcPr>
          <w:p w14:paraId="1DCAF6C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2.2570%</w:t>
            </w:r>
          </w:p>
        </w:tc>
        <w:tc>
          <w:tcPr>
            <w:tcW w:w="1420" w:type="dxa"/>
            <w:vAlign w:val="center"/>
          </w:tcPr>
          <w:p w14:paraId="0E695F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DE798BC" w14:textId="77777777" w:rsidTr="00DA3766">
        <w:trPr>
          <w:trHeight w:val="397"/>
          <w:jc w:val="center"/>
        </w:trPr>
        <w:tc>
          <w:tcPr>
            <w:tcW w:w="668" w:type="dxa"/>
            <w:vAlign w:val="center"/>
          </w:tcPr>
          <w:p w14:paraId="635D58A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0F1E507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1900AFC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5.9200</w:t>
            </w:r>
          </w:p>
        </w:tc>
        <w:tc>
          <w:tcPr>
            <w:tcW w:w="1428" w:type="dxa"/>
            <w:vAlign w:val="center"/>
          </w:tcPr>
          <w:p w14:paraId="4A635B8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2.9600%</w:t>
            </w:r>
          </w:p>
        </w:tc>
        <w:tc>
          <w:tcPr>
            <w:tcW w:w="1420" w:type="dxa"/>
            <w:vAlign w:val="center"/>
          </w:tcPr>
          <w:p w14:paraId="60BA15E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EBE1B01" w14:textId="77777777" w:rsidTr="00DA3766">
        <w:trPr>
          <w:trHeight w:val="397"/>
          <w:jc w:val="center"/>
        </w:trPr>
        <w:tc>
          <w:tcPr>
            <w:tcW w:w="668" w:type="dxa"/>
            <w:vAlign w:val="center"/>
          </w:tcPr>
          <w:p w14:paraId="18DB3F4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2E16B4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81561B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11.8400</w:t>
            </w:r>
          </w:p>
        </w:tc>
        <w:tc>
          <w:tcPr>
            <w:tcW w:w="1428" w:type="dxa"/>
            <w:vAlign w:val="center"/>
          </w:tcPr>
          <w:p w14:paraId="27527D5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5.9200%</w:t>
            </w:r>
          </w:p>
        </w:tc>
        <w:tc>
          <w:tcPr>
            <w:tcW w:w="1420" w:type="dxa"/>
            <w:vAlign w:val="center"/>
          </w:tcPr>
          <w:p w14:paraId="229EBC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0553748" w14:textId="77777777" w:rsidTr="00DA3766">
        <w:trPr>
          <w:trHeight w:val="397"/>
          <w:jc w:val="center"/>
        </w:trPr>
        <w:tc>
          <w:tcPr>
            <w:tcW w:w="4039" w:type="dxa"/>
            <w:gridSpan w:val="2"/>
            <w:vAlign w:val="center"/>
          </w:tcPr>
          <w:p w14:paraId="1E1ECBF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1E84352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200.000</w:t>
            </w:r>
          </w:p>
        </w:tc>
        <w:tc>
          <w:tcPr>
            <w:tcW w:w="1428" w:type="dxa"/>
            <w:vAlign w:val="center"/>
          </w:tcPr>
          <w:p w14:paraId="50F6D76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100.0000%</w:t>
            </w:r>
          </w:p>
        </w:tc>
        <w:tc>
          <w:tcPr>
            <w:tcW w:w="1420" w:type="dxa"/>
            <w:vAlign w:val="center"/>
          </w:tcPr>
          <w:p w14:paraId="28B26EE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bookmarkEnd w:id="195"/>
    <w:p w14:paraId="25E2FA5E" w14:textId="77777777" w:rsidR="00BA6F27" w:rsidRPr="00DA3766" w:rsidRDefault="00BA6F27" w:rsidP="00BA6F27">
      <w:pPr>
        <w:numPr>
          <w:ilvl w:val="255"/>
          <w:numId w:val="0"/>
        </w:numPr>
        <w:overflowPunct w:val="0"/>
        <w:autoSpaceDE w:val="0"/>
        <w:autoSpaceDN w:val="0"/>
        <w:adjustRightInd w:val="0"/>
        <w:spacing w:before="120" w:after="120"/>
        <w:ind w:firstLineChars="200" w:firstLine="480"/>
        <w:jc w:val="both"/>
        <w:textAlignment w:val="baseline"/>
        <w:rPr>
          <w:rFonts w:ascii="Times New Roman" w:hAnsi="Times New Roman" w:cs="Times New Roman"/>
          <w:snapToGrid w:val="0"/>
        </w:rPr>
      </w:pPr>
      <w:r w:rsidRPr="00DA3766">
        <w:rPr>
          <w:rFonts w:hint="eastAsia"/>
          <w:snapToGrid w:val="0"/>
        </w:rPr>
        <w:lastRenderedPageBreak/>
        <w:t>③</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月，出资额转让及减少出资额</w:t>
      </w:r>
    </w:p>
    <w:p w14:paraId="0FAB9F9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7</w:t>
      </w:r>
      <w:r w:rsidRPr="00DA3766">
        <w:rPr>
          <w:rFonts w:ascii="Times New Roman" w:hAnsi="Times New Roman" w:cs="Times New Roman"/>
          <w:snapToGrid w:val="0"/>
        </w:rPr>
        <w:t>日，乐熙熙全体合伙人签署新的《合伙协议》。同意合伙企业将出资额由</w:t>
      </w:r>
      <w:r w:rsidRPr="00DA3766">
        <w:rPr>
          <w:rFonts w:ascii="Times New Roman" w:hAnsi="Times New Roman" w:cs="Times New Roman"/>
          <w:snapToGrid w:val="0"/>
        </w:rPr>
        <w:t>200.00</w:t>
      </w:r>
      <w:r w:rsidRPr="00DA3766">
        <w:rPr>
          <w:rFonts w:ascii="Times New Roman" w:hAnsi="Times New Roman" w:cs="Times New Roman"/>
          <w:snapToGrid w:val="0"/>
        </w:rPr>
        <w:t>万元减少至</w:t>
      </w:r>
      <w:r w:rsidRPr="00DA3766">
        <w:rPr>
          <w:rFonts w:ascii="Times New Roman" w:hAnsi="Times New Roman" w:cs="Times New Roman"/>
          <w:snapToGrid w:val="0"/>
        </w:rPr>
        <w:t>1.20</w:t>
      </w:r>
      <w:r w:rsidRPr="00DA3766">
        <w:rPr>
          <w:rFonts w:ascii="Times New Roman" w:hAnsi="Times New Roman" w:cs="Times New Roman"/>
          <w:snapToGrid w:val="0"/>
        </w:rPr>
        <w:t>万元。各合伙人同比例减少认缴出资额。同意陈耿豪将其拥有的</w:t>
      </w:r>
      <w:r w:rsidRPr="00DA3766">
        <w:rPr>
          <w:rFonts w:ascii="Times New Roman" w:hAnsi="Times New Roman" w:cs="Times New Roman"/>
          <w:snapToGrid w:val="0"/>
        </w:rPr>
        <w:t>7.776%</w:t>
      </w:r>
      <w:r w:rsidRPr="00DA3766">
        <w:rPr>
          <w:rFonts w:ascii="Times New Roman" w:hAnsi="Times New Roman" w:cs="Times New Roman"/>
          <w:snapToGrid w:val="0"/>
        </w:rPr>
        <w:t>的出资额份额转让给新增合伙人张超。</w:t>
      </w:r>
    </w:p>
    <w:p w14:paraId="46167F7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日，乐熙熙完成本次转让的工商变更登记。</w:t>
      </w:r>
    </w:p>
    <w:p w14:paraId="682405D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37D54594" w14:textId="77777777" w:rsidTr="007F36AF">
        <w:trPr>
          <w:trHeight w:val="397"/>
          <w:tblHeader/>
          <w:jc w:val="center"/>
        </w:trPr>
        <w:tc>
          <w:tcPr>
            <w:tcW w:w="668" w:type="dxa"/>
            <w:vAlign w:val="center"/>
          </w:tcPr>
          <w:p w14:paraId="49015EA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498FA1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BBE505F"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1F1DF91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BE9EA7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0D057912" w14:textId="77777777" w:rsidTr="00DA3766">
        <w:trPr>
          <w:trHeight w:val="397"/>
          <w:jc w:val="center"/>
        </w:trPr>
        <w:tc>
          <w:tcPr>
            <w:tcW w:w="668" w:type="dxa"/>
            <w:vAlign w:val="center"/>
          </w:tcPr>
          <w:p w14:paraId="0BDB10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E23B14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A55B2D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0.128218</w:t>
            </w:r>
          </w:p>
        </w:tc>
        <w:tc>
          <w:tcPr>
            <w:tcW w:w="1428" w:type="dxa"/>
            <w:vAlign w:val="center"/>
          </w:tcPr>
          <w:p w14:paraId="74BA89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10.684%</w:t>
            </w:r>
          </w:p>
        </w:tc>
        <w:tc>
          <w:tcPr>
            <w:tcW w:w="1420" w:type="dxa"/>
            <w:vAlign w:val="center"/>
          </w:tcPr>
          <w:p w14:paraId="3348DAF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6EF306FA" w14:textId="77777777" w:rsidTr="00DA3766">
        <w:trPr>
          <w:trHeight w:val="397"/>
          <w:jc w:val="center"/>
        </w:trPr>
        <w:tc>
          <w:tcPr>
            <w:tcW w:w="668" w:type="dxa"/>
            <w:vAlign w:val="center"/>
          </w:tcPr>
          <w:p w14:paraId="26026F9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4680F6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5C7FB6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2A9A4A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7C26936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847F58B" w14:textId="77777777" w:rsidTr="00DA3766">
        <w:trPr>
          <w:trHeight w:val="397"/>
          <w:jc w:val="center"/>
        </w:trPr>
        <w:tc>
          <w:tcPr>
            <w:tcW w:w="668" w:type="dxa"/>
            <w:vAlign w:val="center"/>
          </w:tcPr>
          <w:p w14:paraId="7C5F962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7A11828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0CC986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2A2D66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2ABE79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A7665AE" w14:textId="77777777" w:rsidTr="00DA3766">
        <w:trPr>
          <w:trHeight w:val="397"/>
          <w:jc w:val="center"/>
        </w:trPr>
        <w:tc>
          <w:tcPr>
            <w:tcW w:w="668" w:type="dxa"/>
            <w:vAlign w:val="center"/>
          </w:tcPr>
          <w:p w14:paraId="2BA3D1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46B1AC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293591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710A55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24A434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CD8D30" w14:textId="77777777" w:rsidTr="00DA3766">
        <w:trPr>
          <w:trHeight w:val="397"/>
          <w:jc w:val="center"/>
        </w:trPr>
        <w:tc>
          <w:tcPr>
            <w:tcW w:w="668" w:type="dxa"/>
            <w:vAlign w:val="center"/>
          </w:tcPr>
          <w:p w14:paraId="3B278E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79425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9629EB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276FA0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005B2C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84E83F2" w14:textId="77777777" w:rsidTr="00DA3766">
        <w:trPr>
          <w:trHeight w:val="397"/>
          <w:jc w:val="center"/>
        </w:trPr>
        <w:tc>
          <w:tcPr>
            <w:tcW w:w="668" w:type="dxa"/>
            <w:vAlign w:val="center"/>
          </w:tcPr>
          <w:p w14:paraId="1CAE47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650B11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74ABBF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0.28848</w:t>
            </w:r>
          </w:p>
        </w:tc>
        <w:tc>
          <w:tcPr>
            <w:tcW w:w="1428" w:type="dxa"/>
            <w:vAlign w:val="center"/>
          </w:tcPr>
          <w:p w14:paraId="7BDBCDE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24.038%</w:t>
            </w:r>
          </w:p>
        </w:tc>
        <w:tc>
          <w:tcPr>
            <w:tcW w:w="1420" w:type="dxa"/>
            <w:vAlign w:val="center"/>
          </w:tcPr>
          <w:p w14:paraId="3A77FDC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5E5856A" w14:textId="77777777" w:rsidTr="00DA3766">
        <w:trPr>
          <w:trHeight w:val="397"/>
          <w:jc w:val="center"/>
        </w:trPr>
        <w:tc>
          <w:tcPr>
            <w:tcW w:w="668" w:type="dxa"/>
            <w:vAlign w:val="center"/>
          </w:tcPr>
          <w:p w14:paraId="6728A2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1CF0A1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566571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0.04716</w:t>
            </w:r>
          </w:p>
        </w:tc>
        <w:tc>
          <w:tcPr>
            <w:tcW w:w="1428" w:type="dxa"/>
            <w:vAlign w:val="center"/>
          </w:tcPr>
          <w:p w14:paraId="0CD26A1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w:t>
            </w:r>
          </w:p>
        </w:tc>
        <w:tc>
          <w:tcPr>
            <w:tcW w:w="1420" w:type="dxa"/>
            <w:vAlign w:val="center"/>
          </w:tcPr>
          <w:p w14:paraId="7F3D18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C2890F" w14:textId="77777777" w:rsidTr="00DA3766">
        <w:trPr>
          <w:trHeight w:val="397"/>
          <w:jc w:val="center"/>
        </w:trPr>
        <w:tc>
          <w:tcPr>
            <w:tcW w:w="668" w:type="dxa"/>
            <w:vAlign w:val="center"/>
          </w:tcPr>
          <w:p w14:paraId="313C19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69B04BC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B5892D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0.031968</w:t>
            </w:r>
          </w:p>
        </w:tc>
        <w:tc>
          <w:tcPr>
            <w:tcW w:w="1428" w:type="dxa"/>
            <w:vAlign w:val="center"/>
          </w:tcPr>
          <w:p w14:paraId="000567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w:t>
            </w:r>
          </w:p>
        </w:tc>
        <w:tc>
          <w:tcPr>
            <w:tcW w:w="1420" w:type="dxa"/>
            <w:vAlign w:val="center"/>
          </w:tcPr>
          <w:p w14:paraId="6A63FB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09CF808" w14:textId="77777777" w:rsidTr="00DA3766">
        <w:trPr>
          <w:trHeight w:val="397"/>
          <w:jc w:val="center"/>
        </w:trPr>
        <w:tc>
          <w:tcPr>
            <w:tcW w:w="668" w:type="dxa"/>
            <w:vAlign w:val="center"/>
          </w:tcPr>
          <w:p w14:paraId="7A10CD2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19A4C2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4768FE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21E884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10.359%</w:t>
            </w:r>
          </w:p>
        </w:tc>
        <w:tc>
          <w:tcPr>
            <w:tcW w:w="1420" w:type="dxa"/>
            <w:vAlign w:val="center"/>
          </w:tcPr>
          <w:p w14:paraId="703231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465C992" w14:textId="77777777" w:rsidTr="00DA3766">
        <w:trPr>
          <w:trHeight w:val="397"/>
          <w:jc w:val="center"/>
        </w:trPr>
        <w:tc>
          <w:tcPr>
            <w:tcW w:w="668" w:type="dxa"/>
            <w:vAlign w:val="center"/>
          </w:tcPr>
          <w:p w14:paraId="30E421C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3AEF8A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1296DE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0D7A33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2B9D80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31CD3BA" w14:textId="77777777" w:rsidTr="00DA3766">
        <w:trPr>
          <w:trHeight w:val="397"/>
          <w:jc w:val="center"/>
        </w:trPr>
        <w:tc>
          <w:tcPr>
            <w:tcW w:w="668" w:type="dxa"/>
            <w:vAlign w:val="center"/>
          </w:tcPr>
          <w:p w14:paraId="5FF2C8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000B1D2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456A20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1372BAE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w:t>
            </w:r>
          </w:p>
        </w:tc>
        <w:tc>
          <w:tcPr>
            <w:tcW w:w="1420" w:type="dxa"/>
            <w:vAlign w:val="center"/>
          </w:tcPr>
          <w:p w14:paraId="3379CF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8DDD0D" w14:textId="77777777" w:rsidTr="00DA3766">
        <w:trPr>
          <w:trHeight w:val="397"/>
          <w:jc w:val="center"/>
        </w:trPr>
        <w:tc>
          <w:tcPr>
            <w:tcW w:w="668" w:type="dxa"/>
            <w:vAlign w:val="center"/>
          </w:tcPr>
          <w:p w14:paraId="63F36F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0D0B13B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7CFF52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6A026E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w:t>
            </w:r>
          </w:p>
        </w:tc>
        <w:tc>
          <w:tcPr>
            <w:tcW w:w="1420" w:type="dxa"/>
            <w:vAlign w:val="center"/>
          </w:tcPr>
          <w:p w14:paraId="7A5A34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B9496C" w14:textId="77777777" w:rsidTr="00DA3766">
        <w:trPr>
          <w:trHeight w:val="397"/>
          <w:jc w:val="center"/>
        </w:trPr>
        <w:tc>
          <w:tcPr>
            <w:tcW w:w="668" w:type="dxa"/>
            <w:vAlign w:val="center"/>
          </w:tcPr>
          <w:p w14:paraId="6A6635A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6E244F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0212B40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2290A83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w:t>
            </w:r>
          </w:p>
        </w:tc>
        <w:tc>
          <w:tcPr>
            <w:tcW w:w="1420" w:type="dxa"/>
            <w:vAlign w:val="center"/>
          </w:tcPr>
          <w:p w14:paraId="2292FB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7EE037" w14:textId="77777777" w:rsidTr="00DA3766">
        <w:trPr>
          <w:trHeight w:val="397"/>
          <w:jc w:val="center"/>
        </w:trPr>
        <w:tc>
          <w:tcPr>
            <w:tcW w:w="668" w:type="dxa"/>
            <w:vAlign w:val="center"/>
          </w:tcPr>
          <w:p w14:paraId="0E42C1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31F3E8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7533464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B1D4DB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3E3C546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0C69AC5" w14:textId="77777777" w:rsidTr="00DA3766">
        <w:trPr>
          <w:trHeight w:val="397"/>
          <w:jc w:val="center"/>
        </w:trPr>
        <w:tc>
          <w:tcPr>
            <w:tcW w:w="668" w:type="dxa"/>
            <w:vAlign w:val="center"/>
          </w:tcPr>
          <w:p w14:paraId="3D6C6DE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03C216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47D4113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2DA447F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w:t>
            </w:r>
          </w:p>
        </w:tc>
        <w:tc>
          <w:tcPr>
            <w:tcW w:w="1420" w:type="dxa"/>
            <w:vAlign w:val="center"/>
          </w:tcPr>
          <w:p w14:paraId="126892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F54ACD3" w14:textId="77777777" w:rsidTr="00DA3766">
        <w:trPr>
          <w:trHeight w:val="397"/>
          <w:jc w:val="center"/>
        </w:trPr>
        <w:tc>
          <w:tcPr>
            <w:tcW w:w="668" w:type="dxa"/>
            <w:vAlign w:val="center"/>
          </w:tcPr>
          <w:p w14:paraId="6E2C47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3BAA5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1A76D2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0.027528</w:t>
            </w:r>
          </w:p>
        </w:tc>
        <w:tc>
          <w:tcPr>
            <w:tcW w:w="1428" w:type="dxa"/>
            <w:vAlign w:val="center"/>
          </w:tcPr>
          <w:p w14:paraId="5B6A17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w:t>
            </w:r>
          </w:p>
        </w:tc>
        <w:tc>
          <w:tcPr>
            <w:tcW w:w="1420" w:type="dxa"/>
            <w:vAlign w:val="center"/>
          </w:tcPr>
          <w:p w14:paraId="1012E1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F2CBEDE" w14:textId="77777777" w:rsidTr="00DA3766">
        <w:trPr>
          <w:trHeight w:val="397"/>
          <w:jc w:val="center"/>
        </w:trPr>
        <w:tc>
          <w:tcPr>
            <w:tcW w:w="668" w:type="dxa"/>
            <w:vAlign w:val="center"/>
          </w:tcPr>
          <w:p w14:paraId="2E76E6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227D6F3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41216DE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3A82CC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46F5CFA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FE53130" w14:textId="77777777" w:rsidTr="00DA3766">
        <w:trPr>
          <w:trHeight w:val="397"/>
          <w:jc w:val="center"/>
        </w:trPr>
        <w:tc>
          <w:tcPr>
            <w:tcW w:w="668" w:type="dxa"/>
            <w:vAlign w:val="center"/>
          </w:tcPr>
          <w:p w14:paraId="52A32C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58E0D3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442DAC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274D8EB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w:t>
            </w:r>
          </w:p>
        </w:tc>
        <w:tc>
          <w:tcPr>
            <w:tcW w:w="1420" w:type="dxa"/>
            <w:vAlign w:val="center"/>
          </w:tcPr>
          <w:p w14:paraId="6569336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7AE76DB" w14:textId="77777777" w:rsidTr="00DA3766">
        <w:trPr>
          <w:trHeight w:val="397"/>
          <w:jc w:val="center"/>
        </w:trPr>
        <w:tc>
          <w:tcPr>
            <w:tcW w:w="668" w:type="dxa"/>
            <w:vAlign w:val="center"/>
          </w:tcPr>
          <w:p w14:paraId="669CB83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2553A4D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4E6BE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7323D63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w:t>
            </w:r>
          </w:p>
        </w:tc>
        <w:tc>
          <w:tcPr>
            <w:tcW w:w="1420" w:type="dxa"/>
            <w:vAlign w:val="center"/>
          </w:tcPr>
          <w:p w14:paraId="40DD5F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EB2B6FB" w14:textId="77777777" w:rsidTr="00DA3766">
        <w:trPr>
          <w:trHeight w:val="397"/>
          <w:jc w:val="center"/>
        </w:trPr>
        <w:tc>
          <w:tcPr>
            <w:tcW w:w="668" w:type="dxa"/>
            <w:vAlign w:val="center"/>
          </w:tcPr>
          <w:p w14:paraId="4B1274F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1E1D23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5ED5CFC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4B92133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w:t>
            </w:r>
          </w:p>
        </w:tc>
        <w:tc>
          <w:tcPr>
            <w:tcW w:w="1420" w:type="dxa"/>
            <w:vAlign w:val="center"/>
          </w:tcPr>
          <w:p w14:paraId="3DF8D93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8BAF96C" w14:textId="77777777" w:rsidTr="00DA3766">
        <w:trPr>
          <w:trHeight w:val="397"/>
          <w:jc w:val="center"/>
        </w:trPr>
        <w:tc>
          <w:tcPr>
            <w:tcW w:w="668" w:type="dxa"/>
            <w:vAlign w:val="center"/>
          </w:tcPr>
          <w:p w14:paraId="792269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82484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C062E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443FCD9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w:t>
            </w:r>
          </w:p>
        </w:tc>
        <w:tc>
          <w:tcPr>
            <w:tcW w:w="1420" w:type="dxa"/>
            <w:vAlign w:val="center"/>
          </w:tcPr>
          <w:p w14:paraId="5EBDF7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55A200C" w14:textId="77777777" w:rsidTr="00DA3766">
        <w:trPr>
          <w:trHeight w:val="397"/>
          <w:jc w:val="center"/>
        </w:trPr>
        <w:tc>
          <w:tcPr>
            <w:tcW w:w="668" w:type="dxa"/>
            <w:vAlign w:val="center"/>
          </w:tcPr>
          <w:p w14:paraId="77FF86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20D0A25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7EF110C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011D004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w:t>
            </w:r>
          </w:p>
        </w:tc>
        <w:tc>
          <w:tcPr>
            <w:tcW w:w="1420" w:type="dxa"/>
            <w:vAlign w:val="center"/>
          </w:tcPr>
          <w:p w14:paraId="50A06BF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38A0C87" w14:textId="77777777" w:rsidTr="00DA3766">
        <w:trPr>
          <w:trHeight w:val="397"/>
          <w:jc w:val="center"/>
        </w:trPr>
        <w:tc>
          <w:tcPr>
            <w:tcW w:w="668" w:type="dxa"/>
            <w:vAlign w:val="center"/>
          </w:tcPr>
          <w:p w14:paraId="5D8C38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675A1C1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06F5CC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1EA57D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w:t>
            </w:r>
          </w:p>
        </w:tc>
        <w:tc>
          <w:tcPr>
            <w:tcW w:w="1420" w:type="dxa"/>
            <w:vAlign w:val="center"/>
          </w:tcPr>
          <w:p w14:paraId="4DBC801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37DE3B" w14:textId="77777777" w:rsidTr="00DA3766">
        <w:trPr>
          <w:trHeight w:val="397"/>
          <w:jc w:val="center"/>
        </w:trPr>
        <w:tc>
          <w:tcPr>
            <w:tcW w:w="668" w:type="dxa"/>
            <w:vAlign w:val="center"/>
          </w:tcPr>
          <w:p w14:paraId="720F76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5647B5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1816E1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0E7FF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1F4196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F3B5D0" w14:textId="77777777" w:rsidTr="00DA3766">
        <w:trPr>
          <w:trHeight w:val="397"/>
          <w:jc w:val="center"/>
        </w:trPr>
        <w:tc>
          <w:tcPr>
            <w:tcW w:w="668" w:type="dxa"/>
            <w:vAlign w:val="center"/>
          </w:tcPr>
          <w:p w14:paraId="2455519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25</w:t>
            </w:r>
          </w:p>
        </w:tc>
        <w:tc>
          <w:tcPr>
            <w:tcW w:w="3371" w:type="dxa"/>
            <w:vAlign w:val="center"/>
          </w:tcPr>
          <w:p w14:paraId="782773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1C9751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410D0A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4420A8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9180427" w14:textId="77777777" w:rsidTr="00DA3766">
        <w:trPr>
          <w:trHeight w:val="397"/>
          <w:jc w:val="center"/>
        </w:trPr>
        <w:tc>
          <w:tcPr>
            <w:tcW w:w="668" w:type="dxa"/>
            <w:vAlign w:val="center"/>
          </w:tcPr>
          <w:p w14:paraId="2792B28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41D871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2781C1B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37F18D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48DCC9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C474829" w14:textId="77777777" w:rsidTr="00DA3766">
        <w:trPr>
          <w:trHeight w:val="397"/>
          <w:jc w:val="center"/>
        </w:trPr>
        <w:tc>
          <w:tcPr>
            <w:tcW w:w="668" w:type="dxa"/>
            <w:vAlign w:val="center"/>
          </w:tcPr>
          <w:p w14:paraId="09642F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637A3C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636592C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4ABCB2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w:t>
            </w:r>
          </w:p>
        </w:tc>
        <w:tc>
          <w:tcPr>
            <w:tcW w:w="1420" w:type="dxa"/>
            <w:vAlign w:val="center"/>
          </w:tcPr>
          <w:p w14:paraId="442B4D7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B38869" w14:textId="77777777" w:rsidTr="00DA3766">
        <w:trPr>
          <w:trHeight w:val="397"/>
          <w:jc w:val="center"/>
        </w:trPr>
        <w:tc>
          <w:tcPr>
            <w:tcW w:w="668" w:type="dxa"/>
            <w:vAlign w:val="center"/>
          </w:tcPr>
          <w:p w14:paraId="65A831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008958F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3026906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527EEB1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6A0D48E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E23822F" w14:textId="77777777" w:rsidTr="00DA3766">
        <w:trPr>
          <w:trHeight w:val="397"/>
          <w:jc w:val="center"/>
        </w:trPr>
        <w:tc>
          <w:tcPr>
            <w:tcW w:w="668" w:type="dxa"/>
            <w:vAlign w:val="center"/>
          </w:tcPr>
          <w:p w14:paraId="7484F5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2BCE8CB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2DF8B02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0.027084</w:t>
            </w:r>
          </w:p>
        </w:tc>
        <w:tc>
          <w:tcPr>
            <w:tcW w:w="1428" w:type="dxa"/>
            <w:vAlign w:val="center"/>
          </w:tcPr>
          <w:p w14:paraId="3889BA8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w:t>
            </w:r>
          </w:p>
        </w:tc>
        <w:tc>
          <w:tcPr>
            <w:tcW w:w="1420" w:type="dxa"/>
            <w:vAlign w:val="center"/>
          </w:tcPr>
          <w:p w14:paraId="16C6A7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DAD8245" w14:textId="77777777" w:rsidTr="00DA3766">
        <w:trPr>
          <w:trHeight w:val="397"/>
          <w:jc w:val="center"/>
        </w:trPr>
        <w:tc>
          <w:tcPr>
            <w:tcW w:w="668" w:type="dxa"/>
            <w:vAlign w:val="center"/>
          </w:tcPr>
          <w:p w14:paraId="1346334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072AA58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0A1C16D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w:t>
            </w:r>
          </w:p>
        </w:tc>
        <w:tc>
          <w:tcPr>
            <w:tcW w:w="1428" w:type="dxa"/>
            <w:vAlign w:val="center"/>
          </w:tcPr>
          <w:p w14:paraId="72A5DD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w:t>
            </w:r>
          </w:p>
        </w:tc>
        <w:tc>
          <w:tcPr>
            <w:tcW w:w="1420" w:type="dxa"/>
            <w:vAlign w:val="center"/>
          </w:tcPr>
          <w:p w14:paraId="602886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C2D2FC5" w14:textId="77777777" w:rsidTr="00DA3766">
        <w:trPr>
          <w:trHeight w:val="397"/>
          <w:jc w:val="center"/>
        </w:trPr>
        <w:tc>
          <w:tcPr>
            <w:tcW w:w="668" w:type="dxa"/>
            <w:vAlign w:val="center"/>
          </w:tcPr>
          <w:p w14:paraId="546B36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302911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2941EC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776E75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w:t>
            </w:r>
          </w:p>
        </w:tc>
        <w:tc>
          <w:tcPr>
            <w:tcW w:w="1420" w:type="dxa"/>
            <w:vAlign w:val="center"/>
          </w:tcPr>
          <w:p w14:paraId="63A2EB6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D84DD14" w14:textId="77777777" w:rsidTr="00DA3766">
        <w:trPr>
          <w:trHeight w:val="397"/>
          <w:jc w:val="center"/>
        </w:trPr>
        <w:tc>
          <w:tcPr>
            <w:tcW w:w="668" w:type="dxa"/>
            <w:vAlign w:val="center"/>
          </w:tcPr>
          <w:p w14:paraId="6C8E8D9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371" w:type="dxa"/>
            <w:vAlign w:val="center"/>
          </w:tcPr>
          <w:p w14:paraId="33DB42A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7D990EA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0.09332</w:t>
            </w:r>
          </w:p>
        </w:tc>
        <w:tc>
          <w:tcPr>
            <w:tcW w:w="1428" w:type="dxa"/>
            <w:vAlign w:val="center"/>
          </w:tcPr>
          <w:p w14:paraId="73D424E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7.776%</w:t>
            </w:r>
          </w:p>
        </w:tc>
        <w:tc>
          <w:tcPr>
            <w:tcW w:w="1420" w:type="dxa"/>
            <w:vAlign w:val="center"/>
          </w:tcPr>
          <w:p w14:paraId="2C97FA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DC66C4" w14:textId="77777777" w:rsidTr="00DA3766">
        <w:trPr>
          <w:trHeight w:val="397"/>
          <w:jc w:val="center"/>
        </w:trPr>
        <w:tc>
          <w:tcPr>
            <w:tcW w:w="4039" w:type="dxa"/>
            <w:gridSpan w:val="2"/>
            <w:vAlign w:val="center"/>
          </w:tcPr>
          <w:p w14:paraId="4D223D4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3596A88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1.2000</w:t>
            </w:r>
          </w:p>
        </w:tc>
        <w:tc>
          <w:tcPr>
            <w:tcW w:w="1428" w:type="dxa"/>
            <w:vAlign w:val="center"/>
          </w:tcPr>
          <w:p w14:paraId="6FCC696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0FF3B7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095F1AEA"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月，乐熙熙执行事务所合伙人由陈耿豪变更为陈伟镇。</w:t>
      </w:r>
    </w:p>
    <w:p w14:paraId="20982ED8" w14:textId="77777777" w:rsidR="00BA6F27" w:rsidRPr="00DA3766" w:rsidRDefault="00BA6F27" w:rsidP="00BA6F27">
      <w:pPr>
        <w:numPr>
          <w:ilvl w:val="255"/>
          <w:numId w:val="0"/>
        </w:numPr>
        <w:overflowPunct w:val="0"/>
        <w:autoSpaceDE w:val="0"/>
        <w:autoSpaceDN w:val="0"/>
        <w:adjustRightInd w:val="0"/>
        <w:spacing w:before="120" w:after="120"/>
        <w:ind w:firstLineChars="200" w:firstLine="480"/>
        <w:jc w:val="both"/>
        <w:textAlignment w:val="baseline"/>
        <w:rPr>
          <w:rFonts w:ascii="Times New Roman" w:hAnsi="Times New Roman" w:cs="Times New Roman"/>
          <w:snapToGrid w:val="0"/>
        </w:rPr>
      </w:pPr>
      <w:r w:rsidRPr="00DA3766">
        <w:rPr>
          <w:rFonts w:hint="eastAsia"/>
          <w:snapToGrid w:val="0"/>
        </w:rPr>
        <w:t>④</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月，合伙人退伙及减少出资额</w:t>
      </w:r>
    </w:p>
    <w:p w14:paraId="0949D1EA" w14:textId="77777777"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月，杨凯然、胡俊决定将其通过乐熙熙直接及间接持有的合伙份额所对应持有的星云开物股权外翻为直接持股，为此，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杨凯然、胡俊分别于乐熙熙签署股份转让协议，约定由乐熙熙将杨凯然、胡俊通过乐熙熙直接及间接持有的合伙份额所对应持有的星云开物股份转让给杨凯然、胡俊。后续再由杨凯然、胡俊完成在乐熙熙层面的退伙。</w:t>
      </w:r>
    </w:p>
    <w:p w14:paraId="7006AF6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日，乐熙熙全体合伙人作出变更决定书。同意合伙企业将出资额由</w:t>
      </w:r>
      <w:r w:rsidRPr="00DA3766">
        <w:rPr>
          <w:rFonts w:ascii="Times New Roman" w:hAnsi="Times New Roman" w:cs="Times New Roman"/>
          <w:snapToGrid w:val="0"/>
        </w:rPr>
        <w:t>1.20</w:t>
      </w:r>
      <w:r w:rsidRPr="00DA3766">
        <w:rPr>
          <w:rFonts w:ascii="Times New Roman" w:hAnsi="Times New Roman" w:cs="Times New Roman"/>
          <w:snapToGrid w:val="0"/>
        </w:rPr>
        <w:t>万元减少至</w:t>
      </w:r>
      <w:r w:rsidRPr="00DA3766">
        <w:rPr>
          <w:rFonts w:ascii="Times New Roman" w:hAnsi="Times New Roman" w:cs="Times New Roman"/>
          <w:snapToGrid w:val="0"/>
        </w:rPr>
        <w:t>0.837276</w:t>
      </w:r>
      <w:r w:rsidRPr="00DA3766">
        <w:rPr>
          <w:rFonts w:ascii="Times New Roman" w:hAnsi="Times New Roman" w:cs="Times New Roman"/>
          <w:snapToGrid w:val="0"/>
        </w:rPr>
        <w:t>万元，分别由杨凯然、胡俊、乐悠悠减少出资额</w:t>
      </w:r>
      <w:r w:rsidRPr="00DA3766">
        <w:rPr>
          <w:rFonts w:ascii="Times New Roman" w:hAnsi="Times New Roman" w:cs="Times New Roman"/>
          <w:snapToGrid w:val="0"/>
        </w:rPr>
        <w:t>0.04716</w:t>
      </w:r>
      <w:r w:rsidRPr="00DA3766">
        <w:rPr>
          <w:rFonts w:ascii="Times New Roman" w:hAnsi="Times New Roman" w:cs="Times New Roman"/>
          <w:snapToGrid w:val="0"/>
        </w:rPr>
        <w:t>万元、</w:t>
      </w:r>
      <w:r w:rsidRPr="00DA3766">
        <w:rPr>
          <w:rFonts w:ascii="Times New Roman" w:hAnsi="Times New Roman" w:cs="Times New Roman"/>
          <w:snapToGrid w:val="0"/>
        </w:rPr>
        <w:t>0.28848</w:t>
      </w:r>
      <w:r w:rsidRPr="00DA3766">
        <w:rPr>
          <w:rFonts w:ascii="Times New Roman" w:hAnsi="Times New Roman" w:cs="Times New Roman"/>
          <w:snapToGrid w:val="0"/>
        </w:rPr>
        <w:t>万元、</w:t>
      </w:r>
      <w:r w:rsidRPr="00DA3766">
        <w:rPr>
          <w:rFonts w:ascii="Times New Roman" w:hAnsi="Times New Roman" w:cs="Times New Roman"/>
          <w:snapToGrid w:val="0"/>
        </w:rPr>
        <w:t>0.027084</w:t>
      </w:r>
      <w:r w:rsidRPr="00DA3766">
        <w:rPr>
          <w:rFonts w:ascii="Times New Roman" w:hAnsi="Times New Roman" w:cs="Times New Roman"/>
          <w:snapToGrid w:val="0"/>
        </w:rPr>
        <w:t>万元，并同意杨凯然、胡俊、乐悠悠退出合伙。此次退出系杨凯然、胡俊将其通过乐熙熙间接持有的星云开物股份转让直接持股后，在乐熙熙层面完成的退伙程序。</w:t>
      </w:r>
    </w:p>
    <w:p w14:paraId="4B833757"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日，乐熙熙完成本次变更的工商变更登记。</w:t>
      </w:r>
    </w:p>
    <w:p w14:paraId="03EEDE73"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7DB01B78" w14:textId="77777777" w:rsidTr="007F36AF">
        <w:trPr>
          <w:trHeight w:val="397"/>
          <w:tblHeader/>
          <w:jc w:val="center"/>
        </w:trPr>
        <w:tc>
          <w:tcPr>
            <w:tcW w:w="668" w:type="dxa"/>
            <w:vAlign w:val="center"/>
          </w:tcPr>
          <w:p w14:paraId="7DD88D1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77A95E6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3796A3E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291AA7B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7EA0E64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67A315B6" w14:textId="77777777" w:rsidTr="00DA3766">
        <w:trPr>
          <w:trHeight w:val="397"/>
          <w:jc w:val="center"/>
        </w:trPr>
        <w:tc>
          <w:tcPr>
            <w:tcW w:w="668" w:type="dxa"/>
            <w:vAlign w:val="center"/>
          </w:tcPr>
          <w:p w14:paraId="681AC26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5A0D4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65FEEF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0029E4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623A0A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7BD4CA8B" w14:textId="77777777" w:rsidTr="00DA3766">
        <w:trPr>
          <w:trHeight w:val="397"/>
          <w:jc w:val="center"/>
        </w:trPr>
        <w:tc>
          <w:tcPr>
            <w:tcW w:w="668" w:type="dxa"/>
            <w:vAlign w:val="center"/>
          </w:tcPr>
          <w:p w14:paraId="7684D62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6118C4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0E26FD6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08D2F1A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1F8CE9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AB3DE64" w14:textId="77777777" w:rsidTr="00DA3766">
        <w:trPr>
          <w:trHeight w:val="397"/>
          <w:jc w:val="center"/>
        </w:trPr>
        <w:tc>
          <w:tcPr>
            <w:tcW w:w="668" w:type="dxa"/>
            <w:vAlign w:val="center"/>
          </w:tcPr>
          <w:p w14:paraId="2D6B334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049A08B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244D7F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C1A25A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2223991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6C360D7" w14:textId="77777777" w:rsidTr="00DA3766">
        <w:trPr>
          <w:trHeight w:val="397"/>
          <w:jc w:val="center"/>
        </w:trPr>
        <w:tc>
          <w:tcPr>
            <w:tcW w:w="668" w:type="dxa"/>
            <w:vAlign w:val="center"/>
          </w:tcPr>
          <w:p w14:paraId="71678B8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2C6094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1038954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65C459E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8B8DB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15CBAD9" w14:textId="77777777" w:rsidTr="00DA3766">
        <w:trPr>
          <w:trHeight w:val="397"/>
          <w:jc w:val="center"/>
        </w:trPr>
        <w:tc>
          <w:tcPr>
            <w:tcW w:w="668" w:type="dxa"/>
            <w:vAlign w:val="center"/>
          </w:tcPr>
          <w:p w14:paraId="3066CF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3325E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6E4FE82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A8AE8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0DF815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E9D8EA" w14:textId="77777777" w:rsidTr="00DA3766">
        <w:trPr>
          <w:trHeight w:val="397"/>
          <w:jc w:val="center"/>
        </w:trPr>
        <w:tc>
          <w:tcPr>
            <w:tcW w:w="668" w:type="dxa"/>
            <w:vAlign w:val="center"/>
          </w:tcPr>
          <w:p w14:paraId="5D78BBE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6</w:t>
            </w:r>
          </w:p>
        </w:tc>
        <w:tc>
          <w:tcPr>
            <w:tcW w:w="3371" w:type="dxa"/>
            <w:vAlign w:val="center"/>
          </w:tcPr>
          <w:p w14:paraId="7BCE233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E29585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0.031968</w:t>
            </w:r>
          </w:p>
        </w:tc>
        <w:tc>
          <w:tcPr>
            <w:tcW w:w="1428" w:type="dxa"/>
            <w:vAlign w:val="center"/>
          </w:tcPr>
          <w:p w14:paraId="032F8C9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3.8181%</w:t>
            </w:r>
          </w:p>
        </w:tc>
        <w:tc>
          <w:tcPr>
            <w:tcW w:w="1420" w:type="dxa"/>
            <w:vAlign w:val="center"/>
          </w:tcPr>
          <w:p w14:paraId="5230C4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CC93D8A" w14:textId="77777777" w:rsidTr="00DA3766">
        <w:trPr>
          <w:trHeight w:val="397"/>
          <w:jc w:val="center"/>
        </w:trPr>
        <w:tc>
          <w:tcPr>
            <w:tcW w:w="668" w:type="dxa"/>
            <w:vAlign w:val="center"/>
          </w:tcPr>
          <w:p w14:paraId="2D334B2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23D799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2123A8C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700FB1C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14.8482%</w:t>
            </w:r>
          </w:p>
        </w:tc>
        <w:tc>
          <w:tcPr>
            <w:tcW w:w="1420" w:type="dxa"/>
            <w:vAlign w:val="center"/>
          </w:tcPr>
          <w:p w14:paraId="2523784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C88079D" w14:textId="77777777" w:rsidTr="00DA3766">
        <w:trPr>
          <w:trHeight w:val="397"/>
          <w:jc w:val="center"/>
        </w:trPr>
        <w:tc>
          <w:tcPr>
            <w:tcW w:w="668" w:type="dxa"/>
            <w:vAlign w:val="center"/>
          </w:tcPr>
          <w:p w14:paraId="2F4AAE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5F1536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4BD4AE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3949E1C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626735C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7E50F6" w14:textId="77777777" w:rsidTr="00DA3766">
        <w:trPr>
          <w:trHeight w:val="397"/>
          <w:jc w:val="center"/>
        </w:trPr>
        <w:tc>
          <w:tcPr>
            <w:tcW w:w="668" w:type="dxa"/>
            <w:vAlign w:val="center"/>
          </w:tcPr>
          <w:p w14:paraId="7998DB7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8283E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3AED89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45CB1A8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0.2651%</w:t>
            </w:r>
          </w:p>
        </w:tc>
        <w:tc>
          <w:tcPr>
            <w:tcW w:w="1420" w:type="dxa"/>
            <w:vAlign w:val="center"/>
          </w:tcPr>
          <w:p w14:paraId="1BC50C8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55A02B" w14:textId="77777777" w:rsidTr="00DA3766">
        <w:trPr>
          <w:trHeight w:val="397"/>
          <w:jc w:val="center"/>
        </w:trPr>
        <w:tc>
          <w:tcPr>
            <w:tcW w:w="668" w:type="dxa"/>
            <w:vAlign w:val="center"/>
          </w:tcPr>
          <w:p w14:paraId="15F4D6D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6CE3D2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7B1E89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5D9302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7.9544%</w:t>
            </w:r>
          </w:p>
        </w:tc>
        <w:tc>
          <w:tcPr>
            <w:tcW w:w="1420" w:type="dxa"/>
            <w:vAlign w:val="center"/>
          </w:tcPr>
          <w:p w14:paraId="6BC6D7E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84DEA8" w14:textId="77777777" w:rsidTr="00DA3766">
        <w:trPr>
          <w:trHeight w:val="397"/>
          <w:jc w:val="center"/>
        </w:trPr>
        <w:tc>
          <w:tcPr>
            <w:tcW w:w="668" w:type="dxa"/>
            <w:vAlign w:val="center"/>
          </w:tcPr>
          <w:p w14:paraId="5DEE772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205DCB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494F917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0C8C648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2.6515%</w:t>
            </w:r>
          </w:p>
        </w:tc>
        <w:tc>
          <w:tcPr>
            <w:tcW w:w="1420" w:type="dxa"/>
            <w:vAlign w:val="center"/>
          </w:tcPr>
          <w:p w14:paraId="00F9C19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E827D4F" w14:textId="77777777" w:rsidTr="00DA3766">
        <w:trPr>
          <w:trHeight w:val="397"/>
          <w:jc w:val="center"/>
        </w:trPr>
        <w:tc>
          <w:tcPr>
            <w:tcW w:w="668" w:type="dxa"/>
            <w:vAlign w:val="center"/>
          </w:tcPr>
          <w:p w14:paraId="6C5E7ED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0035D3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2C032E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1113659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302DF7A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FB04D9" w14:textId="77777777" w:rsidTr="00DA3766">
        <w:trPr>
          <w:trHeight w:val="397"/>
          <w:jc w:val="center"/>
        </w:trPr>
        <w:tc>
          <w:tcPr>
            <w:tcW w:w="668" w:type="dxa"/>
            <w:vAlign w:val="center"/>
          </w:tcPr>
          <w:p w14:paraId="1F0E300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7E54EE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1B3E73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45D9F2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552C21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A4E249" w14:textId="77777777" w:rsidTr="00DA3766">
        <w:trPr>
          <w:trHeight w:val="397"/>
          <w:jc w:val="center"/>
        </w:trPr>
        <w:tc>
          <w:tcPr>
            <w:tcW w:w="668" w:type="dxa"/>
            <w:vAlign w:val="center"/>
          </w:tcPr>
          <w:p w14:paraId="70F5B8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1DAEEF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5B28C25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0.027528</w:t>
            </w:r>
          </w:p>
        </w:tc>
        <w:tc>
          <w:tcPr>
            <w:tcW w:w="1428" w:type="dxa"/>
            <w:vAlign w:val="center"/>
          </w:tcPr>
          <w:p w14:paraId="45B5A1A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3.2878%</w:t>
            </w:r>
          </w:p>
        </w:tc>
        <w:tc>
          <w:tcPr>
            <w:tcW w:w="1420" w:type="dxa"/>
            <w:vAlign w:val="center"/>
          </w:tcPr>
          <w:p w14:paraId="6407A07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23D854" w14:textId="77777777" w:rsidTr="00DA3766">
        <w:trPr>
          <w:trHeight w:val="397"/>
          <w:jc w:val="center"/>
        </w:trPr>
        <w:tc>
          <w:tcPr>
            <w:tcW w:w="668" w:type="dxa"/>
            <w:vAlign w:val="center"/>
          </w:tcPr>
          <w:p w14:paraId="3789BC3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3A05B4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07E70FB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652A4B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6B85D40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4F22C68" w14:textId="77777777" w:rsidTr="00DA3766">
        <w:trPr>
          <w:trHeight w:val="397"/>
          <w:jc w:val="center"/>
        </w:trPr>
        <w:tc>
          <w:tcPr>
            <w:tcW w:w="668" w:type="dxa"/>
            <w:vAlign w:val="center"/>
          </w:tcPr>
          <w:p w14:paraId="622EC2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6EBFD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1678B26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0.128128</w:t>
            </w:r>
          </w:p>
        </w:tc>
        <w:tc>
          <w:tcPr>
            <w:tcW w:w="1428" w:type="dxa"/>
            <w:vAlign w:val="center"/>
          </w:tcPr>
          <w:p w14:paraId="2F61F7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15.3030%</w:t>
            </w:r>
          </w:p>
        </w:tc>
        <w:tc>
          <w:tcPr>
            <w:tcW w:w="1420" w:type="dxa"/>
            <w:vAlign w:val="center"/>
          </w:tcPr>
          <w:p w14:paraId="5C549C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A0B619A" w14:textId="77777777" w:rsidTr="00DA3766">
        <w:trPr>
          <w:trHeight w:val="397"/>
          <w:jc w:val="center"/>
        </w:trPr>
        <w:tc>
          <w:tcPr>
            <w:tcW w:w="668" w:type="dxa"/>
            <w:vAlign w:val="center"/>
          </w:tcPr>
          <w:p w14:paraId="499E5B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5B20E0A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756438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636A41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7E5FBE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837F2B" w14:textId="77777777" w:rsidTr="00DA3766">
        <w:trPr>
          <w:trHeight w:val="397"/>
          <w:jc w:val="center"/>
        </w:trPr>
        <w:tc>
          <w:tcPr>
            <w:tcW w:w="668" w:type="dxa"/>
            <w:vAlign w:val="center"/>
          </w:tcPr>
          <w:p w14:paraId="61AC191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224BD1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51A5EB7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654829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0.2651%</w:t>
            </w:r>
          </w:p>
        </w:tc>
        <w:tc>
          <w:tcPr>
            <w:tcW w:w="1420" w:type="dxa"/>
            <w:vAlign w:val="center"/>
          </w:tcPr>
          <w:p w14:paraId="1C7390B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B5D6686" w14:textId="77777777" w:rsidTr="00DA3766">
        <w:trPr>
          <w:trHeight w:val="397"/>
          <w:jc w:val="center"/>
        </w:trPr>
        <w:tc>
          <w:tcPr>
            <w:tcW w:w="668" w:type="dxa"/>
            <w:vAlign w:val="center"/>
          </w:tcPr>
          <w:p w14:paraId="07B2616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61504D0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0A86C8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385910A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4BDF94D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7036733" w14:textId="77777777" w:rsidTr="00DA3766">
        <w:trPr>
          <w:trHeight w:val="397"/>
          <w:jc w:val="center"/>
        </w:trPr>
        <w:tc>
          <w:tcPr>
            <w:tcW w:w="668" w:type="dxa"/>
            <w:vAlign w:val="center"/>
          </w:tcPr>
          <w:p w14:paraId="293316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28021E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74579BC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6001599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3.1817%</w:t>
            </w:r>
          </w:p>
        </w:tc>
        <w:tc>
          <w:tcPr>
            <w:tcW w:w="1420" w:type="dxa"/>
            <w:vAlign w:val="center"/>
          </w:tcPr>
          <w:p w14:paraId="2ED61C2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FF0B140" w14:textId="77777777" w:rsidTr="00DA3766">
        <w:trPr>
          <w:trHeight w:val="397"/>
          <w:jc w:val="center"/>
        </w:trPr>
        <w:tc>
          <w:tcPr>
            <w:tcW w:w="668" w:type="dxa"/>
            <w:vAlign w:val="center"/>
          </w:tcPr>
          <w:p w14:paraId="089AF7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C19B4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4124C4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3AA2C0F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0.1591%</w:t>
            </w:r>
          </w:p>
        </w:tc>
        <w:tc>
          <w:tcPr>
            <w:tcW w:w="1420" w:type="dxa"/>
            <w:vAlign w:val="center"/>
          </w:tcPr>
          <w:p w14:paraId="10D17E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68824B" w14:textId="77777777" w:rsidTr="00DA3766">
        <w:trPr>
          <w:trHeight w:val="397"/>
          <w:jc w:val="center"/>
        </w:trPr>
        <w:tc>
          <w:tcPr>
            <w:tcW w:w="668" w:type="dxa"/>
            <w:vAlign w:val="center"/>
          </w:tcPr>
          <w:p w14:paraId="5FCCCFC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4F4BAB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24FF66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4FDD9E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99D4B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EED98FC" w14:textId="77777777" w:rsidTr="00DA3766">
        <w:trPr>
          <w:trHeight w:val="397"/>
          <w:jc w:val="center"/>
        </w:trPr>
        <w:tc>
          <w:tcPr>
            <w:tcW w:w="668" w:type="dxa"/>
            <w:vAlign w:val="center"/>
          </w:tcPr>
          <w:p w14:paraId="6E5B4C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3F9EB2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4620E17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676055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28B7D1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ED44F48" w14:textId="77777777" w:rsidTr="00DA3766">
        <w:trPr>
          <w:trHeight w:val="397"/>
          <w:jc w:val="center"/>
        </w:trPr>
        <w:tc>
          <w:tcPr>
            <w:tcW w:w="668" w:type="dxa"/>
            <w:vAlign w:val="center"/>
          </w:tcPr>
          <w:p w14:paraId="6C12C1D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6A2CA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4E3B39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510ED9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1BA30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D807854" w14:textId="77777777" w:rsidTr="00DA3766">
        <w:trPr>
          <w:trHeight w:val="397"/>
          <w:jc w:val="center"/>
        </w:trPr>
        <w:tc>
          <w:tcPr>
            <w:tcW w:w="668" w:type="dxa"/>
            <w:vAlign w:val="center"/>
          </w:tcPr>
          <w:p w14:paraId="51F23D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554031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1AB7F6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1E7C82D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1.5909%</w:t>
            </w:r>
          </w:p>
        </w:tc>
        <w:tc>
          <w:tcPr>
            <w:tcW w:w="1420" w:type="dxa"/>
            <w:vAlign w:val="center"/>
          </w:tcPr>
          <w:p w14:paraId="29B4F0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CC0CB3E" w14:textId="77777777" w:rsidTr="00DA3766">
        <w:trPr>
          <w:trHeight w:val="397"/>
          <w:jc w:val="center"/>
        </w:trPr>
        <w:tc>
          <w:tcPr>
            <w:tcW w:w="668" w:type="dxa"/>
            <w:vAlign w:val="center"/>
          </w:tcPr>
          <w:p w14:paraId="649503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43B665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474DD2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F8A70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D06E6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FFC533" w14:textId="77777777" w:rsidTr="00DA3766">
        <w:trPr>
          <w:trHeight w:val="397"/>
          <w:jc w:val="center"/>
        </w:trPr>
        <w:tc>
          <w:tcPr>
            <w:tcW w:w="668" w:type="dxa"/>
            <w:vAlign w:val="center"/>
          </w:tcPr>
          <w:p w14:paraId="2B41BF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1452B6C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43B5A9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w:t>
            </w:r>
          </w:p>
        </w:tc>
        <w:tc>
          <w:tcPr>
            <w:tcW w:w="1428" w:type="dxa"/>
            <w:vAlign w:val="center"/>
          </w:tcPr>
          <w:p w14:paraId="340F52A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4.2423%</w:t>
            </w:r>
          </w:p>
        </w:tc>
        <w:tc>
          <w:tcPr>
            <w:tcW w:w="1420" w:type="dxa"/>
            <w:vAlign w:val="center"/>
          </w:tcPr>
          <w:p w14:paraId="4AE3D8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08362A" w14:textId="77777777" w:rsidTr="00DA3766">
        <w:trPr>
          <w:trHeight w:val="397"/>
          <w:jc w:val="center"/>
        </w:trPr>
        <w:tc>
          <w:tcPr>
            <w:tcW w:w="668" w:type="dxa"/>
            <w:vAlign w:val="center"/>
          </w:tcPr>
          <w:p w14:paraId="6C3D01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7B7DF2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29BD8F8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683753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8.4847%</w:t>
            </w:r>
          </w:p>
        </w:tc>
        <w:tc>
          <w:tcPr>
            <w:tcW w:w="1420" w:type="dxa"/>
            <w:vAlign w:val="center"/>
          </w:tcPr>
          <w:p w14:paraId="2D94F1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227794" w14:textId="77777777" w:rsidTr="00DA3766">
        <w:trPr>
          <w:trHeight w:val="397"/>
          <w:jc w:val="center"/>
        </w:trPr>
        <w:tc>
          <w:tcPr>
            <w:tcW w:w="668" w:type="dxa"/>
            <w:vAlign w:val="center"/>
          </w:tcPr>
          <w:p w14:paraId="4412CB9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201839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5C54EE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0.09332</w:t>
            </w:r>
          </w:p>
        </w:tc>
        <w:tc>
          <w:tcPr>
            <w:tcW w:w="1428" w:type="dxa"/>
            <w:vAlign w:val="center"/>
          </w:tcPr>
          <w:p w14:paraId="4140FA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11.1457%</w:t>
            </w:r>
          </w:p>
        </w:tc>
        <w:tc>
          <w:tcPr>
            <w:tcW w:w="1420" w:type="dxa"/>
            <w:vAlign w:val="center"/>
          </w:tcPr>
          <w:p w14:paraId="74C3B5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A92C28" w14:textId="77777777" w:rsidTr="00DA3766">
        <w:trPr>
          <w:trHeight w:val="397"/>
          <w:jc w:val="center"/>
        </w:trPr>
        <w:tc>
          <w:tcPr>
            <w:tcW w:w="4039" w:type="dxa"/>
            <w:gridSpan w:val="2"/>
            <w:vAlign w:val="center"/>
          </w:tcPr>
          <w:p w14:paraId="2C5237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691D19A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0.0837276</w:t>
            </w:r>
          </w:p>
        </w:tc>
        <w:tc>
          <w:tcPr>
            <w:tcW w:w="1428" w:type="dxa"/>
            <w:vAlign w:val="center"/>
          </w:tcPr>
          <w:p w14:paraId="1C6D683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2C4301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720FB8B8" w14:textId="77777777" w:rsidR="00BA6F27" w:rsidRPr="00DA3766" w:rsidRDefault="00BA6F27" w:rsidP="00DA3766">
      <w:pPr>
        <w:spacing w:before="120" w:after="120"/>
        <w:ind w:firstLine="520"/>
        <w:jc w:val="both"/>
        <w:rPr>
          <w:rFonts w:ascii="Times New Roman" w:hAnsi="Times New Roman" w:cs="Times New Roman"/>
          <w:snapToGrid w:val="0"/>
        </w:rPr>
      </w:pPr>
      <w:r w:rsidRPr="00DA3766">
        <w:rPr>
          <w:rFonts w:hint="eastAsia"/>
          <w:color w:val="333333"/>
          <w:sz w:val="26"/>
          <w:szCs w:val="26"/>
          <w:shd w:val="clear" w:color="auto" w:fill="FFFFFF"/>
          <w:lang w:bidi="ar"/>
        </w:rPr>
        <w:t>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日，出资额转让暨代持还原</w:t>
      </w:r>
    </w:p>
    <w:p w14:paraId="602E61E7" w14:textId="77777777" w:rsidR="00BA6F27" w:rsidRPr="00DA3766" w:rsidRDefault="00BA6F27" w:rsidP="00DA3766">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名被激励对象签署《财产份额代持解除协议》，约定由陈耿豪将其于</w:t>
      </w:r>
      <w:r w:rsidRPr="00DA3766">
        <w:rPr>
          <w:rFonts w:ascii="Times New Roman" w:hAnsi="Times New Roman" w:cs="Times New Roman"/>
          <w:snapToGrid w:val="0"/>
          <w:lang w:bidi="ar"/>
        </w:rPr>
        <w:t>2022</w:t>
      </w:r>
      <w:r w:rsidRPr="00DA3766">
        <w:rPr>
          <w:rFonts w:ascii="Times New Roman" w:hAnsi="Times New Roman" w:cs="Times New Roman"/>
          <w:snapToGrid w:val="0"/>
          <w:lang w:bidi="ar"/>
        </w:rPr>
        <w:t>年股权激励时已授予但尚未登记至被激励员工名下的激励份额还原至陈腾蛟等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名被激励对象名下，双方代持关系解除，具体代持及解除情况详见本回复</w:t>
      </w:r>
      <w:r w:rsidRPr="00DA3766">
        <w:rPr>
          <w:rFonts w:cs="Times New Roman"/>
          <w:snapToGrid w:val="0"/>
          <w:lang w:bidi="ar"/>
        </w:rPr>
        <w:t>“</w:t>
      </w:r>
      <w:r w:rsidRPr="00DA3766">
        <w:rPr>
          <w:rFonts w:ascii="Times New Roman" w:hAnsi="Times New Roman" w:cs="Times New Roman"/>
          <w:snapToGrid w:val="0"/>
          <w:lang w:bidi="ar"/>
        </w:rPr>
        <w:t>问题</w:t>
      </w:r>
      <w:r w:rsidRPr="00DA3766">
        <w:rPr>
          <w:rFonts w:ascii="Times New Roman" w:hAnsi="Times New Roman" w:cs="Times New Roman"/>
          <w:snapToGrid w:val="0"/>
          <w:lang w:bidi="ar"/>
        </w:rPr>
        <w:t>8</w:t>
      </w:r>
      <w:r w:rsidRPr="00DA3766">
        <w:rPr>
          <w:rFonts w:cs="Times New Roman"/>
          <w:snapToGrid w:val="0"/>
          <w:lang w:bidi="ar"/>
        </w:rPr>
        <w:t>”</w:t>
      </w:r>
      <w:r w:rsidRPr="00DA3766">
        <w:rPr>
          <w:rFonts w:ascii="Times New Roman" w:hAnsi="Times New Roman" w:cs="Times New Roman"/>
          <w:snapToGrid w:val="0"/>
          <w:lang w:bidi="ar"/>
        </w:rPr>
        <w:t>之</w:t>
      </w:r>
      <w:r w:rsidRPr="00DA3766">
        <w:rPr>
          <w:rFonts w:cs="Times New Roman"/>
          <w:snapToGrid w:val="0"/>
          <w:lang w:bidi="ar"/>
        </w:rPr>
        <w:t>“</w:t>
      </w:r>
      <w:r w:rsidRPr="00DA3766">
        <w:rPr>
          <w:rFonts w:ascii="Times New Roman" w:hAnsi="Times New Roman" w:cs="Times New Roman"/>
          <w:snapToGrid w:val="0"/>
          <w:lang w:bidi="ar"/>
        </w:rPr>
        <w:t>七、</w:t>
      </w:r>
      <w:r w:rsidRPr="00DA3766">
        <w:rPr>
          <w:rFonts w:ascii="Times New Roman" w:hAnsi="Times New Roman" w:cs="Times New Roman"/>
        </w:rPr>
        <w:t>标的资产是否存在股权代持、股权</w:t>
      </w:r>
      <w:r w:rsidRPr="00DA3766">
        <w:rPr>
          <w:rFonts w:ascii="Times New Roman" w:hAnsi="Times New Roman" w:cs="Times New Roman"/>
        </w:rPr>
        <w:lastRenderedPageBreak/>
        <w:t>质押冻结、争议纠纷或潜在纠纷，股权是否清晰等情形，未来资产过户是否不存在障碍</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（一）标的资产历史上曾存在股权代持情况</w:t>
      </w:r>
      <w:r w:rsidRPr="00DA3766">
        <w:rPr>
          <w:rFonts w:cs="Times New Roman"/>
        </w:rPr>
        <w:t>”</w:t>
      </w:r>
      <w:r w:rsidRPr="00DA3766">
        <w:rPr>
          <w:rFonts w:ascii="Times New Roman" w:hAnsi="Times New Roman" w:cs="Times New Roman"/>
        </w:rPr>
        <w:t>。</w:t>
      </w:r>
    </w:p>
    <w:p w14:paraId="6E6ECCE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日，乐熙熙全体合伙人作出变更决定书，同意陈耿豪将其持有的</w:t>
      </w:r>
      <w:r w:rsidRPr="00DA3766">
        <w:rPr>
          <w:rFonts w:ascii="Times New Roman" w:hAnsi="Times New Roman" w:cs="Times New Roman"/>
          <w:snapToGrid w:val="0"/>
        </w:rPr>
        <w:t>0.122889</w:t>
      </w:r>
      <w:r w:rsidRPr="00DA3766">
        <w:rPr>
          <w:rFonts w:ascii="Times New Roman" w:hAnsi="Times New Roman" w:cs="Times New Roman"/>
          <w:snapToGrid w:val="0"/>
        </w:rPr>
        <w:t>的出资额转让给新增合伙人许伟杰、陈伟健及原合伙人陈腾蛟、周修亮、刘天雄、谢岳生、余李娜、曾嘉宇、邓斌、徐影、李鹏、刘雄培、沈佳琴、陈晓淳、何华文、张超。本次转让系前述</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名被激励对象代持还原的具体变更登记</w:t>
      </w:r>
      <w:r w:rsidRPr="00DA3766">
        <w:rPr>
          <w:rFonts w:ascii="Times New Roman" w:hAnsi="Times New Roman" w:cs="Times New Roman"/>
          <w:snapToGrid w:val="0"/>
        </w:rPr>
        <w:t>。</w:t>
      </w:r>
    </w:p>
    <w:p w14:paraId="2BB6DE8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日，乐熙熙完成本次变更的工商变更登记。</w:t>
      </w:r>
    </w:p>
    <w:p w14:paraId="2182E3F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本次出资额转让后，乐熙熙出资结构如下：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4792D55" w14:textId="77777777" w:rsidTr="007F36AF">
        <w:trPr>
          <w:trHeight w:val="397"/>
          <w:tblHeader/>
          <w:jc w:val="center"/>
        </w:trPr>
        <w:tc>
          <w:tcPr>
            <w:tcW w:w="668" w:type="dxa"/>
            <w:vAlign w:val="center"/>
          </w:tcPr>
          <w:p w14:paraId="357134AE"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2FED3E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513EC7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386400E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F84608E"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4C59990D" w14:textId="77777777" w:rsidTr="00DA3766">
        <w:trPr>
          <w:trHeight w:val="397"/>
          <w:jc w:val="center"/>
        </w:trPr>
        <w:tc>
          <w:tcPr>
            <w:tcW w:w="668" w:type="dxa"/>
            <w:vAlign w:val="center"/>
          </w:tcPr>
          <w:p w14:paraId="77CCF8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0D68684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79746B7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024AA2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043A519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20321962" w14:textId="77777777" w:rsidTr="00DA3766">
        <w:trPr>
          <w:trHeight w:val="397"/>
          <w:jc w:val="center"/>
        </w:trPr>
        <w:tc>
          <w:tcPr>
            <w:tcW w:w="668" w:type="dxa"/>
            <w:vAlign w:val="center"/>
          </w:tcPr>
          <w:p w14:paraId="24516E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62FE111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47E37D4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0.017768</w:t>
            </w:r>
          </w:p>
        </w:tc>
        <w:tc>
          <w:tcPr>
            <w:tcW w:w="1428" w:type="dxa"/>
            <w:vAlign w:val="center"/>
          </w:tcPr>
          <w:p w14:paraId="7D49A3F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2.1221%</w:t>
            </w:r>
          </w:p>
        </w:tc>
        <w:tc>
          <w:tcPr>
            <w:tcW w:w="1420" w:type="dxa"/>
            <w:vAlign w:val="center"/>
          </w:tcPr>
          <w:p w14:paraId="0D2359A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789864" w14:textId="77777777" w:rsidTr="00DA3766">
        <w:trPr>
          <w:trHeight w:val="397"/>
          <w:jc w:val="center"/>
        </w:trPr>
        <w:tc>
          <w:tcPr>
            <w:tcW w:w="668" w:type="dxa"/>
            <w:vAlign w:val="center"/>
          </w:tcPr>
          <w:p w14:paraId="3D04784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F88088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50BCD64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77424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DACE92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1329E80" w14:textId="77777777" w:rsidTr="00DA3766">
        <w:trPr>
          <w:trHeight w:val="397"/>
          <w:jc w:val="center"/>
        </w:trPr>
        <w:tc>
          <w:tcPr>
            <w:tcW w:w="668" w:type="dxa"/>
            <w:vAlign w:val="center"/>
          </w:tcPr>
          <w:p w14:paraId="067B026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38180D9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0DCE7AC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4549EA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3FBA17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BE91F4" w14:textId="77777777" w:rsidTr="00DA3766">
        <w:trPr>
          <w:trHeight w:val="397"/>
          <w:jc w:val="center"/>
        </w:trPr>
        <w:tc>
          <w:tcPr>
            <w:tcW w:w="668" w:type="dxa"/>
            <w:vAlign w:val="center"/>
          </w:tcPr>
          <w:p w14:paraId="6DF782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B4A8F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65D07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0.017773</w:t>
            </w:r>
          </w:p>
        </w:tc>
        <w:tc>
          <w:tcPr>
            <w:tcW w:w="1428" w:type="dxa"/>
            <w:vAlign w:val="center"/>
          </w:tcPr>
          <w:p w14:paraId="39ED40E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2.1227%</w:t>
            </w:r>
          </w:p>
        </w:tc>
        <w:tc>
          <w:tcPr>
            <w:tcW w:w="1420" w:type="dxa"/>
            <w:vAlign w:val="center"/>
          </w:tcPr>
          <w:p w14:paraId="5DDFBF6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8E1BBCA" w14:textId="77777777" w:rsidTr="00DA3766">
        <w:trPr>
          <w:trHeight w:val="397"/>
          <w:jc w:val="center"/>
        </w:trPr>
        <w:tc>
          <w:tcPr>
            <w:tcW w:w="668" w:type="dxa"/>
            <w:vAlign w:val="center"/>
          </w:tcPr>
          <w:p w14:paraId="08F23F0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506957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7441119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0.035524</w:t>
            </w:r>
          </w:p>
        </w:tc>
        <w:tc>
          <w:tcPr>
            <w:tcW w:w="1428" w:type="dxa"/>
            <w:vAlign w:val="center"/>
          </w:tcPr>
          <w:p w14:paraId="7F4C9DF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4.2428%</w:t>
            </w:r>
          </w:p>
        </w:tc>
        <w:tc>
          <w:tcPr>
            <w:tcW w:w="1420" w:type="dxa"/>
            <w:vAlign w:val="center"/>
          </w:tcPr>
          <w:p w14:paraId="39547A3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927DA62" w14:textId="77777777" w:rsidTr="00DA3766">
        <w:trPr>
          <w:trHeight w:val="397"/>
          <w:jc w:val="center"/>
        </w:trPr>
        <w:tc>
          <w:tcPr>
            <w:tcW w:w="668" w:type="dxa"/>
            <w:vAlign w:val="center"/>
          </w:tcPr>
          <w:p w14:paraId="06EE21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788731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75751A8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28878E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14.8482%</w:t>
            </w:r>
          </w:p>
        </w:tc>
        <w:tc>
          <w:tcPr>
            <w:tcW w:w="1420" w:type="dxa"/>
            <w:vAlign w:val="center"/>
          </w:tcPr>
          <w:p w14:paraId="7384CFE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AB46D76" w14:textId="77777777" w:rsidTr="00DA3766">
        <w:trPr>
          <w:trHeight w:val="397"/>
          <w:jc w:val="center"/>
        </w:trPr>
        <w:tc>
          <w:tcPr>
            <w:tcW w:w="668" w:type="dxa"/>
            <w:vAlign w:val="center"/>
          </w:tcPr>
          <w:p w14:paraId="18F1AD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0AAB47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67CFB1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0.013325</w:t>
            </w:r>
          </w:p>
        </w:tc>
        <w:tc>
          <w:tcPr>
            <w:tcW w:w="1428" w:type="dxa"/>
            <w:vAlign w:val="center"/>
          </w:tcPr>
          <w:p w14:paraId="25D0C85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1.5915%</w:t>
            </w:r>
          </w:p>
        </w:tc>
        <w:tc>
          <w:tcPr>
            <w:tcW w:w="1420" w:type="dxa"/>
            <w:vAlign w:val="center"/>
          </w:tcPr>
          <w:p w14:paraId="55A15E8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E6510A5" w14:textId="77777777" w:rsidTr="00DA3766">
        <w:trPr>
          <w:trHeight w:val="397"/>
          <w:jc w:val="center"/>
        </w:trPr>
        <w:tc>
          <w:tcPr>
            <w:tcW w:w="668" w:type="dxa"/>
            <w:vAlign w:val="center"/>
          </w:tcPr>
          <w:p w14:paraId="66D80A7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0916D6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4C306A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0.008887</w:t>
            </w:r>
          </w:p>
        </w:tc>
        <w:tc>
          <w:tcPr>
            <w:tcW w:w="1428" w:type="dxa"/>
            <w:vAlign w:val="center"/>
          </w:tcPr>
          <w:p w14:paraId="78812D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1.0614%</w:t>
            </w:r>
          </w:p>
        </w:tc>
        <w:tc>
          <w:tcPr>
            <w:tcW w:w="1420" w:type="dxa"/>
            <w:vAlign w:val="center"/>
          </w:tcPr>
          <w:p w14:paraId="0EB2DA1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9BD994F" w14:textId="77777777" w:rsidTr="00DA3766">
        <w:trPr>
          <w:trHeight w:val="397"/>
          <w:jc w:val="center"/>
        </w:trPr>
        <w:tc>
          <w:tcPr>
            <w:tcW w:w="668" w:type="dxa"/>
            <w:vAlign w:val="center"/>
          </w:tcPr>
          <w:p w14:paraId="063C92E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5CDCCF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1E23BA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5BA87E0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7.9544%</w:t>
            </w:r>
          </w:p>
        </w:tc>
        <w:tc>
          <w:tcPr>
            <w:tcW w:w="1420" w:type="dxa"/>
            <w:vAlign w:val="center"/>
          </w:tcPr>
          <w:p w14:paraId="69F868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964A2C2" w14:textId="77777777" w:rsidTr="00DA3766">
        <w:trPr>
          <w:trHeight w:val="397"/>
          <w:jc w:val="center"/>
        </w:trPr>
        <w:tc>
          <w:tcPr>
            <w:tcW w:w="668" w:type="dxa"/>
            <w:vAlign w:val="center"/>
          </w:tcPr>
          <w:p w14:paraId="79AF67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5932F5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1304A3D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340EE80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2.6515%</w:t>
            </w:r>
          </w:p>
        </w:tc>
        <w:tc>
          <w:tcPr>
            <w:tcW w:w="1420" w:type="dxa"/>
            <w:vAlign w:val="center"/>
          </w:tcPr>
          <w:p w14:paraId="3AE7CB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D1A8968" w14:textId="77777777" w:rsidTr="00DA3766">
        <w:trPr>
          <w:trHeight w:val="397"/>
          <w:jc w:val="center"/>
        </w:trPr>
        <w:tc>
          <w:tcPr>
            <w:tcW w:w="668" w:type="dxa"/>
            <w:vAlign w:val="center"/>
          </w:tcPr>
          <w:p w14:paraId="54C4D6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1E7146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7AB00F6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0.013325</w:t>
            </w:r>
          </w:p>
        </w:tc>
        <w:tc>
          <w:tcPr>
            <w:tcW w:w="1428" w:type="dxa"/>
            <w:vAlign w:val="center"/>
          </w:tcPr>
          <w:p w14:paraId="4F4C4F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1.5915%</w:t>
            </w:r>
          </w:p>
        </w:tc>
        <w:tc>
          <w:tcPr>
            <w:tcW w:w="1420" w:type="dxa"/>
            <w:vAlign w:val="center"/>
          </w:tcPr>
          <w:p w14:paraId="3D9DE3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D9D092D" w14:textId="77777777" w:rsidTr="00DA3766">
        <w:trPr>
          <w:trHeight w:val="397"/>
          <w:jc w:val="center"/>
        </w:trPr>
        <w:tc>
          <w:tcPr>
            <w:tcW w:w="668" w:type="dxa"/>
            <w:vAlign w:val="center"/>
          </w:tcPr>
          <w:p w14:paraId="2E16582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2A400C3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762130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0.026648</w:t>
            </w:r>
          </w:p>
        </w:tc>
        <w:tc>
          <w:tcPr>
            <w:tcW w:w="1428" w:type="dxa"/>
            <w:vAlign w:val="center"/>
          </w:tcPr>
          <w:p w14:paraId="725864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3.1827%</w:t>
            </w:r>
          </w:p>
        </w:tc>
        <w:tc>
          <w:tcPr>
            <w:tcW w:w="1420" w:type="dxa"/>
            <w:vAlign w:val="center"/>
          </w:tcPr>
          <w:p w14:paraId="441C52B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7321CD" w14:textId="77777777" w:rsidTr="00DA3766">
        <w:trPr>
          <w:trHeight w:val="397"/>
          <w:jc w:val="center"/>
        </w:trPr>
        <w:tc>
          <w:tcPr>
            <w:tcW w:w="668" w:type="dxa"/>
            <w:vAlign w:val="center"/>
          </w:tcPr>
          <w:p w14:paraId="5C75B1A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2A2D37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23AD55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0.031084</w:t>
            </w:r>
          </w:p>
        </w:tc>
        <w:tc>
          <w:tcPr>
            <w:tcW w:w="1428" w:type="dxa"/>
            <w:vAlign w:val="center"/>
          </w:tcPr>
          <w:p w14:paraId="4BA607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3.7125%</w:t>
            </w:r>
          </w:p>
        </w:tc>
        <w:tc>
          <w:tcPr>
            <w:tcW w:w="1420" w:type="dxa"/>
            <w:vAlign w:val="center"/>
          </w:tcPr>
          <w:p w14:paraId="3B8369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A36DD4" w14:textId="77777777" w:rsidTr="00DA3766">
        <w:trPr>
          <w:trHeight w:val="397"/>
          <w:jc w:val="center"/>
        </w:trPr>
        <w:tc>
          <w:tcPr>
            <w:tcW w:w="668" w:type="dxa"/>
            <w:vAlign w:val="center"/>
          </w:tcPr>
          <w:p w14:paraId="4AE488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3C49AE0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71A5D7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0238C4E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56E6930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4A75F9" w14:textId="77777777" w:rsidTr="00DA3766">
        <w:trPr>
          <w:trHeight w:val="397"/>
          <w:jc w:val="center"/>
        </w:trPr>
        <w:tc>
          <w:tcPr>
            <w:tcW w:w="668" w:type="dxa"/>
            <w:vAlign w:val="center"/>
          </w:tcPr>
          <w:p w14:paraId="26B939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2AD73B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1E1CF2B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0.005239</w:t>
            </w:r>
          </w:p>
        </w:tc>
        <w:tc>
          <w:tcPr>
            <w:tcW w:w="1428" w:type="dxa"/>
            <w:vAlign w:val="center"/>
          </w:tcPr>
          <w:p w14:paraId="57995E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0.6257%</w:t>
            </w:r>
          </w:p>
        </w:tc>
        <w:tc>
          <w:tcPr>
            <w:tcW w:w="1420" w:type="dxa"/>
            <w:vAlign w:val="center"/>
          </w:tcPr>
          <w:p w14:paraId="31D401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9F4008" w14:textId="77777777" w:rsidTr="00DA3766">
        <w:trPr>
          <w:trHeight w:val="397"/>
          <w:jc w:val="center"/>
        </w:trPr>
        <w:tc>
          <w:tcPr>
            <w:tcW w:w="668" w:type="dxa"/>
            <w:vAlign w:val="center"/>
          </w:tcPr>
          <w:p w14:paraId="1C9CAF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42082C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4EAFBB5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46B1CFA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2E77AFC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4ED46C" w14:textId="77777777" w:rsidTr="00DA3766">
        <w:trPr>
          <w:trHeight w:val="397"/>
          <w:jc w:val="center"/>
        </w:trPr>
        <w:tc>
          <w:tcPr>
            <w:tcW w:w="668" w:type="dxa"/>
            <w:vAlign w:val="center"/>
          </w:tcPr>
          <w:p w14:paraId="38684B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14242F4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4B35C9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0.008887</w:t>
            </w:r>
          </w:p>
        </w:tc>
        <w:tc>
          <w:tcPr>
            <w:tcW w:w="1428" w:type="dxa"/>
            <w:vAlign w:val="center"/>
          </w:tcPr>
          <w:p w14:paraId="69879F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1.0614%</w:t>
            </w:r>
          </w:p>
        </w:tc>
        <w:tc>
          <w:tcPr>
            <w:tcW w:w="1420" w:type="dxa"/>
            <w:vAlign w:val="center"/>
          </w:tcPr>
          <w:p w14:paraId="130D82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8B8190" w14:textId="77777777" w:rsidTr="00DA3766">
        <w:trPr>
          <w:trHeight w:val="397"/>
          <w:jc w:val="center"/>
        </w:trPr>
        <w:tc>
          <w:tcPr>
            <w:tcW w:w="668" w:type="dxa"/>
            <w:vAlign w:val="center"/>
          </w:tcPr>
          <w:p w14:paraId="5337F44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24A2EE6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199FED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2779A1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004329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FD05F24" w14:textId="77777777" w:rsidTr="00DA3766">
        <w:trPr>
          <w:trHeight w:val="397"/>
          <w:jc w:val="center"/>
        </w:trPr>
        <w:tc>
          <w:tcPr>
            <w:tcW w:w="668" w:type="dxa"/>
            <w:vAlign w:val="center"/>
          </w:tcPr>
          <w:p w14:paraId="21F64B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00CD95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69F8CD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08EF08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3.1817%</w:t>
            </w:r>
          </w:p>
        </w:tc>
        <w:tc>
          <w:tcPr>
            <w:tcW w:w="1420" w:type="dxa"/>
            <w:vAlign w:val="center"/>
          </w:tcPr>
          <w:p w14:paraId="5529CDF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BFE7C8" w14:textId="77777777" w:rsidTr="00DA3766">
        <w:trPr>
          <w:trHeight w:val="397"/>
          <w:jc w:val="center"/>
        </w:trPr>
        <w:tc>
          <w:tcPr>
            <w:tcW w:w="668" w:type="dxa"/>
            <w:vAlign w:val="center"/>
          </w:tcPr>
          <w:p w14:paraId="37DEC8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78ADDB6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40C838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5C294D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0.1591%</w:t>
            </w:r>
          </w:p>
        </w:tc>
        <w:tc>
          <w:tcPr>
            <w:tcW w:w="1420" w:type="dxa"/>
            <w:vAlign w:val="center"/>
          </w:tcPr>
          <w:p w14:paraId="379E08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DB0ECFF" w14:textId="77777777" w:rsidTr="00DA3766">
        <w:trPr>
          <w:trHeight w:val="397"/>
          <w:jc w:val="center"/>
        </w:trPr>
        <w:tc>
          <w:tcPr>
            <w:tcW w:w="668" w:type="dxa"/>
            <w:vAlign w:val="center"/>
          </w:tcPr>
          <w:p w14:paraId="112BC51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22</w:t>
            </w:r>
          </w:p>
        </w:tc>
        <w:tc>
          <w:tcPr>
            <w:tcW w:w="3371" w:type="dxa"/>
            <w:vAlign w:val="center"/>
          </w:tcPr>
          <w:p w14:paraId="5733D5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7A9BDF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8DBCB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31D14B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FB60FA" w14:textId="77777777" w:rsidTr="00DA3766">
        <w:trPr>
          <w:trHeight w:val="397"/>
          <w:jc w:val="center"/>
        </w:trPr>
        <w:tc>
          <w:tcPr>
            <w:tcW w:w="668" w:type="dxa"/>
            <w:vAlign w:val="center"/>
          </w:tcPr>
          <w:p w14:paraId="0780F3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78FC73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07E17A1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70169CA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2E847E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D015B9B" w14:textId="77777777" w:rsidTr="00DA3766">
        <w:trPr>
          <w:trHeight w:val="397"/>
          <w:jc w:val="center"/>
        </w:trPr>
        <w:tc>
          <w:tcPr>
            <w:tcW w:w="668" w:type="dxa"/>
            <w:vAlign w:val="center"/>
          </w:tcPr>
          <w:p w14:paraId="65C412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E1668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2CB04FF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2F8D6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1F460A2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F1B82B" w14:textId="77777777" w:rsidTr="00DA3766">
        <w:trPr>
          <w:trHeight w:val="397"/>
          <w:jc w:val="center"/>
        </w:trPr>
        <w:tc>
          <w:tcPr>
            <w:tcW w:w="668" w:type="dxa"/>
            <w:vAlign w:val="center"/>
          </w:tcPr>
          <w:p w14:paraId="182432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3FAFA0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4F9D95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6B7984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1.5909%</w:t>
            </w:r>
          </w:p>
        </w:tc>
        <w:tc>
          <w:tcPr>
            <w:tcW w:w="1420" w:type="dxa"/>
            <w:vAlign w:val="center"/>
          </w:tcPr>
          <w:p w14:paraId="2FE4E9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E091E4" w14:textId="77777777" w:rsidTr="00DA3766">
        <w:trPr>
          <w:trHeight w:val="397"/>
          <w:jc w:val="center"/>
        </w:trPr>
        <w:tc>
          <w:tcPr>
            <w:tcW w:w="668" w:type="dxa"/>
            <w:vAlign w:val="center"/>
          </w:tcPr>
          <w:p w14:paraId="033356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6383FF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59FC1E0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3818C15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28BF10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0D009C8" w14:textId="77777777" w:rsidTr="00DA3766">
        <w:trPr>
          <w:trHeight w:val="397"/>
          <w:jc w:val="center"/>
        </w:trPr>
        <w:tc>
          <w:tcPr>
            <w:tcW w:w="668" w:type="dxa"/>
            <w:vAlign w:val="center"/>
          </w:tcPr>
          <w:p w14:paraId="7649BBB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05B2ED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3C4CB87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0.039965</w:t>
            </w:r>
          </w:p>
        </w:tc>
        <w:tc>
          <w:tcPr>
            <w:tcW w:w="1428" w:type="dxa"/>
            <w:vAlign w:val="center"/>
          </w:tcPr>
          <w:p w14:paraId="664E471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4.7732%</w:t>
            </w:r>
          </w:p>
        </w:tc>
        <w:tc>
          <w:tcPr>
            <w:tcW w:w="1420" w:type="dxa"/>
            <w:vAlign w:val="center"/>
          </w:tcPr>
          <w:p w14:paraId="640AE3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C1692A8" w14:textId="77777777" w:rsidTr="00DA3766">
        <w:trPr>
          <w:trHeight w:val="397"/>
          <w:jc w:val="center"/>
        </w:trPr>
        <w:tc>
          <w:tcPr>
            <w:tcW w:w="668" w:type="dxa"/>
            <w:vAlign w:val="center"/>
          </w:tcPr>
          <w:p w14:paraId="1813E6A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4E8409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A5F11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6C3DA4E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8.4847%</w:t>
            </w:r>
          </w:p>
        </w:tc>
        <w:tc>
          <w:tcPr>
            <w:tcW w:w="1420" w:type="dxa"/>
            <w:vAlign w:val="center"/>
          </w:tcPr>
          <w:p w14:paraId="13EB11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DBD5B27" w14:textId="77777777" w:rsidTr="00DA3766">
        <w:trPr>
          <w:trHeight w:val="397"/>
          <w:jc w:val="center"/>
        </w:trPr>
        <w:tc>
          <w:tcPr>
            <w:tcW w:w="668" w:type="dxa"/>
            <w:vAlign w:val="center"/>
          </w:tcPr>
          <w:p w14:paraId="4904FE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5FB04BD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095ABF5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0.116650</w:t>
            </w:r>
          </w:p>
        </w:tc>
        <w:tc>
          <w:tcPr>
            <w:tcW w:w="1428" w:type="dxa"/>
            <w:vAlign w:val="center"/>
          </w:tcPr>
          <w:p w14:paraId="796A47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13.9321%</w:t>
            </w:r>
          </w:p>
        </w:tc>
        <w:tc>
          <w:tcPr>
            <w:tcW w:w="1420" w:type="dxa"/>
            <w:vAlign w:val="center"/>
          </w:tcPr>
          <w:p w14:paraId="7D360DD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70D657" w14:textId="77777777" w:rsidTr="00DA3766">
        <w:trPr>
          <w:trHeight w:val="397"/>
          <w:jc w:val="center"/>
        </w:trPr>
        <w:tc>
          <w:tcPr>
            <w:tcW w:w="668" w:type="dxa"/>
            <w:vAlign w:val="center"/>
          </w:tcPr>
          <w:p w14:paraId="045EB89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40DD49E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许伟杰</w:t>
            </w:r>
          </w:p>
        </w:tc>
        <w:tc>
          <w:tcPr>
            <w:tcW w:w="1641" w:type="dxa"/>
            <w:vAlign w:val="center"/>
          </w:tcPr>
          <w:p w14:paraId="04683D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0.010667</w:t>
            </w:r>
          </w:p>
        </w:tc>
        <w:tc>
          <w:tcPr>
            <w:tcW w:w="1428" w:type="dxa"/>
            <w:vAlign w:val="center"/>
          </w:tcPr>
          <w:p w14:paraId="2E1379E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1.2740%</w:t>
            </w:r>
          </w:p>
        </w:tc>
        <w:tc>
          <w:tcPr>
            <w:tcW w:w="1420" w:type="dxa"/>
            <w:vAlign w:val="center"/>
          </w:tcPr>
          <w:p w14:paraId="3C3976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A2A9500" w14:textId="77777777" w:rsidTr="00DA3766">
        <w:trPr>
          <w:trHeight w:val="397"/>
          <w:jc w:val="center"/>
        </w:trPr>
        <w:tc>
          <w:tcPr>
            <w:tcW w:w="668" w:type="dxa"/>
            <w:vAlign w:val="center"/>
          </w:tcPr>
          <w:p w14:paraId="1ADB70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6F69F92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陈伟健</w:t>
            </w:r>
          </w:p>
        </w:tc>
        <w:tc>
          <w:tcPr>
            <w:tcW w:w="1641" w:type="dxa"/>
            <w:vAlign w:val="center"/>
          </w:tcPr>
          <w:p w14:paraId="4F894D5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0.010667</w:t>
            </w:r>
          </w:p>
        </w:tc>
        <w:tc>
          <w:tcPr>
            <w:tcW w:w="1428" w:type="dxa"/>
            <w:vAlign w:val="center"/>
          </w:tcPr>
          <w:p w14:paraId="61684D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1.2740%</w:t>
            </w:r>
          </w:p>
        </w:tc>
        <w:tc>
          <w:tcPr>
            <w:tcW w:w="1420" w:type="dxa"/>
            <w:vAlign w:val="center"/>
          </w:tcPr>
          <w:p w14:paraId="797149D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5D76D8" w14:textId="77777777" w:rsidTr="00DA3766">
        <w:trPr>
          <w:trHeight w:val="397"/>
          <w:jc w:val="center"/>
        </w:trPr>
        <w:tc>
          <w:tcPr>
            <w:tcW w:w="4039" w:type="dxa"/>
            <w:gridSpan w:val="2"/>
            <w:vAlign w:val="center"/>
          </w:tcPr>
          <w:p w14:paraId="1EA2D7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681FD99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0.0837276</w:t>
            </w:r>
          </w:p>
        </w:tc>
        <w:tc>
          <w:tcPr>
            <w:tcW w:w="1428" w:type="dxa"/>
            <w:vAlign w:val="center"/>
          </w:tcPr>
          <w:p w14:paraId="28EB82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6E0B58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50A524D8"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7</w:t>
      </w:r>
      <w:r w:rsidRPr="00DA3766">
        <w:rPr>
          <w:rFonts w:ascii="Times New Roman" w:hAnsi="Times New Roman" w:cs="Times New Roman"/>
          <w:b/>
          <w:bCs/>
          <w:snapToGrid w:val="0"/>
          <w:kern w:val="2"/>
          <w:szCs w:val="22"/>
        </w:rPr>
        <w:t>）乐腾腾</w:t>
      </w:r>
    </w:p>
    <w:p w14:paraId="6A834D48"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6" w:name="_Hlk219328306"/>
      <w:r w:rsidRPr="00DA3766">
        <w:rPr>
          <w:rFonts w:ascii="Times New Roman" w:hAnsi="Times New Roman" w:cs="Times New Roman"/>
          <w:snapToGrid w:val="0"/>
        </w:rPr>
        <w:t>乐腾腾在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日）存在合伙人退伙、减少出资额的情况，具体如下：</w:t>
      </w:r>
    </w:p>
    <w:p w14:paraId="4A38A2B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月，减少出资额</w:t>
      </w:r>
    </w:p>
    <w:p w14:paraId="79C62A7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28</w:t>
      </w:r>
      <w:r w:rsidRPr="00DA3766">
        <w:rPr>
          <w:rFonts w:ascii="Times New Roman" w:hAnsi="Times New Roman" w:cs="Times New Roman"/>
          <w:snapToGrid w:val="0"/>
        </w:rPr>
        <w:t>日，乐腾腾全体合伙人签署新的《合伙协议》，同意合伙企业的认缴出资额由</w:t>
      </w:r>
      <w:r w:rsidRPr="00DA3766">
        <w:rPr>
          <w:rFonts w:ascii="Times New Roman" w:hAnsi="Times New Roman" w:cs="Times New Roman"/>
          <w:snapToGrid w:val="0"/>
        </w:rPr>
        <w:t>100.00</w:t>
      </w:r>
      <w:r w:rsidRPr="00DA3766">
        <w:rPr>
          <w:rFonts w:ascii="Times New Roman" w:hAnsi="Times New Roman" w:cs="Times New Roman"/>
          <w:snapToGrid w:val="0"/>
        </w:rPr>
        <w:t>万元减少至</w:t>
      </w:r>
      <w:r w:rsidRPr="00DA3766">
        <w:rPr>
          <w:rFonts w:ascii="Times New Roman" w:hAnsi="Times New Roman" w:cs="Times New Roman"/>
          <w:snapToGrid w:val="0"/>
        </w:rPr>
        <w:t>37.511</w:t>
      </w:r>
      <w:r w:rsidRPr="00DA3766">
        <w:rPr>
          <w:rFonts w:ascii="Times New Roman" w:hAnsi="Times New Roman" w:cs="Times New Roman"/>
          <w:snapToGrid w:val="0"/>
        </w:rPr>
        <w:t>万元。各位合伙人按比例减少认缴出资额。</w:t>
      </w:r>
    </w:p>
    <w:p w14:paraId="425883C7"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日，乐腾腾完成本次变更的工商变更登记。</w:t>
      </w:r>
    </w:p>
    <w:p w14:paraId="58C4541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本次变更后，乐腾腾出资结构如下：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71D129AC" w14:textId="77777777" w:rsidTr="007F36AF">
        <w:trPr>
          <w:trHeight w:val="397"/>
          <w:tblHeader/>
          <w:jc w:val="center"/>
        </w:trPr>
        <w:tc>
          <w:tcPr>
            <w:tcW w:w="668" w:type="dxa"/>
            <w:vAlign w:val="center"/>
          </w:tcPr>
          <w:p w14:paraId="7ED9E3C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0804D7D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3CD9E92A"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ED2CCB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48048E3A"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5964C0F1" w14:textId="77777777" w:rsidTr="00DA3766">
        <w:trPr>
          <w:trHeight w:val="397"/>
          <w:jc w:val="center"/>
        </w:trPr>
        <w:tc>
          <w:tcPr>
            <w:tcW w:w="668" w:type="dxa"/>
            <w:vAlign w:val="center"/>
          </w:tcPr>
          <w:p w14:paraId="0038AD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1958CE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7EE76FB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0.0036</w:t>
            </w:r>
          </w:p>
        </w:tc>
        <w:tc>
          <w:tcPr>
            <w:tcW w:w="1428" w:type="dxa"/>
            <w:vAlign w:val="center"/>
          </w:tcPr>
          <w:p w14:paraId="0FB6D25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0.0097%</w:t>
            </w:r>
          </w:p>
        </w:tc>
        <w:tc>
          <w:tcPr>
            <w:tcW w:w="1420" w:type="dxa"/>
            <w:vAlign w:val="center"/>
          </w:tcPr>
          <w:p w14:paraId="73B09C3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CEA721C" w14:textId="77777777" w:rsidTr="00DA3766">
        <w:trPr>
          <w:trHeight w:val="397"/>
          <w:jc w:val="center"/>
        </w:trPr>
        <w:tc>
          <w:tcPr>
            <w:tcW w:w="668" w:type="dxa"/>
            <w:vAlign w:val="center"/>
          </w:tcPr>
          <w:p w14:paraId="094ABF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13AC3A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514DB2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5.3242</w:t>
            </w:r>
          </w:p>
        </w:tc>
        <w:tc>
          <w:tcPr>
            <w:tcW w:w="1428" w:type="dxa"/>
            <w:vAlign w:val="center"/>
          </w:tcPr>
          <w:p w14:paraId="2CB8074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14.1937%</w:t>
            </w:r>
          </w:p>
        </w:tc>
        <w:tc>
          <w:tcPr>
            <w:tcW w:w="1420" w:type="dxa"/>
            <w:vAlign w:val="center"/>
          </w:tcPr>
          <w:p w14:paraId="2AFB7CA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E5146A" w14:textId="77777777" w:rsidTr="00DA3766">
        <w:trPr>
          <w:trHeight w:val="397"/>
          <w:jc w:val="center"/>
        </w:trPr>
        <w:tc>
          <w:tcPr>
            <w:tcW w:w="668" w:type="dxa"/>
            <w:vAlign w:val="center"/>
          </w:tcPr>
          <w:p w14:paraId="192842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3884BB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林超越</w:t>
            </w:r>
          </w:p>
        </w:tc>
        <w:tc>
          <w:tcPr>
            <w:tcW w:w="1641" w:type="dxa"/>
            <w:vAlign w:val="center"/>
          </w:tcPr>
          <w:p w14:paraId="572D03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8.0556</w:t>
            </w:r>
          </w:p>
        </w:tc>
        <w:tc>
          <w:tcPr>
            <w:tcW w:w="1428" w:type="dxa"/>
            <w:vAlign w:val="center"/>
          </w:tcPr>
          <w:p w14:paraId="74F2B5B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21.4751%</w:t>
            </w:r>
          </w:p>
        </w:tc>
        <w:tc>
          <w:tcPr>
            <w:tcW w:w="1420" w:type="dxa"/>
            <w:vAlign w:val="center"/>
          </w:tcPr>
          <w:p w14:paraId="1E335F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EB48A61" w14:textId="77777777" w:rsidTr="00DA3766">
        <w:trPr>
          <w:trHeight w:val="397"/>
          <w:jc w:val="center"/>
        </w:trPr>
        <w:tc>
          <w:tcPr>
            <w:tcW w:w="668" w:type="dxa"/>
            <w:vAlign w:val="center"/>
          </w:tcPr>
          <w:p w14:paraId="764CF3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1331D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641" w:type="dxa"/>
            <w:vAlign w:val="center"/>
          </w:tcPr>
          <w:p w14:paraId="210374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10.2896</w:t>
            </w:r>
          </w:p>
        </w:tc>
        <w:tc>
          <w:tcPr>
            <w:tcW w:w="1428" w:type="dxa"/>
            <w:vAlign w:val="center"/>
          </w:tcPr>
          <w:p w14:paraId="1C89535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27.4308%</w:t>
            </w:r>
          </w:p>
        </w:tc>
        <w:tc>
          <w:tcPr>
            <w:tcW w:w="1420" w:type="dxa"/>
            <w:vAlign w:val="center"/>
          </w:tcPr>
          <w:p w14:paraId="5B4F5D2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83F9F2" w14:textId="77777777" w:rsidTr="00DA3766">
        <w:trPr>
          <w:trHeight w:val="397"/>
          <w:jc w:val="center"/>
        </w:trPr>
        <w:tc>
          <w:tcPr>
            <w:tcW w:w="668" w:type="dxa"/>
            <w:vAlign w:val="center"/>
          </w:tcPr>
          <w:p w14:paraId="3F2D5CB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A49C7A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0B7CDA8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1.8648</w:t>
            </w:r>
          </w:p>
        </w:tc>
        <w:tc>
          <w:tcPr>
            <w:tcW w:w="1428" w:type="dxa"/>
            <w:vAlign w:val="center"/>
          </w:tcPr>
          <w:p w14:paraId="4FD797B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4.9713%</w:t>
            </w:r>
          </w:p>
        </w:tc>
        <w:tc>
          <w:tcPr>
            <w:tcW w:w="1420" w:type="dxa"/>
            <w:vAlign w:val="center"/>
          </w:tcPr>
          <w:p w14:paraId="1CE38C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308351B" w14:textId="77777777" w:rsidTr="00DA3766">
        <w:trPr>
          <w:trHeight w:val="397"/>
          <w:jc w:val="center"/>
        </w:trPr>
        <w:tc>
          <w:tcPr>
            <w:tcW w:w="668" w:type="dxa"/>
            <w:vAlign w:val="center"/>
          </w:tcPr>
          <w:p w14:paraId="4218B3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48BC2E7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765080F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3.5209</w:t>
            </w:r>
          </w:p>
        </w:tc>
        <w:tc>
          <w:tcPr>
            <w:tcW w:w="1428" w:type="dxa"/>
            <w:vAlign w:val="center"/>
          </w:tcPr>
          <w:p w14:paraId="0970AB3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9.3864%</w:t>
            </w:r>
          </w:p>
        </w:tc>
        <w:tc>
          <w:tcPr>
            <w:tcW w:w="1420" w:type="dxa"/>
            <w:vAlign w:val="center"/>
          </w:tcPr>
          <w:p w14:paraId="426475C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56C70B8" w14:textId="77777777" w:rsidTr="00DA3766">
        <w:trPr>
          <w:trHeight w:val="397"/>
          <w:jc w:val="center"/>
        </w:trPr>
        <w:tc>
          <w:tcPr>
            <w:tcW w:w="668" w:type="dxa"/>
            <w:vAlign w:val="center"/>
          </w:tcPr>
          <w:p w14:paraId="0CEA1B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7</w:t>
            </w:r>
          </w:p>
        </w:tc>
        <w:tc>
          <w:tcPr>
            <w:tcW w:w="3371" w:type="dxa"/>
            <w:vAlign w:val="center"/>
          </w:tcPr>
          <w:p w14:paraId="0C2A53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ECD67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1.0552</w:t>
            </w:r>
          </w:p>
        </w:tc>
        <w:tc>
          <w:tcPr>
            <w:tcW w:w="1428" w:type="dxa"/>
            <w:vAlign w:val="center"/>
          </w:tcPr>
          <w:p w14:paraId="390CAE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2.8131%</w:t>
            </w:r>
          </w:p>
        </w:tc>
        <w:tc>
          <w:tcPr>
            <w:tcW w:w="1420" w:type="dxa"/>
            <w:vAlign w:val="center"/>
          </w:tcPr>
          <w:p w14:paraId="368C74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F7D629" w14:textId="77777777" w:rsidTr="00DA3766">
        <w:trPr>
          <w:trHeight w:val="397"/>
          <w:jc w:val="center"/>
        </w:trPr>
        <w:tc>
          <w:tcPr>
            <w:tcW w:w="668" w:type="dxa"/>
            <w:vAlign w:val="center"/>
          </w:tcPr>
          <w:p w14:paraId="6C2D17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18E340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61307D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4.3150</w:t>
            </w:r>
          </w:p>
        </w:tc>
        <w:tc>
          <w:tcPr>
            <w:tcW w:w="1428" w:type="dxa"/>
            <w:vAlign w:val="center"/>
          </w:tcPr>
          <w:p w14:paraId="1C43B4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11.5033%</w:t>
            </w:r>
          </w:p>
        </w:tc>
        <w:tc>
          <w:tcPr>
            <w:tcW w:w="1420" w:type="dxa"/>
            <w:vAlign w:val="center"/>
          </w:tcPr>
          <w:p w14:paraId="6C6363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CB129A4" w14:textId="77777777" w:rsidTr="00DA3766">
        <w:trPr>
          <w:trHeight w:val="397"/>
          <w:jc w:val="center"/>
        </w:trPr>
        <w:tc>
          <w:tcPr>
            <w:tcW w:w="668" w:type="dxa"/>
            <w:vAlign w:val="center"/>
          </w:tcPr>
          <w:p w14:paraId="2DDFA8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8616C1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霍树森</w:t>
            </w:r>
          </w:p>
        </w:tc>
        <w:tc>
          <w:tcPr>
            <w:tcW w:w="1641" w:type="dxa"/>
            <w:vAlign w:val="center"/>
          </w:tcPr>
          <w:p w14:paraId="4C7D555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3.0821</w:t>
            </w:r>
          </w:p>
        </w:tc>
        <w:tc>
          <w:tcPr>
            <w:tcW w:w="1428" w:type="dxa"/>
            <w:vAlign w:val="center"/>
          </w:tcPr>
          <w:p w14:paraId="7F4015D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8.2166%</w:t>
            </w:r>
          </w:p>
        </w:tc>
        <w:tc>
          <w:tcPr>
            <w:tcW w:w="1420" w:type="dxa"/>
            <w:vAlign w:val="center"/>
          </w:tcPr>
          <w:p w14:paraId="5891CE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5E2ABA7" w14:textId="77777777" w:rsidTr="00DA3766">
        <w:trPr>
          <w:trHeight w:val="397"/>
          <w:jc w:val="center"/>
        </w:trPr>
        <w:tc>
          <w:tcPr>
            <w:tcW w:w="4039" w:type="dxa"/>
            <w:gridSpan w:val="2"/>
            <w:vAlign w:val="center"/>
          </w:tcPr>
          <w:p w14:paraId="63975E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40FF30A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37.511</w:t>
            </w:r>
          </w:p>
        </w:tc>
        <w:tc>
          <w:tcPr>
            <w:tcW w:w="1428" w:type="dxa"/>
            <w:vAlign w:val="center"/>
          </w:tcPr>
          <w:p w14:paraId="18FA1EA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4E77D2E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43E0074D"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月，乐腾腾执行事务合伙人由陈耿豪变更为</w:t>
      </w:r>
      <w:r w:rsidRPr="00DA3766">
        <w:rPr>
          <w:rFonts w:ascii="Times New Roman" w:hAnsi="Times New Roman" w:cs="Times New Roman"/>
          <w:color w:val="000000"/>
          <w:sz w:val="21"/>
          <w:szCs w:val="21"/>
        </w:rPr>
        <w:t>陈伟镇。</w:t>
      </w:r>
    </w:p>
    <w:p w14:paraId="0484E274"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②</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月，合伙人退伙及减少出资额</w:t>
      </w:r>
    </w:p>
    <w:p w14:paraId="78F0289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月，杨凯然、王佳决定将其通过乐腾腾直接持有的合伙份额所对应持有的星云开物股权外翻为直接持股，为此，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杨凯然、王佳分别于乐腾腾签署股份转让协议，约定由乐腾腾将杨凯然、王佳通过乐腾腾直接及间接持有的合伙份额所对应持有的星云开物股份转让给杨凯然、王佳。后续再由杨凯然、王佳完成在乐腾腾层面的退伙。</w:t>
      </w:r>
    </w:p>
    <w:p w14:paraId="30515E3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18</w:t>
      </w:r>
      <w:r w:rsidRPr="00DA3766">
        <w:rPr>
          <w:rFonts w:ascii="Times New Roman" w:hAnsi="Times New Roman" w:cs="Times New Roman"/>
          <w:snapToGrid w:val="0"/>
        </w:rPr>
        <w:t>日，乐腾腾全体合伙人作出变更决定书，同意合伙企业的认缴出资额由</w:t>
      </w:r>
      <w:r w:rsidRPr="00DA3766">
        <w:rPr>
          <w:rFonts w:ascii="Times New Roman" w:hAnsi="Times New Roman" w:cs="Times New Roman"/>
          <w:snapToGrid w:val="0"/>
        </w:rPr>
        <w:t>37.511</w:t>
      </w:r>
      <w:r w:rsidRPr="00DA3766">
        <w:rPr>
          <w:rFonts w:ascii="Times New Roman" w:hAnsi="Times New Roman" w:cs="Times New Roman"/>
          <w:snapToGrid w:val="0"/>
        </w:rPr>
        <w:t>万元减少至</w:t>
      </w:r>
      <w:r w:rsidRPr="00DA3766">
        <w:rPr>
          <w:rFonts w:ascii="Times New Roman" w:hAnsi="Times New Roman" w:cs="Times New Roman"/>
          <w:snapToGrid w:val="0"/>
        </w:rPr>
        <w:t>21.8972</w:t>
      </w:r>
      <w:r w:rsidRPr="00DA3766">
        <w:rPr>
          <w:rFonts w:ascii="Times New Roman" w:hAnsi="Times New Roman" w:cs="Times New Roman"/>
          <w:snapToGrid w:val="0"/>
        </w:rPr>
        <w:t>万元。具体由杨凯然、王佳分别减少</w:t>
      </w:r>
      <w:r w:rsidRPr="00DA3766">
        <w:rPr>
          <w:rFonts w:ascii="Times New Roman" w:hAnsi="Times New Roman" w:cs="Times New Roman"/>
          <w:snapToGrid w:val="0"/>
        </w:rPr>
        <w:t>5.3242</w:t>
      </w:r>
      <w:r w:rsidRPr="00DA3766">
        <w:rPr>
          <w:rFonts w:ascii="Times New Roman" w:hAnsi="Times New Roman" w:cs="Times New Roman"/>
          <w:snapToGrid w:val="0"/>
        </w:rPr>
        <w:t>万元出资额、</w:t>
      </w:r>
      <w:r w:rsidRPr="00DA3766">
        <w:rPr>
          <w:rFonts w:ascii="Times New Roman" w:hAnsi="Times New Roman" w:cs="Times New Roman"/>
          <w:snapToGrid w:val="0"/>
        </w:rPr>
        <w:t>10.2896</w:t>
      </w:r>
      <w:r w:rsidRPr="00DA3766">
        <w:rPr>
          <w:rFonts w:ascii="Times New Roman" w:hAnsi="Times New Roman" w:cs="Times New Roman"/>
          <w:snapToGrid w:val="0"/>
        </w:rPr>
        <w:t>万元出资额并退出合伙。此次退出系杨凯然、王佳其通过乐腾腾间接持有的星云开物股份转让直接持股后，在乐腾腾层面完成的退伙程序。</w:t>
      </w:r>
    </w:p>
    <w:p w14:paraId="3C98B43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21</w:t>
      </w:r>
      <w:r w:rsidRPr="00DA3766">
        <w:rPr>
          <w:rFonts w:ascii="Times New Roman" w:hAnsi="Times New Roman" w:cs="Times New Roman"/>
          <w:snapToGrid w:val="0"/>
        </w:rPr>
        <w:t>日，乐腾腾完成本次转让的工商变更登记。</w:t>
      </w:r>
    </w:p>
    <w:p w14:paraId="494626A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本次变更后，乐腾腾出资结构如下：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1D405037" w14:textId="77777777" w:rsidTr="00DA3766">
        <w:trPr>
          <w:trHeight w:val="397"/>
          <w:jc w:val="center"/>
        </w:trPr>
        <w:tc>
          <w:tcPr>
            <w:tcW w:w="668" w:type="dxa"/>
            <w:vAlign w:val="center"/>
          </w:tcPr>
          <w:p w14:paraId="2344AC02"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1C878113"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56F802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7194589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317A5C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0518FD30" w14:textId="77777777" w:rsidTr="00DA3766">
        <w:trPr>
          <w:trHeight w:val="397"/>
          <w:jc w:val="center"/>
        </w:trPr>
        <w:tc>
          <w:tcPr>
            <w:tcW w:w="668" w:type="dxa"/>
            <w:vAlign w:val="center"/>
          </w:tcPr>
          <w:p w14:paraId="4751FDE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2F879D4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0A8A1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0.0036</w:t>
            </w:r>
          </w:p>
        </w:tc>
        <w:tc>
          <w:tcPr>
            <w:tcW w:w="1428" w:type="dxa"/>
            <w:vAlign w:val="center"/>
          </w:tcPr>
          <w:p w14:paraId="6056F15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0.0164%</w:t>
            </w:r>
          </w:p>
        </w:tc>
        <w:tc>
          <w:tcPr>
            <w:tcW w:w="1420" w:type="dxa"/>
            <w:vAlign w:val="center"/>
          </w:tcPr>
          <w:p w14:paraId="027607E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4AE4477B" w14:textId="77777777" w:rsidTr="00DA3766">
        <w:trPr>
          <w:trHeight w:val="397"/>
          <w:jc w:val="center"/>
        </w:trPr>
        <w:tc>
          <w:tcPr>
            <w:tcW w:w="668" w:type="dxa"/>
            <w:vAlign w:val="center"/>
          </w:tcPr>
          <w:p w14:paraId="2AB5C1A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19D207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林超越</w:t>
            </w:r>
          </w:p>
        </w:tc>
        <w:tc>
          <w:tcPr>
            <w:tcW w:w="1641" w:type="dxa"/>
            <w:vAlign w:val="center"/>
          </w:tcPr>
          <w:p w14:paraId="298541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8.0556</w:t>
            </w:r>
          </w:p>
        </w:tc>
        <w:tc>
          <w:tcPr>
            <w:tcW w:w="1428" w:type="dxa"/>
            <w:vAlign w:val="center"/>
          </w:tcPr>
          <w:p w14:paraId="783C3B1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36.7883%</w:t>
            </w:r>
          </w:p>
        </w:tc>
        <w:tc>
          <w:tcPr>
            <w:tcW w:w="1420" w:type="dxa"/>
            <w:vAlign w:val="center"/>
          </w:tcPr>
          <w:p w14:paraId="39B409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2B627B1" w14:textId="77777777" w:rsidTr="00DA3766">
        <w:trPr>
          <w:trHeight w:val="397"/>
          <w:jc w:val="center"/>
        </w:trPr>
        <w:tc>
          <w:tcPr>
            <w:tcW w:w="668" w:type="dxa"/>
            <w:vAlign w:val="center"/>
          </w:tcPr>
          <w:p w14:paraId="329709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750BE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1FB4F7D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1.8648</w:t>
            </w:r>
          </w:p>
        </w:tc>
        <w:tc>
          <w:tcPr>
            <w:tcW w:w="1428" w:type="dxa"/>
            <w:vAlign w:val="center"/>
          </w:tcPr>
          <w:p w14:paraId="7C9501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8.5162%</w:t>
            </w:r>
          </w:p>
        </w:tc>
        <w:tc>
          <w:tcPr>
            <w:tcW w:w="1420" w:type="dxa"/>
            <w:vAlign w:val="center"/>
          </w:tcPr>
          <w:p w14:paraId="7B74964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B45D8CB" w14:textId="77777777" w:rsidTr="00DA3766">
        <w:trPr>
          <w:trHeight w:val="397"/>
          <w:jc w:val="center"/>
        </w:trPr>
        <w:tc>
          <w:tcPr>
            <w:tcW w:w="668" w:type="dxa"/>
            <w:vAlign w:val="center"/>
          </w:tcPr>
          <w:p w14:paraId="611D7B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4319D0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506656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3.5209</w:t>
            </w:r>
          </w:p>
        </w:tc>
        <w:tc>
          <w:tcPr>
            <w:tcW w:w="1428" w:type="dxa"/>
            <w:vAlign w:val="center"/>
          </w:tcPr>
          <w:p w14:paraId="011FE9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16.0792%</w:t>
            </w:r>
          </w:p>
        </w:tc>
        <w:tc>
          <w:tcPr>
            <w:tcW w:w="1420" w:type="dxa"/>
            <w:vAlign w:val="center"/>
          </w:tcPr>
          <w:p w14:paraId="403F66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981463F" w14:textId="77777777" w:rsidTr="00DA3766">
        <w:trPr>
          <w:trHeight w:val="397"/>
          <w:jc w:val="center"/>
        </w:trPr>
        <w:tc>
          <w:tcPr>
            <w:tcW w:w="668" w:type="dxa"/>
            <w:vAlign w:val="center"/>
          </w:tcPr>
          <w:p w14:paraId="219ACA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A47FF9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724396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1.0552</w:t>
            </w:r>
          </w:p>
        </w:tc>
        <w:tc>
          <w:tcPr>
            <w:tcW w:w="1428" w:type="dxa"/>
            <w:vAlign w:val="center"/>
          </w:tcPr>
          <w:p w14:paraId="53BA716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4.8189%</w:t>
            </w:r>
          </w:p>
        </w:tc>
        <w:tc>
          <w:tcPr>
            <w:tcW w:w="1420" w:type="dxa"/>
            <w:vAlign w:val="center"/>
          </w:tcPr>
          <w:p w14:paraId="329CEE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9331837" w14:textId="77777777" w:rsidTr="00DA3766">
        <w:trPr>
          <w:trHeight w:val="397"/>
          <w:jc w:val="center"/>
        </w:trPr>
        <w:tc>
          <w:tcPr>
            <w:tcW w:w="668" w:type="dxa"/>
            <w:vAlign w:val="center"/>
          </w:tcPr>
          <w:p w14:paraId="7F70C5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245CD2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1812781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4.3150</w:t>
            </w:r>
          </w:p>
        </w:tc>
        <w:tc>
          <w:tcPr>
            <w:tcW w:w="1428" w:type="dxa"/>
            <w:vAlign w:val="center"/>
          </w:tcPr>
          <w:p w14:paraId="17953A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19.7057%</w:t>
            </w:r>
          </w:p>
        </w:tc>
        <w:tc>
          <w:tcPr>
            <w:tcW w:w="1420" w:type="dxa"/>
            <w:vAlign w:val="center"/>
          </w:tcPr>
          <w:p w14:paraId="52E5E94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FDAB499" w14:textId="77777777" w:rsidTr="00DA3766">
        <w:trPr>
          <w:trHeight w:val="397"/>
          <w:jc w:val="center"/>
        </w:trPr>
        <w:tc>
          <w:tcPr>
            <w:tcW w:w="668" w:type="dxa"/>
            <w:vAlign w:val="center"/>
          </w:tcPr>
          <w:p w14:paraId="1834E4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402ED94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霍树森</w:t>
            </w:r>
          </w:p>
        </w:tc>
        <w:tc>
          <w:tcPr>
            <w:tcW w:w="1641" w:type="dxa"/>
            <w:vAlign w:val="center"/>
          </w:tcPr>
          <w:p w14:paraId="6051EC9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3.0821</w:t>
            </w:r>
          </w:p>
        </w:tc>
        <w:tc>
          <w:tcPr>
            <w:tcW w:w="1428" w:type="dxa"/>
            <w:vAlign w:val="center"/>
          </w:tcPr>
          <w:p w14:paraId="41EDD2A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14.0753%</w:t>
            </w:r>
          </w:p>
        </w:tc>
        <w:tc>
          <w:tcPr>
            <w:tcW w:w="1420" w:type="dxa"/>
            <w:vAlign w:val="center"/>
          </w:tcPr>
          <w:p w14:paraId="5BB7A8F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19CD3AA" w14:textId="77777777" w:rsidTr="00DA3766">
        <w:trPr>
          <w:trHeight w:val="397"/>
          <w:jc w:val="center"/>
        </w:trPr>
        <w:tc>
          <w:tcPr>
            <w:tcW w:w="4039" w:type="dxa"/>
            <w:gridSpan w:val="2"/>
            <w:vAlign w:val="center"/>
          </w:tcPr>
          <w:p w14:paraId="744F1E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1A4D766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37.511</w:t>
            </w:r>
          </w:p>
        </w:tc>
        <w:tc>
          <w:tcPr>
            <w:tcW w:w="1428" w:type="dxa"/>
            <w:vAlign w:val="center"/>
          </w:tcPr>
          <w:p w14:paraId="28C467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11CAF16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6"/>
    <w:p w14:paraId="6870FE44"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8</w:t>
      </w:r>
      <w:r w:rsidRPr="00DA3766">
        <w:rPr>
          <w:rFonts w:ascii="Times New Roman" w:hAnsi="Times New Roman" w:cs="Times New Roman"/>
          <w:b/>
          <w:bCs/>
          <w:snapToGrid w:val="0"/>
          <w:kern w:val="2"/>
          <w:szCs w:val="22"/>
        </w:rPr>
        <w:t>）深圳市前海千意智合三期</w:t>
      </w:r>
    </w:p>
    <w:p w14:paraId="51D76AEB" w14:textId="77777777" w:rsidR="00BA6F27" w:rsidRPr="00DA3766" w:rsidRDefault="00BA6F27" w:rsidP="007F36AF">
      <w:pPr>
        <w:pStyle w:val="005"/>
        <w:spacing w:before="120" w:after="120"/>
        <w:ind w:firstLine="480"/>
        <w:rPr>
          <w:b/>
          <w:bCs/>
          <w:snapToGrid w:val="0"/>
        </w:rPr>
      </w:pPr>
      <w:r w:rsidRPr="00DA3766">
        <w:t>深圳市前海千意智合三期在上市公司董事会就本次交易申请停牌前或首次</w:t>
      </w:r>
      <w:r w:rsidRPr="00DA3766">
        <w:lastRenderedPageBreak/>
        <w:t>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日）不存在合伙人入伙、退伙、转让财产份额、有限合伙人与普通合伙人转变身份的情况及未来存续期间内的类似变动安排情形。</w:t>
      </w:r>
    </w:p>
    <w:p w14:paraId="502D88A5"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9</w:t>
      </w:r>
      <w:r w:rsidRPr="00DA3766">
        <w:rPr>
          <w:rFonts w:ascii="Times New Roman" w:hAnsi="Times New Roman" w:cs="Times New Roman"/>
          <w:b/>
          <w:bCs/>
          <w:snapToGrid w:val="0"/>
          <w:kern w:val="2"/>
          <w:szCs w:val="22"/>
        </w:rPr>
        <w:t>）乐哈哈</w:t>
      </w:r>
    </w:p>
    <w:p w14:paraId="7DE0028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7" w:name="_Hlk219328432"/>
      <w:r w:rsidRPr="00DA3766">
        <w:rPr>
          <w:rFonts w:ascii="Times New Roman" w:hAnsi="Times New Roman" w:cs="Times New Roman"/>
          <w:snapToGrid w:val="0"/>
        </w:rPr>
        <w:t>乐哈哈在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w:t>
      </w:r>
      <w:r w:rsidRPr="00DA3766">
        <w:rPr>
          <w:rFonts w:ascii="Times New Roman" w:hAnsi="Times New Roman" w:cs="Times New Roman"/>
        </w:rPr>
        <w:t>合伙人退伙、转让财产份额</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15CDADB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月，减少出资额</w:t>
      </w:r>
    </w:p>
    <w:p w14:paraId="0E8D1F1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6</w:t>
      </w:r>
      <w:r w:rsidRPr="00DA3766">
        <w:rPr>
          <w:rFonts w:ascii="Times New Roman" w:hAnsi="Times New Roman" w:cs="Times New Roman"/>
          <w:snapToGrid w:val="0"/>
        </w:rPr>
        <w:t>日，乐哈哈全体合伙人签署新的合伙协议。同意合伙企业的认缴出资额由</w:t>
      </w:r>
      <w:r w:rsidRPr="00DA3766">
        <w:rPr>
          <w:rFonts w:ascii="Times New Roman" w:hAnsi="Times New Roman" w:cs="Times New Roman"/>
          <w:snapToGrid w:val="0"/>
        </w:rPr>
        <w:t>100.00</w:t>
      </w:r>
      <w:r w:rsidRPr="00DA3766">
        <w:rPr>
          <w:rFonts w:ascii="Times New Roman" w:hAnsi="Times New Roman" w:cs="Times New Roman"/>
          <w:snapToGrid w:val="0"/>
        </w:rPr>
        <w:t>万元减少至</w:t>
      </w:r>
      <w:r w:rsidRPr="00DA3766">
        <w:rPr>
          <w:rFonts w:ascii="Times New Roman" w:hAnsi="Times New Roman" w:cs="Times New Roman"/>
          <w:snapToGrid w:val="0"/>
        </w:rPr>
        <w:t>1.5009</w:t>
      </w:r>
      <w:r w:rsidRPr="00DA3766">
        <w:rPr>
          <w:rFonts w:ascii="Times New Roman" w:hAnsi="Times New Roman" w:cs="Times New Roman"/>
          <w:snapToGrid w:val="0"/>
        </w:rPr>
        <w:t>万元。各位合伙人按比例减少认缴出资额。同意蹇盛伟退出合伙，将其持有的对应出资份额转让给陈耿豪。本次转让系蹇盛伟于</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9</w:t>
      </w:r>
      <w:r w:rsidRPr="00DA3766">
        <w:rPr>
          <w:rFonts w:ascii="Times New Roman" w:hAnsi="Times New Roman" w:cs="Times New Roman"/>
          <w:snapToGrid w:val="0"/>
        </w:rPr>
        <w:t>月离职，实控人收回激励股权。</w:t>
      </w:r>
    </w:p>
    <w:p w14:paraId="56ED98C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日，乐哈哈完成本次变更的工商变更登记。</w:t>
      </w:r>
    </w:p>
    <w:p w14:paraId="740A0C3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584DB26B" w14:textId="77777777" w:rsidTr="00DA3766">
        <w:trPr>
          <w:trHeight w:val="397"/>
          <w:jc w:val="center"/>
        </w:trPr>
        <w:tc>
          <w:tcPr>
            <w:tcW w:w="668" w:type="dxa"/>
            <w:vAlign w:val="center"/>
          </w:tcPr>
          <w:p w14:paraId="408272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6778AC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B8557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6589A7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CD8E8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3BB9B210" w14:textId="77777777" w:rsidTr="00DA3766">
        <w:trPr>
          <w:trHeight w:val="397"/>
          <w:jc w:val="center"/>
        </w:trPr>
        <w:tc>
          <w:tcPr>
            <w:tcW w:w="668" w:type="dxa"/>
            <w:vAlign w:val="center"/>
          </w:tcPr>
          <w:p w14:paraId="37C2A5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4162C8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5AC61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0.2488</w:t>
            </w:r>
          </w:p>
        </w:tc>
        <w:tc>
          <w:tcPr>
            <w:tcW w:w="1428" w:type="dxa"/>
            <w:vAlign w:val="center"/>
          </w:tcPr>
          <w:p w14:paraId="41136F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16.6764%</w:t>
            </w:r>
          </w:p>
        </w:tc>
        <w:tc>
          <w:tcPr>
            <w:tcW w:w="1420" w:type="dxa"/>
            <w:vAlign w:val="center"/>
          </w:tcPr>
          <w:p w14:paraId="21A1154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1E07027" w14:textId="77777777" w:rsidTr="00DA3766">
        <w:trPr>
          <w:trHeight w:val="397"/>
          <w:jc w:val="center"/>
        </w:trPr>
        <w:tc>
          <w:tcPr>
            <w:tcW w:w="668" w:type="dxa"/>
            <w:vAlign w:val="center"/>
          </w:tcPr>
          <w:p w14:paraId="5DF0D9E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7BE4D87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641" w:type="dxa"/>
            <w:vAlign w:val="center"/>
          </w:tcPr>
          <w:p w14:paraId="15526EF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0.6816</w:t>
            </w:r>
          </w:p>
        </w:tc>
        <w:tc>
          <w:tcPr>
            <w:tcW w:w="1428" w:type="dxa"/>
            <w:vAlign w:val="center"/>
          </w:tcPr>
          <w:p w14:paraId="1677795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45.4105%</w:t>
            </w:r>
          </w:p>
        </w:tc>
        <w:tc>
          <w:tcPr>
            <w:tcW w:w="1420" w:type="dxa"/>
            <w:vAlign w:val="center"/>
          </w:tcPr>
          <w:p w14:paraId="0077756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19D262" w14:textId="77777777" w:rsidTr="00DA3766">
        <w:trPr>
          <w:trHeight w:val="397"/>
          <w:jc w:val="center"/>
        </w:trPr>
        <w:tc>
          <w:tcPr>
            <w:tcW w:w="668" w:type="dxa"/>
            <w:vAlign w:val="center"/>
          </w:tcPr>
          <w:p w14:paraId="1A3B395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D12EA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09AC84F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3A759D9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22.8733%</w:t>
            </w:r>
          </w:p>
        </w:tc>
        <w:tc>
          <w:tcPr>
            <w:tcW w:w="1420" w:type="dxa"/>
            <w:vAlign w:val="center"/>
          </w:tcPr>
          <w:p w14:paraId="4D2AB97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2B04C13" w14:textId="77777777" w:rsidTr="00DA3766">
        <w:trPr>
          <w:trHeight w:val="397"/>
          <w:jc w:val="center"/>
        </w:trPr>
        <w:tc>
          <w:tcPr>
            <w:tcW w:w="668" w:type="dxa"/>
            <w:vAlign w:val="center"/>
          </w:tcPr>
          <w:p w14:paraId="28A8F6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750E4A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405E8F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06C1083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15.1398%</w:t>
            </w:r>
          </w:p>
        </w:tc>
        <w:tc>
          <w:tcPr>
            <w:tcW w:w="1420" w:type="dxa"/>
            <w:vAlign w:val="center"/>
          </w:tcPr>
          <w:p w14:paraId="366603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86EF84E" w14:textId="77777777" w:rsidTr="00DA3766">
        <w:trPr>
          <w:trHeight w:val="397"/>
          <w:jc w:val="center"/>
        </w:trPr>
        <w:tc>
          <w:tcPr>
            <w:tcW w:w="4039" w:type="dxa"/>
            <w:gridSpan w:val="2"/>
            <w:vAlign w:val="center"/>
          </w:tcPr>
          <w:p w14:paraId="40632D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37CBBA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1.5009</w:t>
            </w:r>
          </w:p>
        </w:tc>
        <w:tc>
          <w:tcPr>
            <w:tcW w:w="1428" w:type="dxa"/>
            <w:vAlign w:val="center"/>
          </w:tcPr>
          <w:p w14:paraId="1DBED7E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3D6EA2F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3438BDF9"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②</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月，出资额转让暨代持还原及执行事务合伙人变更</w:t>
      </w:r>
    </w:p>
    <w:p w14:paraId="7FDCDA09"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日，乐哈哈全体合伙人签署新的合伙协议。同意陈耿豪将其持有的</w:t>
      </w:r>
      <w:r w:rsidRPr="00DA3766">
        <w:rPr>
          <w:rFonts w:ascii="Times New Roman" w:hAnsi="Times New Roman" w:cs="Times New Roman"/>
          <w:snapToGrid w:val="0"/>
        </w:rPr>
        <w:t>0.013078</w:t>
      </w:r>
      <w:r w:rsidRPr="00DA3766">
        <w:rPr>
          <w:rFonts w:ascii="Times New Roman" w:hAnsi="Times New Roman" w:cs="Times New Roman"/>
          <w:snapToGrid w:val="0"/>
        </w:rPr>
        <w:t>万元认缴出资额转让给新增合伙人唐小卓，本次转让系</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唐小卓代持还原的具体变更登记</w:t>
      </w:r>
      <w:r w:rsidRPr="00DA3766">
        <w:rPr>
          <w:rFonts w:ascii="Times New Roman" w:hAnsi="Times New Roman" w:cs="Times New Roman"/>
          <w:snapToGrid w:val="0"/>
        </w:rPr>
        <w:t>。同意合伙企业原普通合伙人陈耿豪变更为有限合伙人，由新增合伙人唐小卓为普通合伙人并担任执行事务合伙人。</w:t>
      </w:r>
    </w:p>
    <w:p w14:paraId="56A590A4"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日，乐哈哈完成本次变更的工商变更登记。</w:t>
      </w:r>
    </w:p>
    <w:p w14:paraId="28AAC9B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64489106" w14:textId="77777777" w:rsidTr="00DA3766">
        <w:trPr>
          <w:trHeight w:val="397"/>
          <w:jc w:val="center"/>
        </w:trPr>
        <w:tc>
          <w:tcPr>
            <w:tcW w:w="668" w:type="dxa"/>
            <w:vAlign w:val="center"/>
          </w:tcPr>
          <w:p w14:paraId="3B08EE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0AC1A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4592E7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2FD8F8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31C4C1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5D300D41" w14:textId="77777777" w:rsidTr="00DA3766">
        <w:trPr>
          <w:trHeight w:val="397"/>
          <w:jc w:val="center"/>
        </w:trPr>
        <w:tc>
          <w:tcPr>
            <w:tcW w:w="668" w:type="dxa"/>
            <w:vAlign w:val="center"/>
          </w:tcPr>
          <w:p w14:paraId="4EF083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7BF463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699C57E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2DE491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0.8714%</w:t>
            </w:r>
          </w:p>
        </w:tc>
        <w:tc>
          <w:tcPr>
            <w:tcW w:w="1420" w:type="dxa"/>
            <w:vAlign w:val="center"/>
          </w:tcPr>
          <w:p w14:paraId="34BD4C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66394C2A" w14:textId="77777777" w:rsidTr="00DA3766">
        <w:trPr>
          <w:trHeight w:val="397"/>
          <w:jc w:val="center"/>
        </w:trPr>
        <w:tc>
          <w:tcPr>
            <w:tcW w:w="668" w:type="dxa"/>
            <w:vAlign w:val="center"/>
          </w:tcPr>
          <w:p w14:paraId="17794C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237DAA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26FF438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0.235722</w:t>
            </w:r>
          </w:p>
        </w:tc>
        <w:tc>
          <w:tcPr>
            <w:tcW w:w="1428" w:type="dxa"/>
            <w:vAlign w:val="center"/>
          </w:tcPr>
          <w:p w14:paraId="29CE738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15.7070%</w:t>
            </w:r>
          </w:p>
        </w:tc>
        <w:tc>
          <w:tcPr>
            <w:tcW w:w="1420" w:type="dxa"/>
            <w:vAlign w:val="center"/>
          </w:tcPr>
          <w:p w14:paraId="7032C1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DF1FD8" w14:textId="77777777" w:rsidTr="00DA3766">
        <w:trPr>
          <w:trHeight w:val="397"/>
          <w:jc w:val="center"/>
        </w:trPr>
        <w:tc>
          <w:tcPr>
            <w:tcW w:w="668" w:type="dxa"/>
            <w:vAlign w:val="center"/>
          </w:tcPr>
          <w:p w14:paraId="3F2BDB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109AFF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641" w:type="dxa"/>
            <w:vAlign w:val="center"/>
          </w:tcPr>
          <w:p w14:paraId="2550DF9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0.6816</w:t>
            </w:r>
          </w:p>
        </w:tc>
        <w:tc>
          <w:tcPr>
            <w:tcW w:w="1428" w:type="dxa"/>
            <w:vAlign w:val="center"/>
          </w:tcPr>
          <w:p w14:paraId="2A9E11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45.4105%</w:t>
            </w:r>
          </w:p>
        </w:tc>
        <w:tc>
          <w:tcPr>
            <w:tcW w:w="1420" w:type="dxa"/>
            <w:vAlign w:val="center"/>
          </w:tcPr>
          <w:p w14:paraId="0D0982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FD785CD" w14:textId="77777777" w:rsidTr="00DA3766">
        <w:trPr>
          <w:trHeight w:val="397"/>
          <w:jc w:val="center"/>
        </w:trPr>
        <w:tc>
          <w:tcPr>
            <w:tcW w:w="668" w:type="dxa"/>
            <w:vAlign w:val="center"/>
          </w:tcPr>
          <w:p w14:paraId="4AD56A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786A34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D5CDD2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0E9DCF3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22.8733%</w:t>
            </w:r>
          </w:p>
        </w:tc>
        <w:tc>
          <w:tcPr>
            <w:tcW w:w="1420" w:type="dxa"/>
            <w:vAlign w:val="center"/>
          </w:tcPr>
          <w:p w14:paraId="5722DF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7EE7423" w14:textId="77777777" w:rsidTr="00DA3766">
        <w:trPr>
          <w:trHeight w:val="397"/>
          <w:jc w:val="center"/>
        </w:trPr>
        <w:tc>
          <w:tcPr>
            <w:tcW w:w="668" w:type="dxa"/>
            <w:vAlign w:val="center"/>
          </w:tcPr>
          <w:p w14:paraId="3A34F0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1C098E5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35A5F4E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3AB0E0D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15.1398%</w:t>
            </w:r>
          </w:p>
        </w:tc>
        <w:tc>
          <w:tcPr>
            <w:tcW w:w="1420" w:type="dxa"/>
            <w:vAlign w:val="center"/>
          </w:tcPr>
          <w:p w14:paraId="2EAF58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EE764C3" w14:textId="77777777" w:rsidTr="00DA3766">
        <w:trPr>
          <w:trHeight w:val="397"/>
          <w:jc w:val="center"/>
        </w:trPr>
        <w:tc>
          <w:tcPr>
            <w:tcW w:w="4039" w:type="dxa"/>
            <w:gridSpan w:val="2"/>
            <w:vAlign w:val="center"/>
          </w:tcPr>
          <w:p w14:paraId="31EA17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7C81C60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1.5009</w:t>
            </w:r>
          </w:p>
        </w:tc>
        <w:tc>
          <w:tcPr>
            <w:tcW w:w="1428" w:type="dxa"/>
            <w:vAlign w:val="center"/>
          </w:tcPr>
          <w:p w14:paraId="1997B3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6BC064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1E115C7E"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③</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月，减少出资额</w:t>
      </w:r>
    </w:p>
    <w:p w14:paraId="1B160479" w14:textId="7809E201"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月，张杰波、杨凯然决定将其通过乐哈哈直接持有的合伙份额所对应持有的星云开物股权外翻为直接持股，为此，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张杰波、杨凯然分别于乐哈哈签署股份转让协议，约定由乐哈哈将张杰波、杨凯然通过乐哈哈直接及间接持有的合伙份额所对应持有的星云开物股份转让给张杰波、杨凯然。后续再由张杰波、杨凯然完成在乐哈哈层面的退伙。</w:t>
      </w:r>
    </w:p>
    <w:p w14:paraId="36B6605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12</w:t>
      </w:r>
      <w:r w:rsidRPr="00DA3766">
        <w:rPr>
          <w:rFonts w:ascii="Times New Roman" w:hAnsi="Times New Roman" w:cs="Times New Roman"/>
          <w:snapToGrid w:val="0"/>
        </w:rPr>
        <w:t>日，乐哈哈全体合伙人作出变更决定书。同意合伙企业的认缴出资额由</w:t>
      </w:r>
      <w:r w:rsidRPr="00DA3766">
        <w:rPr>
          <w:rFonts w:ascii="Times New Roman" w:hAnsi="Times New Roman" w:cs="Times New Roman"/>
          <w:snapToGrid w:val="0"/>
        </w:rPr>
        <w:t>1.5009</w:t>
      </w:r>
      <w:r w:rsidRPr="00DA3766">
        <w:rPr>
          <w:rFonts w:ascii="Times New Roman" w:hAnsi="Times New Roman" w:cs="Times New Roman"/>
          <w:snapToGrid w:val="0"/>
        </w:rPr>
        <w:t>万元减少至</w:t>
      </w:r>
      <w:r w:rsidRPr="00DA3766">
        <w:rPr>
          <w:rFonts w:ascii="Times New Roman" w:hAnsi="Times New Roman" w:cs="Times New Roman"/>
          <w:snapToGrid w:val="0"/>
        </w:rPr>
        <w:t>0.6771</w:t>
      </w:r>
      <w:r w:rsidRPr="00DA3766">
        <w:rPr>
          <w:rFonts w:ascii="Times New Roman" w:hAnsi="Times New Roman" w:cs="Times New Roman"/>
          <w:snapToGrid w:val="0"/>
        </w:rPr>
        <w:t>万元。同意张杰波减少出资额</w:t>
      </w:r>
      <w:r w:rsidRPr="00DA3766">
        <w:rPr>
          <w:rFonts w:ascii="Times New Roman" w:hAnsi="Times New Roman" w:cs="Times New Roman"/>
          <w:snapToGrid w:val="0"/>
        </w:rPr>
        <w:t>0.6816</w:t>
      </w:r>
      <w:r w:rsidRPr="00DA3766">
        <w:rPr>
          <w:rFonts w:ascii="Times New Roman" w:hAnsi="Times New Roman" w:cs="Times New Roman"/>
          <w:snapToGrid w:val="0"/>
        </w:rPr>
        <w:t>万元并退出合伙。同意陈耿豪（代杨凯然持股）减少认缴出资额</w:t>
      </w:r>
      <w:r w:rsidRPr="00DA3766">
        <w:rPr>
          <w:rFonts w:ascii="Times New Roman" w:hAnsi="Times New Roman" w:cs="Times New Roman"/>
          <w:snapToGrid w:val="0"/>
        </w:rPr>
        <w:t>0.1422</w:t>
      </w:r>
      <w:r w:rsidRPr="00DA3766">
        <w:rPr>
          <w:rFonts w:ascii="Times New Roman" w:hAnsi="Times New Roman" w:cs="Times New Roman"/>
          <w:snapToGrid w:val="0"/>
        </w:rPr>
        <w:t>万元。此次退出系张杰波、杨凯然将其通过乐哈哈间接持有的星云开物股份转让直接持股后，在乐哈哈层面完成的减资退伙程序。</w:t>
      </w:r>
    </w:p>
    <w:p w14:paraId="0D9B916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19</w:t>
      </w:r>
      <w:r w:rsidRPr="00DA3766">
        <w:rPr>
          <w:rFonts w:ascii="Times New Roman" w:hAnsi="Times New Roman" w:cs="Times New Roman"/>
          <w:snapToGrid w:val="0"/>
        </w:rPr>
        <w:t>日，乐哈哈完成本次转让的工商变更登记。</w:t>
      </w:r>
    </w:p>
    <w:p w14:paraId="2426BA9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3F929992" w14:textId="77777777" w:rsidTr="00DA3766">
        <w:trPr>
          <w:trHeight w:val="397"/>
          <w:jc w:val="center"/>
        </w:trPr>
        <w:tc>
          <w:tcPr>
            <w:tcW w:w="668" w:type="dxa"/>
            <w:vAlign w:val="center"/>
          </w:tcPr>
          <w:p w14:paraId="7CD040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C535A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4B96E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58C5F3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3D1090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3FB86528" w14:textId="77777777" w:rsidTr="00DA3766">
        <w:trPr>
          <w:trHeight w:val="397"/>
          <w:jc w:val="center"/>
        </w:trPr>
        <w:tc>
          <w:tcPr>
            <w:tcW w:w="668" w:type="dxa"/>
            <w:vAlign w:val="center"/>
          </w:tcPr>
          <w:p w14:paraId="761A58B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BCA6D2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4FCA30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1AB88B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1.9315%</w:t>
            </w:r>
          </w:p>
        </w:tc>
        <w:tc>
          <w:tcPr>
            <w:tcW w:w="1420" w:type="dxa"/>
            <w:vAlign w:val="center"/>
          </w:tcPr>
          <w:p w14:paraId="34B931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772AC30C" w14:textId="77777777" w:rsidTr="00DA3766">
        <w:trPr>
          <w:trHeight w:val="397"/>
          <w:jc w:val="center"/>
        </w:trPr>
        <w:tc>
          <w:tcPr>
            <w:tcW w:w="668" w:type="dxa"/>
            <w:vAlign w:val="center"/>
          </w:tcPr>
          <w:p w14:paraId="200D87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4219B6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F6E07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0.093522</w:t>
            </w:r>
          </w:p>
        </w:tc>
        <w:tc>
          <w:tcPr>
            <w:tcW w:w="1428" w:type="dxa"/>
            <w:vAlign w:val="center"/>
          </w:tcPr>
          <w:p w14:paraId="6B34ED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13.8121%</w:t>
            </w:r>
          </w:p>
        </w:tc>
        <w:tc>
          <w:tcPr>
            <w:tcW w:w="1420" w:type="dxa"/>
            <w:vAlign w:val="center"/>
          </w:tcPr>
          <w:p w14:paraId="689354D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65629DD" w14:textId="77777777" w:rsidTr="00DA3766">
        <w:trPr>
          <w:trHeight w:val="397"/>
          <w:jc w:val="center"/>
        </w:trPr>
        <w:tc>
          <w:tcPr>
            <w:tcW w:w="668" w:type="dxa"/>
            <w:vAlign w:val="center"/>
          </w:tcPr>
          <w:p w14:paraId="3E89A8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421AF4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F11D36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09E78B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50.7015%</w:t>
            </w:r>
          </w:p>
        </w:tc>
        <w:tc>
          <w:tcPr>
            <w:tcW w:w="1420" w:type="dxa"/>
            <w:vAlign w:val="center"/>
          </w:tcPr>
          <w:p w14:paraId="12DBD3B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8C96D4C" w14:textId="77777777" w:rsidTr="00DA3766">
        <w:trPr>
          <w:trHeight w:val="397"/>
          <w:jc w:val="center"/>
        </w:trPr>
        <w:tc>
          <w:tcPr>
            <w:tcW w:w="668" w:type="dxa"/>
            <w:vAlign w:val="center"/>
          </w:tcPr>
          <w:p w14:paraId="0290CB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7EDA3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42B612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5DDEE5C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33.5549%</w:t>
            </w:r>
          </w:p>
        </w:tc>
        <w:tc>
          <w:tcPr>
            <w:tcW w:w="1420" w:type="dxa"/>
            <w:vAlign w:val="center"/>
          </w:tcPr>
          <w:p w14:paraId="4B222A9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5997038" w14:textId="77777777" w:rsidTr="00DA3766">
        <w:trPr>
          <w:trHeight w:val="397"/>
          <w:jc w:val="center"/>
        </w:trPr>
        <w:tc>
          <w:tcPr>
            <w:tcW w:w="4039" w:type="dxa"/>
            <w:gridSpan w:val="2"/>
            <w:vAlign w:val="center"/>
          </w:tcPr>
          <w:p w14:paraId="6272F9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6FDB0EF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0.6771</w:t>
            </w:r>
          </w:p>
        </w:tc>
        <w:tc>
          <w:tcPr>
            <w:tcW w:w="1428" w:type="dxa"/>
            <w:vAlign w:val="center"/>
          </w:tcPr>
          <w:p w14:paraId="41DB48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14874C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0A72ECD6"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④</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月，出资额转让暨代持还原</w:t>
      </w:r>
    </w:p>
    <w:p w14:paraId="75F49512" w14:textId="77777777" w:rsidR="00BA6F27" w:rsidRPr="00DA3766" w:rsidRDefault="00BA6F27" w:rsidP="00DA3766">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唐小卓等</w:t>
      </w:r>
      <w:r w:rsidRPr="00DA3766">
        <w:rPr>
          <w:rFonts w:ascii="Times New Roman" w:hAnsi="Times New Roman" w:cs="Times New Roman"/>
          <w:snapToGrid w:val="0"/>
          <w:lang w:bidi="ar"/>
        </w:rPr>
        <w:t>8</w:t>
      </w:r>
      <w:r w:rsidRPr="00DA3766">
        <w:rPr>
          <w:rFonts w:ascii="Times New Roman" w:hAnsi="Times New Roman" w:cs="Times New Roman"/>
          <w:snapToGrid w:val="0"/>
          <w:lang w:bidi="ar"/>
        </w:rPr>
        <w:t>名被激励对象签署《财产份额代持解除协议》，约定由陈耿豪将其于</w:t>
      </w:r>
      <w:r w:rsidRPr="00DA3766">
        <w:rPr>
          <w:rFonts w:ascii="Times New Roman" w:hAnsi="Times New Roman" w:cs="Times New Roman"/>
          <w:snapToGrid w:val="0"/>
          <w:lang w:bidi="ar"/>
        </w:rPr>
        <w:t>2022</w:t>
      </w:r>
      <w:r w:rsidRPr="00DA3766">
        <w:rPr>
          <w:rFonts w:ascii="Times New Roman" w:hAnsi="Times New Roman" w:cs="Times New Roman"/>
          <w:snapToGrid w:val="0"/>
          <w:lang w:bidi="ar"/>
        </w:rPr>
        <w:t>年股权激励时已授予但尚未登记至被激励员工名</w:t>
      </w:r>
      <w:r w:rsidRPr="00DA3766">
        <w:rPr>
          <w:rFonts w:ascii="Times New Roman" w:hAnsi="Times New Roman" w:cs="Times New Roman"/>
          <w:snapToGrid w:val="0"/>
          <w:lang w:bidi="ar"/>
        </w:rPr>
        <w:lastRenderedPageBreak/>
        <w:t>下的激励份额还原至唐小卓等</w:t>
      </w:r>
      <w:r w:rsidRPr="00DA3766">
        <w:rPr>
          <w:rFonts w:ascii="Times New Roman" w:hAnsi="Times New Roman" w:cs="Times New Roman"/>
          <w:snapToGrid w:val="0"/>
          <w:lang w:bidi="ar"/>
        </w:rPr>
        <w:t>8</w:t>
      </w:r>
      <w:r w:rsidRPr="00DA3766">
        <w:rPr>
          <w:rFonts w:ascii="Times New Roman" w:hAnsi="Times New Roman" w:cs="Times New Roman"/>
          <w:snapToGrid w:val="0"/>
          <w:lang w:bidi="ar"/>
        </w:rPr>
        <w:t>名被激励对象名下，双方代持关系解除，具体代持及解除情况详见本回复</w:t>
      </w:r>
      <w:r w:rsidRPr="00DA3766">
        <w:rPr>
          <w:rFonts w:cs="Times New Roman"/>
          <w:snapToGrid w:val="0"/>
          <w:lang w:bidi="ar"/>
        </w:rPr>
        <w:t>“</w:t>
      </w:r>
      <w:r w:rsidRPr="00DA3766">
        <w:rPr>
          <w:rFonts w:ascii="Times New Roman" w:hAnsi="Times New Roman" w:cs="Times New Roman"/>
          <w:snapToGrid w:val="0"/>
          <w:lang w:bidi="ar"/>
        </w:rPr>
        <w:t>问题</w:t>
      </w:r>
      <w:r w:rsidRPr="00DA3766">
        <w:rPr>
          <w:rFonts w:ascii="Times New Roman" w:hAnsi="Times New Roman" w:cs="Times New Roman"/>
          <w:snapToGrid w:val="0"/>
          <w:lang w:bidi="ar"/>
        </w:rPr>
        <w:t>8</w:t>
      </w:r>
      <w:r w:rsidRPr="00DA3766">
        <w:rPr>
          <w:rFonts w:cs="Times New Roman"/>
          <w:snapToGrid w:val="0"/>
          <w:lang w:bidi="ar"/>
        </w:rPr>
        <w:t>”</w:t>
      </w:r>
      <w:r w:rsidRPr="00DA3766">
        <w:rPr>
          <w:rFonts w:ascii="Times New Roman" w:hAnsi="Times New Roman" w:cs="Times New Roman"/>
          <w:snapToGrid w:val="0"/>
          <w:lang w:bidi="ar"/>
        </w:rPr>
        <w:t>之</w:t>
      </w:r>
      <w:r w:rsidRPr="00DA3766">
        <w:rPr>
          <w:rFonts w:cs="Times New Roman"/>
          <w:snapToGrid w:val="0"/>
          <w:lang w:bidi="ar"/>
        </w:rPr>
        <w:t>“</w:t>
      </w:r>
      <w:r w:rsidRPr="00DA3766">
        <w:rPr>
          <w:rFonts w:ascii="Times New Roman" w:hAnsi="Times New Roman" w:cs="Times New Roman"/>
          <w:snapToGrid w:val="0"/>
          <w:lang w:bidi="ar"/>
        </w:rPr>
        <w:t>七、</w:t>
      </w:r>
      <w:r w:rsidRPr="00DA3766">
        <w:rPr>
          <w:rFonts w:ascii="Times New Roman" w:hAnsi="Times New Roman" w:cs="Times New Roman"/>
        </w:rPr>
        <w:t>标的资产是否存在股权代持、股权质押冻结、争议纠纷或潜在纠纷，股权是否清晰等情形，未来资产过户是否不存在障碍</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（一）标的资产历史上曾存在股权代持情况</w:t>
      </w:r>
      <w:r w:rsidRPr="00DA3766">
        <w:rPr>
          <w:rFonts w:cs="Times New Roman"/>
        </w:rPr>
        <w:t>”</w:t>
      </w:r>
      <w:r w:rsidRPr="00DA3766">
        <w:rPr>
          <w:rFonts w:ascii="Times New Roman" w:hAnsi="Times New Roman" w:cs="Times New Roman"/>
        </w:rPr>
        <w:t>。</w:t>
      </w:r>
    </w:p>
    <w:p w14:paraId="4307D0BF"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日，乐哈哈作出变更决定书，同意陈耿豪将</w:t>
      </w:r>
      <w:r w:rsidRPr="00DA3766">
        <w:rPr>
          <w:rFonts w:ascii="Times New Roman" w:hAnsi="Times New Roman" w:cs="Times New Roman"/>
          <w:snapToGrid w:val="0"/>
        </w:rPr>
        <w:t>0.092852</w:t>
      </w:r>
      <w:r w:rsidRPr="00DA3766">
        <w:rPr>
          <w:rFonts w:ascii="Times New Roman" w:hAnsi="Times New Roman" w:cs="Times New Roman"/>
          <w:snapToGrid w:val="0"/>
        </w:rPr>
        <w:t>万元认缴出资额转让给新增合伙人杨振彪、谢福明、陈珠虹、王维、谢仲东、陈泽彬、伍蒋峰。本次转让系前述</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月陈耿豪与杨振彪</w:t>
      </w:r>
      <w:r w:rsidRPr="00DA3766">
        <w:rPr>
          <w:rFonts w:ascii="Times New Roman" w:hAnsi="Times New Roman" w:cs="Times New Roman"/>
          <w:snapToGrid w:val="0"/>
          <w:lang w:bidi="ar"/>
        </w:rPr>
        <w:t>等</w:t>
      </w:r>
      <w:r w:rsidRPr="00DA3766">
        <w:rPr>
          <w:rFonts w:ascii="Times New Roman" w:hAnsi="Times New Roman" w:cs="Times New Roman"/>
          <w:snapToGrid w:val="0"/>
          <w:lang w:bidi="ar"/>
        </w:rPr>
        <w:t>7</w:t>
      </w:r>
      <w:r w:rsidRPr="00DA3766">
        <w:rPr>
          <w:rFonts w:ascii="Times New Roman" w:hAnsi="Times New Roman" w:cs="Times New Roman"/>
          <w:snapToGrid w:val="0"/>
          <w:lang w:bidi="ar"/>
        </w:rPr>
        <w:t>名被激励对象代持还原的具体变更登记（陈耿豪代唐小卓持股部分已于</w:t>
      </w:r>
      <w:r w:rsidRPr="00DA3766">
        <w:rPr>
          <w:rFonts w:ascii="Times New Roman" w:hAnsi="Times New Roman" w:cs="Times New Roman"/>
          <w:snapToGrid w:val="0"/>
          <w:lang w:bidi="ar"/>
        </w:rPr>
        <w:t>2025</w:t>
      </w:r>
      <w:r w:rsidRPr="00DA3766">
        <w:rPr>
          <w:rFonts w:ascii="Times New Roman" w:hAnsi="Times New Roman" w:cs="Times New Roman"/>
          <w:snapToGrid w:val="0"/>
          <w:lang w:bidi="ar"/>
        </w:rPr>
        <w:t>年</w:t>
      </w:r>
      <w:r w:rsidRPr="00DA3766">
        <w:rPr>
          <w:rFonts w:ascii="Times New Roman" w:hAnsi="Times New Roman" w:cs="Times New Roman"/>
          <w:snapToGrid w:val="0"/>
          <w:lang w:bidi="ar"/>
        </w:rPr>
        <w:t>7</w:t>
      </w:r>
      <w:r w:rsidRPr="00DA3766">
        <w:rPr>
          <w:rFonts w:ascii="Times New Roman" w:hAnsi="Times New Roman" w:cs="Times New Roman"/>
          <w:snapToGrid w:val="0"/>
          <w:lang w:bidi="ar"/>
        </w:rPr>
        <w:t>月完成还原）</w:t>
      </w:r>
      <w:r w:rsidRPr="00DA3766">
        <w:rPr>
          <w:rFonts w:ascii="Times New Roman" w:hAnsi="Times New Roman" w:cs="Times New Roman"/>
          <w:snapToGrid w:val="0"/>
        </w:rPr>
        <w:t>。</w:t>
      </w:r>
    </w:p>
    <w:p w14:paraId="1DDFF6F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日，乐哈哈完成本次转让的工商变更登记。</w:t>
      </w:r>
    </w:p>
    <w:p w14:paraId="3411674C"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C3903ED" w14:textId="77777777" w:rsidTr="00DA3766">
        <w:trPr>
          <w:trHeight w:val="397"/>
          <w:jc w:val="center"/>
        </w:trPr>
        <w:tc>
          <w:tcPr>
            <w:tcW w:w="668" w:type="dxa"/>
            <w:vAlign w:val="center"/>
          </w:tcPr>
          <w:p w14:paraId="1AB4B01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20D44843"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AE4E70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A7F528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18DE93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6BCE6B68" w14:textId="77777777" w:rsidTr="00DA3766">
        <w:trPr>
          <w:trHeight w:val="397"/>
          <w:jc w:val="center"/>
        </w:trPr>
        <w:tc>
          <w:tcPr>
            <w:tcW w:w="668" w:type="dxa"/>
            <w:vAlign w:val="center"/>
          </w:tcPr>
          <w:p w14:paraId="42587B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577C61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59C84C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741D555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1.9315%</w:t>
            </w:r>
          </w:p>
        </w:tc>
        <w:tc>
          <w:tcPr>
            <w:tcW w:w="1420" w:type="dxa"/>
            <w:vAlign w:val="center"/>
          </w:tcPr>
          <w:p w14:paraId="245F01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F8CA796" w14:textId="77777777" w:rsidTr="00DA3766">
        <w:trPr>
          <w:trHeight w:val="397"/>
          <w:jc w:val="center"/>
        </w:trPr>
        <w:tc>
          <w:tcPr>
            <w:tcW w:w="668" w:type="dxa"/>
            <w:vAlign w:val="center"/>
          </w:tcPr>
          <w:p w14:paraId="68FB608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0EB2FCA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394465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0.000670</w:t>
            </w:r>
          </w:p>
        </w:tc>
        <w:tc>
          <w:tcPr>
            <w:tcW w:w="1428" w:type="dxa"/>
            <w:vAlign w:val="center"/>
          </w:tcPr>
          <w:p w14:paraId="6A5AB0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0.0990%</w:t>
            </w:r>
          </w:p>
        </w:tc>
        <w:tc>
          <w:tcPr>
            <w:tcW w:w="1420" w:type="dxa"/>
            <w:vAlign w:val="center"/>
          </w:tcPr>
          <w:p w14:paraId="344329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3886A2C" w14:textId="77777777" w:rsidTr="00DA3766">
        <w:trPr>
          <w:trHeight w:val="397"/>
          <w:jc w:val="center"/>
        </w:trPr>
        <w:tc>
          <w:tcPr>
            <w:tcW w:w="668" w:type="dxa"/>
            <w:vAlign w:val="center"/>
          </w:tcPr>
          <w:p w14:paraId="2205D0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541CA2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98E41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1184D18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50.7015%</w:t>
            </w:r>
          </w:p>
        </w:tc>
        <w:tc>
          <w:tcPr>
            <w:tcW w:w="1420" w:type="dxa"/>
            <w:vAlign w:val="center"/>
          </w:tcPr>
          <w:p w14:paraId="2F6728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A83D237" w14:textId="77777777" w:rsidTr="00DA3766">
        <w:trPr>
          <w:trHeight w:val="397"/>
          <w:jc w:val="center"/>
        </w:trPr>
        <w:tc>
          <w:tcPr>
            <w:tcW w:w="668" w:type="dxa"/>
            <w:vAlign w:val="center"/>
          </w:tcPr>
          <w:p w14:paraId="435DE70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4742D7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7800093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346F440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33.5549%</w:t>
            </w:r>
          </w:p>
        </w:tc>
        <w:tc>
          <w:tcPr>
            <w:tcW w:w="1420" w:type="dxa"/>
            <w:vAlign w:val="center"/>
          </w:tcPr>
          <w:p w14:paraId="2B9266F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F68F69" w14:textId="77777777" w:rsidTr="00DA3766">
        <w:trPr>
          <w:trHeight w:val="397"/>
          <w:jc w:val="center"/>
        </w:trPr>
        <w:tc>
          <w:tcPr>
            <w:tcW w:w="668" w:type="dxa"/>
            <w:vAlign w:val="center"/>
          </w:tcPr>
          <w:p w14:paraId="1E2457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33719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杨振彪</w:t>
            </w:r>
          </w:p>
        </w:tc>
        <w:tc>
          <w:tcPr>
            <w:tcW w:w="1641" w:type="dxa"/>
            <w:vAlign w:val="center"/>
          </w:tcPr>
          <w:p w14:paraId="23C97C1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03A9586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12B0C1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71AB9F4" w14:textId="77777777" w:rsidTr="00DA3766">
        <w:trPr>
          <w:trHeight w:val="397"/>
          <w:jc w:val="center"/>
        </w:trPr>
        <w:tc>
          <w:tcPr>
            <w:tcW w:w="668" w:type="dxa"/>
            <w:vAlign w:val="center"/>
          </w:tcPr>
          <w:p w14:paraId="0AE870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122A47C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谢福明</w:t>
            </w:r>
          </w:p>
        </w:tc>
        <w:tc>
          <w:tcPr>
            <w:tcW w:w="1641" w:type="dxa"/>
            <w:vAlign w:val="center"/>
          </w:tcPr>
          <w:p w14:paraId="7B1010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325DB5D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5014C0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397F51" w14:textId="77777777" w:rsidTr="00DA3766">
        <w:trPr>
          <w:trHeight w:val="397"/>
          <w:jc w:val="center"/>
        </w:trPr>
        <w:tc>
          <w:tcPr>
            <w:tcW w:w="668" w:type="dxa"/>
            <w:vAlign w:val="center"/>
          </w:tcPr>
          <w:p w14:paraId="675C9F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677042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陈珠虹</w:t>
            </w:r>
          </w:p>
        </w:tc>
        <w:tc>
          <w:tcPr>
            <w:tcW w:w="1641" w:type="dxa"/>
            <w:vAlign w:val="center"/>
          </w:tcPr>
          <w:p w14:paraId="58B70E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01BF523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23C20B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15F54F" w14:textId="77777777" w:rsidTr="00DA3766">
        <w:trPr>
          <w:trHeight w:val="397"/>
          <w:jc w:val="center"/>
        </w:trPr>
        <w:tc>
          <w:tcPr>
            <w:tcW w:w="668" w:type="dxa"/>
            <w:vAlign w:val="center"/>
          </w:tcPr>
          <w:p w14:paraId="46D6233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2010BD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王维</w:t>
            </w:r>
          </w:p>
        </w:tc>
        <w:tc>
          <w:tcPr>
            <w:tcW w:w="1641" w:type="dxa"/>
            <w:vAlign w:val="center"/>
          </w:tcPr>
          <w:p w14:paraId="3D3C38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4A3D34D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2920D1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D76C8D" w14:textId="77777777" w:rsidTr="00DA3766">
        <w:trPr>
          <w:trHeight w:val="397"/>
          <w:jc w:val="center"/>
        </w:trPr>
        <w:tc>
          <w:tcPr>
            <w:tcW w:w="668" w:type="dxa"/>
            <w:vAlign w:val="center"/>
          </w:tcPr>
          <w:p w14:paraId="4470B4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32D926F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谢仲东</w:t>
            </w:r>
          </w:p>
        </w:tc>
        <w:tc>
          <w:tcPr>
            <w:tcW w:w="1641" w:type="dxa"/>
            <w:vAlign w:val="center"/>
          </w:tcPr>
          <w:p w14:paraId="4FB9714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0.006539</w:t>
            </w:r>
          </w:p>
        </w:tc>
        <w:tc>
          <w:tcPr>
            <w:tcW w:w="1428" w:type="dxa"/>
            <w:vAlign w:val="center"/>
          </w:tcPr>
          <w:p w14:paraId="183C9C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0.9657%</w:t>
            </w:r>
          </w:p>
        </w:tc>
        <w:tc>
          <w:tcPr>
            <w:tcW w:w="1420" w:type="dxa"/>
            <w:vAlign w:val="center"/>
          </w:tcPr>
          <w:p w14:paraId="6849A1F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015451" w14:textId="77777777" w:rsidTr="00DA3766">
        <w:trPr>
          <w:trHeight w:val="397"/>
          <w:jc w:val="center"/>
        </w:trPr>
        <w:tc>
          <w:tcPr>
            <w:tcW w:w="668" w:type="dxa"/>
            <w:vAlign w:val="center"/>
          </w:tcPr>
          <w:p w14:paraId="426C45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4EB9B9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陈泽彬</w:t>
            </w:r>
          </w:p>
        </w:tc>
        <w:tc>
          <w:tcPr>
            <w:tcW w:w="1641" w:type="dxa"/>
            <w:vAlign w:val="center"/>
          </w:tcPr>
          <w:p w14:paraId="460B00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2F2CBA3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61F160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2105B8C" w14:textId="77777777" w:rsidTr="00DA3766">
        <w:trPr>
          <w:trHeight w:val="397"/>
          <w:jc w:val="center"/>
        </w:trPr>
        <w:tc>
          <w:tcPr>
            <w:tcW w:w="668" w:type="dxa"/>
            <w:vAlign w:val="center"/>
          </w:tcPr>
          <w:p w14:paraId="420C4C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6CE8DA0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伍蒋峰</w:t>
            </w:r>
          </w:p>
        </w:tc>
        <w:tc>
          <w:tcPr>
            <w:tcW w:w="1641" w:type="dxa"/>
            <w:vAlign w:val="center"/>
          </w:tcPr>
          <w:p w14:paraId="3C0149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187D43C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189E75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73D227F" w14:textId="77777777" w:rsidTr="00DA3766">
        <w:trPr>
          <w:trHeight w:val="397"/>
          <w:jc w:val="center"/>
        </w:trPr>
        <w:tc>
          <w:tcPr>
            <w:tcW w:w="4039" w:type="dxa"/>
            <w:gridSpan w:val="2"/>
            <w:vAlign w:val="center"/>
          </w:tcPr>
          <w:p w14:paraId="1894BB9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1CEE40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0.6771</w:t>
            </w:r>
          </w:p>
        </w:tc>
        <w:tc>
          <w:tcPr>
            <w:tcW w:w="1428" w:type="dxa"/>
            <w:vAlign w:val="center"/>
          </w:tcPr>
          <w:p w14:paraId="7B3C2F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4F06E99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7"/>
    <w:p w14:paraId="5F6142A5"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10</w:t>
      </w:r>
      <w:r w:rsidRPr="00DA3766">
        <w:rPr>
          <w:rFonts w:ascii="Times New Roman" w:hAnsi="Times New Roman" w:cs="Times New Roman"/>
          <w:b/>
          <w:bCs/>
          <w:snapToGrid w:val="0"/>
          <w:kern w:val="2"/>
          <w:szCs w:val="22"/>
        </w:rPr>
        <w:t>）广发信德二期</w:t>
      </w:r>
    </w:p>
    <w:p w14:paraId="31468BFC"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t>广发信德二期在上市公司董事会就本次交易申请停牌前或首次作出决议前（孰早）六个月内及停牌期间（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7A75066E"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11</w:t>
      </w:r>
      <w:r w:rsidRPr="00DA3766">
        <w:rPr>
          <w:rFonts w:ascii="Times New Roman" w:hAnsi="Times New Roman" w:cs="Times New Roman"/>
          <w:b/>
          <w:bCs/>
          <w:snapToGrid w:val="0"/>
          <w:kern w:val="2"/>
          <w:szCs w:val="22"/>
        </w:rPr>
        <w:t>）璀璨德商</w:t>
      </w:r>
    </w:p>
    <w:p w14:paraId="76849987"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lastRenderedPageBreak/>
        <w:t>璀璨德商在上市公司董事会就本次交易申请停牌前或首次作出决议前（孰早）六个月内及停牌期间（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5802BBB7"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12</w:t>
      </w:r>
      <w:r w:rsidRPr="00DA3766">
        <w:rPr>
          <w:rFonts w:ascii="Times New Roman" w:hAnsi="Times New Roman" w:cs="Times New Roman"/>
          <w:b/>
          <w:bCs/>
          <w:snapToGrid w:val="0"/>
          <w:kern w:val="2"/>
          <w:szCs w:val="22"/>
        </w:rPr>
        <w:t>）广州信德创业营</w:t>
      </w:r>
    </w:p>
    <w:p w14:paraId="7BE83611"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t>广州信德创业营在上市公司董事会就本次交易申请停牌前或首次作出决议前（孰早）六个月内及停牌期间（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166F1B2C"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13</w:t>
      </w:r>
      <w:r w:rsidRPr="00DA3766">
        <w:rPr>
          <w:rFonts w:ascii="Times New Roman" w:hAnsi="Times New Roman" w:cs="Times New Roman"/>
          <w:b/>
          <w:bCs/>
          <w:snapToGrid w:val="0"/>
          <w:kern w:val="2"/>
          <w:szCs w:val="22"/>
        </w:rPr>
        <w:t>）乐摇</w:t>
      </w:r>
    </w:p>
    <w:p w14:paraId="3F72172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8" w:name="_Hlk219328690"/>
      <w:r w:rsidRPr="00DA3766">
        <w:rPr>
          <w:rFonts w:ascii="Times New Roman" w:hAnsi="Times New Roman" w:cs="Times New Roman"/>
          <w:snapToGrid w:val="0"/>
        </w:rPr>
        <w:t>乐摇在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w:t>
      </w:r>
      <w:r w:rsidRPr="00DA3766">
        <w:rPr>
          <w:rFonts w:ascii="Times New Roman" w:hAnsi="Times New Roman" w:cs="Times New Roman"/>
        </w:rPr>
        <w:t>合伙人退伙、</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16EF783B"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lang w:bidi="ar"/>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月，合伙人退伙、减少出资额及代持还原</w:t>
      </w:r>
    </w:p>
    <w:p w14:paraId="7BE43E54" w14:textId="056A4E36"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月，张杰波、杨凯然决定将其通过乐摇直接持有的合伙份额所对应持有的星云开物股权外翻为直接持股，为此，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张杰波、杨凯然分别与乐摇签署股份转让协议，约定由乐摇将张杰波、杨凯然通过乐摇直接持有的合伙份额所对应持有的星云开物股份转让给张杰波、杨凯然。后续再由张杰波、杨凯然完成在乐摇层面的退伙。</w:t>
      </w:r>
    </w:p>
    <w:p w14:paraId="7E3826FB"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11</w:t>
      </w:r>
      <w:r w:rsidRPr="00DA3766">
        <w:rPr>
          <w:rFonts w:ascii="Times New Roman" w:hAnsi="Times New Roman" w:cs="Times New Roman"/>
          <w:snapToGrid w:val="0"/>
        </w:rPr>
        <w:t>日，乐摇全体合伙人作出变更决定书，同意合伙企业的认缴出资额由</w:t>
      </w:r>
      <w:r w:rsidRPr="00DA3766">
        <w:rPr>
          <w:rFonts w:ascii="Times New Roman" w:hAnsi="Times New Roman" w:cs="Times New Roman"/>
          <w:snapToGrid w:val="0"/>
        </w:rPr>
        <w:t>177.667639</w:t>
      </w:r>
      <w:r w:rsidRPr="00DA3766">
        <w:rPr>
          <w:rFonts w:ascii="Times New Roman" w:hAnsi="Times New Roman" w:cs="Times New Roman"/>
          <w:snapToGrid w:val="0"/>
        </w:rPr>
        <w:t>万元减少至</w:t>
      </w:r>
      <w:r w:rsidRPr="00DA3766">
        <w:rPr>
          <w:rFonts w:ascii="Times New Roman" w:hAnsi="Times New Roman" w:cs="Times New Roman"/>
          <w:snapToGrid w:val="0"/>
        </w:rPr>
        <w:t>15.948696</w:t>
      </w:r>
      <w:r w:rsidRPr="00DA3766">
        <w:rPr>
          <w:rFonts w:ascii="Times New Roman" w:hAnsi="Times New Roman" w:cs="Times New Roman"/>
          <w:snapToGrid w:val="0"/>
        </w:rPr>
        <w:t>万元。同意张杰波减少出资额</w:t>
      </w:r>
      <w:r w:rsidRPr="00DA3766">
        <w:rPr>
          <w:rFonts w:ascii="Times New Roman" w:hAnsi="Times New Roman" w:cs="Times New Roman"/>
          <w:snapToGrid w:val="0"/>
        </w:rPr>
        <w:t>155.278095</w:t>
      </w:r>
      <w:r w:rsidRPr="00DA3766">
        <w:rPr>
          <w:rFonts w:ascii="Times New Roman" w:hAnsi="Times New Roman" w:cs="Times New Roman"/>
          <w:snapToGrid w:val="0"/>
        </w:rPr>
        <w:t>万元（其中</w:t>
      </w:r>
      <w:r w:rsidRPr="00DA3766">
        <w:rPr>
          <w:rFonts w:ascii="Times New Roman" w:hAnsi="Times New Roman" w:cs="Times New Roman"/>
          <w:snapToGrid w:val="0"/>
        </w:rPr>
        <w:t>62.0335</w:t>
      </w:r>
      <w:r w:rsidRPr="00DA3766">
        <w:rPr>
          <w:rFonts w:ascii="Times New Roman" w:hAnsi="Times New Roman" w:cs="Times New Roman"/>
          <w:snapToGrid w:val="0"/>
        </w:rPr>
        <w:t>万元系代杨凯然持股）并退出合伙，同意杨凯然减少出资额</w:t>
      </w:r>
      <w:r w:rsidRPr="00DA3766">
        <w:rPr>
          <w:rFonts w:ascii="Times New Roman" w:hAnsi="Times New Roman" w:cs="Times New Roman"/>
          <w:snapToGrid w:val="0"/>
        </w:rPr>
        <w:t>6.440848</w:t>
      </w:r>
      <w:r w:rsidRPr="00DA3766">
        <w:rPr>
          <w:rFonts w:ascii="Times New Roman" w:hAnsi="Times New Roman" w:cs="Times New Roman"/>
          <w:snapToGrid w:val="0"/>
        </w:rPr>
        <w:t>万元并退出合伙。此次退出系张杰波、杨凯然将其通过乐摇持有的星云开物股份转让直接持股后，在乐摇层面完成的减资退伙程序。</w:t>
      </w:r>
    </w:p>
    <w:p w14:paraId="4B3C5ECC"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本次变更后，乐摇出资结构如下：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D311DF2" w14:textId="77777777" w:rsidTr="007F36AF">
        <w:trPr>
          <w:trHeight w:val="397"/>
          <w:tblHeader/>
          <w:jc w:val="center"/>
        </w:trPr>
        <w:tc>
          <w:tcPr>
            <w:tcW w:w="668" w:type="dxa"/>
            <w:vAlign w:val="center"/>
          </w:tcPr>
          <w:p w14:paraId="660D9C70"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333756D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6D0B745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6B7BC9B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06F702BF"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7CA94D3E" w14:textId="77777777" w:rsidTr="00DA3766">
        <w:trPr>
          <w:trHeight w:val="397"/>
          <w:jc w:val="center"/>
        </w:trPr>
        <w:tc>
          <w:tcPr>
            <w:tcW w:w="668" w:type="dxa"/>
            <w:vAlign w:val="center"/>
          </w:tcPr>
          <w:p w14:paraId="7056AE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48701E7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104D92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11.489001</w:t>
            </w:r>
          </w:p>
        </w:tc>
        <w:tc>
          <w:tcPr>
            <w:tcW w:w="1428" w:type="dxa"/>
            <w:vAlign w:val="center"/>
          </w:tcPr>
          <w:p w14:paraId="0AEF6A2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72.0372%</w:t>
            </w:r>
          </w:p>
        </w:tc>
        <w:tc>
          <w:tcPr>
            <w:tcW w:w="1420" w:type="dxa"/>
            <w:vAlign w:val="center"/>
          </w:tcPr>
          <w:p w14:paraId="1DC72A2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1FC94BC5" w14:textId="77777777" w:rsidTr="00DA3766">
        <w:trPr>
          <w:trHeight w:val="397"/>
          <w:jc w:val="center"/>
        </w:trPr>
        <w:tc>
          <w:tcPr>
            <w:tcW w:w="668" w:type="dxa"/>
            <w:vAlign w:val="center"/>
          </w:tcPr>
          <w:p w14:paraId="060548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4</w:t>
            </w:r>
          </w:p>
        </w:tc>
        <w:tc>
          <w:tcPr>
            <w:tcW w:w="3371" w:type="dxa"/>
            <w:vAlign w:val="center"/>
          </w:tcPr>
          <w:p w14:paraId="13B6404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51CD910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4.289736</w:t>
            </w:r>
          </w:p>
        </w:tc>
        <w:tc>
          <w:tcPr>
            <w:tcW w:w="1428" w:type="dxa"/>
            <w:vAlign w:val="center"/>
          </w:tcPr>
          <w:p w14:paraId="5640B4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26.8971%</w:t>
            </w:r>
          </w:p>
        </w:tc>
        <w:tc>
          <w:tcPr>
            <w:tcW w:w="1420" w:type="dxa"/>
            <w:vAlign w:val="center"/>
          </w:tcPr>
          <w:p w14:paraId="0B60E8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3C35C8" w14:textId="77777777" w:rsidTr="00DA3766">
        <w:trPr>
          <w:trHeight w:val="397"/>
          <w:jc w:val="center"/>
        </w:trPr>
        <w:tc>
          <w:tcPr>
            <w:tcW w:w="668" w:type="dxa"/>
            <w:vAlign w:val="center"/>
          </w:tcPr>
          <w:p w14:paraId="086C91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825C30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BB8A0C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0.169959</w:t>
            </w:r>
          </w:p>
        </w:tc>
        <w:tc>
          <w:tcPr>
            <w:tcW w:w="1428" w:type="dxa"/>
            <w:vAlign w:val="center"/>
          </w:tcPr>
          <w:p w14:paraId="24FD41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1.0657%</w:t>
            </w:r>
          </w:p>
        </w:tc>
        <w:tc>
          <w:tcPr>
            <w:tcW w:w="1420" w:type="dxa"/>
            <w:vAlign w:val="center"/>
          </w:tcPr>
          <w:p w14:paraId="22D0FB0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9E58B7E" w14:textId="77777777" w:rsidTr="00DA3766">
        <w:trPr>
          <w:trHeight w:val="397"/>
          <w:jc w:val="center"/>
        </w:trPr>
        <w:tc>
          <w:tcPr>
            <w:tcW w:w="4039" w:type="dxa"/>
            <w:gridSpan w:val="2"/>
            <w:vAlign w:val="center"/>
          </w:tcPr>
          <w:p w14:paraId="0EE810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77CDC5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15.948696</w:t>
            </w:r>
          </w:p>
        </w:tc>
        <w:tc>
          <w:tcPr>
            <w:tcW w:w="1428" w:type="dxa"/>
            <w:vAlign w:val="center"/>
          </w:tcPr>
          <w:p w14:paraId="2C3112F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20" w:type="dxa"/>
            <w:vAlign w:val="center"/>
          </w:tcPr>
          <w:p w14:paraId="71B14D0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36253B36"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sz w:val="21"/>
          <w:szCs w:val="21"/>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月，乐摇执行事务合伙人由陈耿豪变更为陈伟镇。</w:t>
      </w:r>
    </w:p>
    <w:bookmarkEnd w:id="198"/>
    <w:p w14:paraId="4D5D69AC"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14</w:t>
      </w:r>
      <w:r w:rsidRPr="00DA3766">
        <w:rPr>
          <w:rFonts w:ascii="Times New Roman" w:hAnsi="Times New Roman" w:cs="Times New Roman"/>
          <w:b/>
          <w:bCs/>
          <w:snapToGrid w:val="0"/>
          <w:kern w:val="2"/>
          <w:szCs w:val="22"/>
        </w:rPr>
        <w:t>）珠海康远</w:t>
      </w:r>
    </w:p>
    <w:p w14:paraId="13ABCA46"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9" w:name="_Hlk219328740"/>
      <w:r w:rsidRPr="00DA3766">
        <w:rPr>
          <w:rFonts w:ascii="Times New Roman" w:hAnsi="Times New Roman" w:cs="Times New Roman"/>
          <w:snapToGrid w:val="0"/>
        </w:rPr>
        <w:t>珠海康远在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日）存在新增合伙人、</w:t>
      </w:r>
      <w:r w:rsidRPr="00DA3766">
        <w:rPr>
          <w:rFonts w:ascii="Times New Roman" w:hAnsi="Times New Roman" w:cs="Times New Roman"/>
        </w:rPr>
        <w:t>合伙人退伙及</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407B8A4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w:t>
      </w:r>
      <w:r w:rsidRPr="00DA3766">
        <w:rPr>
          <w:rFonts w:ascii="Times New Roman" w:hAnsi="Times New Roman" w:cs="Times New Roman"/>
          <w:snapToGrid w:val="0"/>
        </w:rPr>
        <w:t>月，减少出资额及新增合伙人、合伙人退伙</w:t>
      </w:r>
    </w:p>
    <w:p w14:paraId="5E750ED3"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26</w:t>
      </w:r>
      <w:r w:rsidRPr="00DA3766">
        <w:rPr>
          <w:rFonts w:ascii="Times New Roman" w:hAnsi="Times New Roman" w:cs="Times New Roman"/>
          <w:snapToGrid w:val="0"/>
        </w:rPr>
        <w:t>日，珠海康远全体合伙人签署新的《合伙协议》。同意合伙企业的出资额由</w:t>
      </w:r>
      <w:r w:rsidRPr="00DA3766">
        <w:rPr>
          <w:rFonts w:ascii="Times New Roman" w:hAnsi="Times New Roman" w:cs="Times New Roman"/>
          <w:snapToGrid w:val="0"/>
        </w:rPr>
        <w:t>1,827.826</w:t>
      </w:r>
      <w:r w:rsidRPr="00DA3766">
        <w:rPr>
          <w:rFonts w:ascii="Times New Roman" w:hAnsi="Times New Roman" w:cs="Times New Roman"/>
          <w:snapToGrid w:val="0"/>
        </w:rPr>
        <w:t>万元减少至</w:t>
      </w:r>
      <w:r w:rsidRPr="00DA3766">
        <w:rPr>
          <w:rFonts w:ascii="Times New Roman" w:hAnsi="Times New Roman" w:cs="Times New Roman"/>
          <w:snapToGrid w:val="0"/>
        </w:rPr>
        <w:t>1,644.826</w:t>
      </w:r>
      <w:r w:rsidRPr="00DA3766">
        <w:rPr>
          <w:rFonts w:ascii="Times New Roman" w:hAnsi="Times New Roman" w:cs="Times New Roman"/>
          <w:snapToGrid w:val="0"/>
        </w:rPr>
        <w:t>万元。同意黎振兴退出合伙企业。同意新增合伙人黎忠明认缴</w:t>
      </w:r>
      <w:r w:rsidRPr="00DA3766">
        <w:rPr>
          <w:rFonts w:ascii="Times New Roman" w:hAnsi="Times New Roman" w:cs="Times New Roman"/>
          <w:snapToGrid w:val="0"/>
        </w:rPr>
        <w:t>4.00</w:t>
      </w:r>
      <w:r w:rsidRPr="00DA3766">
        <w:rPr>
          <w:rFonts w:ascii="Times New Roman" w:hAnsi="Times New Roman" w:cs="Times New Roman"/>
          <w:snapToGrid w:val="0"/>
        </w:rPr>
        <w:t>万元的出资额。新增合伙人池丽平认缴</w:t>
      </w:r>
      <w:r w:rsidRPr="00DA3766">
        <w:rPr>
          <w:rFonts w:ascii="Times New Roman" w:hAnsi="Times New Roman" w:cs="Times New Roman"/>
          <w:snapToGrid w:val="0"/>
        </w:rPr>
        <w:t>4.00</w:t>
      </w:r>
      <w:r w:rsidRPr="00DA3766">
        <w:rPr>
          <w:rFonts w:ascii="Times New Roman" w:hAnsi="Times New Roman" w:cs="Times New Roman"/>
          <w:snapToGrid w:val="0"/>
        </w:rPr>
        <w:t>万元的出资额。同意原合伙人敖小敏减少</w:t>
      </w:r>
      <w:r w:rsidRPr="00DA3766">
        <w:rPr>
          <w:rFonts w:ascii="Times New Roman" w:hAnsi="Times New Roman" w:cs="Times New Roman"/>
          <w:snapToGrid w:val="0"/>
        </w:rPr>
        <w:t>20.00</w:t>
      </w:r>
      <w:r w:rsidRPr="00DA3766">
        <w:rPr>
          <w:rFonts w:ascii="Times New Roman" w:hAnsi="Times New Roman" w:cs="Times New Roman"/>
          <w:snapToGrid w:val="0"/>
        </w:rPr>
        <w:t>万元的出资额。同意原合伙人谢永元减少</w:t>
      </w:r>
      <w:r w:rsidRPr="00DA3766">
        <w:rPr>
          <w:rFonts w:ascii="Times New Roman" w:hAnsi="Times New Roman" w:cs="Times New Roman"/>
          <w:snapToGrid w:val="0"/>
        </w:rPr>
        <w:t>40.00</w:t>
      </w:r>
      <w:r w:rsidRPr="00DA3766">
        <w:rPr>
          <w:rFonts w:ascii="Times New Roman" w:hAnsi="Times New Roman" w:cs="Times New Roman"/>
          <w:snapToGrid w:val="0"/>
        </w:rPr>
        <w:t>万元的出资额。同意原合伙人孙俊瀚减少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万元的出资额。同意原合伙人彭书琴减少</w:t>
      </w:r>
      <w:r w:rsidRPr="00DA3766">
        <w:rPr>
          <w:rFonts w:ascii="Times New Roman" w:hAnsi="Times New Roman" w:cs="Times New Roman"/>
          <w:snapToGrid w:val="0"/>
        </w:rPr>
        <w:t>30.00</w:t>
      </w:r>
      <w:r w:rsidRPr="00DA3766">
        <w:rPr>
          <w:rFonts w:ascii="Times New Roman" w:hAnsi="Times New Roman" w:cs="Times New Roman"/>
          <w:snapToGrid w:val="0"/>
        </w:rPr>
        <w:t>万元的出资额。同意原合伙人叶卫浩减少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万元的出资额。同意原合伙人朱成减少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万元的出资额。同意原合伙人李超减少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万元的出资额。同意原合伙人黄贤村减少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万元的出资额。同意原合伙人黄豪减少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万元的出资额。同意原合伙人邹双卫减少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万元的出资额。同意原合伙人邓滢减少</w:t>
      </w:r>
      <w:r w:rsidRPr="00DA3766">
        <w:rPr>
          <w:rFonts w:ascii="Times New Roman" w:hAnsi="Times New Roman" w:cs="Times New Roman"/>
          <w:snapToGrid w:val="0"/>
        </w:rPr>
        <w:t>3.00</w:t>
      </w:r>
      <w:r w:rsidRPr="00DA3766">
        <w:rPr>
          <w:rFonts w:ascii="Times New Roman" w:hAnsi="Times New Roman" w:cs="Times New Roman"/>
          <w:snapToGrid w:val="0"/>
        </w:rPr>
        <w:t>万元的出资额。同意原合伙人汪涵瀚减少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万元的出资额。同意原合伙人麦小颖减少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万元的出资额。同意原合伙人徐申杨减少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万元的出资额。同意原合伙人崔增收减少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万元的出资额。同意原合伙人谭小波减少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万元的出资额。同意原合伙人刘瑛减少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万元的出资额。同意原合伙人曾建减少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万元的出资额。同意原合伙人朱如锦减少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w:t>
      </w:r>
    </w:p>
    <w:p w14:paraId="4BC69B9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60"/>
        <w:gridCol w:w="1658"/>
        <w:gridCol w:w="1427"/>
        <w:gridCol w:w="1415"/>
      </w:tblGrid>
      <w:tr w:rsidR="00BA6F27" w:rsidRPr="00DA3766" w14:paraId="78A2AD94" w14:textId="77777777" w:rsidTr="007F36AF">
        <w:trPr>
          <w:trHeight w:val="397"/>
          <w:tblHeader/>
          <w:jc w:val="center"/>
        </w:trPr>
        <w:tc>
          <w:tcPr>
            <w:tcW w:w="693" w:type="dxa"/>
            <w:vAlign w:val="center"/>
          </w:tcPr>
          <w:p w14:paraId="1D4C52D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670" w:type="dxa"/>
            <w:vAlign w:val="center"/>
          </w:tcPr>
          <w:p w14:paraId="1411D6A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711" w:type="dxa"/>
            <w:vAlign w:val="center"/>
          </w:tcPr>
          <w:p w14:paraId="0B65478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64" w:type="dxa"/>
            <w:vAlign w:val="center"/>
          </w:tcPr>
          <w:p w14:paraId="47768F24"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520" w:type="dxa"/>
            <w:vAlign w:val="center"/>
          </w:tcPr>
          <w:p w14:paraId="2A5E244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270DB20D" w14:textId="77777777" w:rsidTr="00DA3766">
        <w:trPr>
          <w:trHeight w:val="397"/>
          <w:jc w:val="center"/>
        </w:trPr>
        <w:tc>
          <w:tcPr>
            <w:tcW w:w="693" w:type="dxa"/>
            <w:vAlign w:val="center"/>
          </w:tcPr>
          <w:p w14:paraId="13E9F54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670" w:type="dxa"/>
            <w:vAlign w:val="center"/>
          </w:tcPr>
          <w:p w14:paraId="1173C8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许一宇</w:t>
            </w:r>
          </w:p>
        </w:tc>
        <w:tc>
          <w:tcPr>
            <w:tcW w:w="1711" w:type="dxa"/>
            <w:vAlign w:val="center"/>
          </w:tcPr>
          <w:p w14:paraId="21DA5F4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300.00</w:t>
            </w:r>
          </w:p>
        </w:tc>
        <w:tc>
          <w:tcPr>
            <w:tcW w:w="1464" w:type="dxa"/>
            <w:vAlign w:val="center"/>
          </w:tcPr>
          <w:p w14:paraId="518598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16.4129%</w:t>
            </w:r>
          </w:p>
        </w:tc>
        <w:tc>
          <w:tcPr>
            <w:tcW w:w="1520" w:type="dxa"/>
            <w:vAlign w:val="center"/>
          </w:tcPr>
          <w:p w14:paraId="0D378C4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51C41F53" w14:textId="77777777" w:rsidTr="00DA3766">
        <w:trPr>
          <w:trHeight w:val="397"/>
          <w:jc w:val="center"/>
        </w:trPr>
        <w:tc>
          <w:tcPr>
            <w:tcW w:w="693" w:type="dxa"/>
            <w:vAlign w:val="center"/>
          </w:tcPr>
          <w:p w14:paraId="537454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670" w:type="dxa"/>
            <w:vAlign w:val="center"/>
          </w:tcPr>
          <w:p w14:paraId="30EA9E0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敖小敏</w:t>
            </w:r>
          </w:p>
        </w:tc>
        <w:tc>
          <w:tcPr>
            <w:tcW w:w="1711" w:type="dxa"/>
            <w:vAlign w:val="center"/>
          </w:tcPr>
          <w:p w14:paraId="33BE3B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220.00</w:t>
            </w:r>
          </w:p>
        </w:tc>
        <w:tc>
          <w:tcPr>
            <w:tcW w:w="1464" w:type="dxa"/>
            <w:vAlign w:val="center"/>
          </w:tcPr>
          <w:p w14:paraId="23EB615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12.0362%</w:t>
            </w:r>
          </w:p>
        </w:tc>
        <w:tc>
          <w:tcPr>
            <w:tcW w:w="1520" w:type="dxa"/>
            <w:vAlign w:val="center"/>
          </w:tcPr>
          <w:p w14:paraId="18034D9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F8416E9" w14:textId="77777777" w:rsidTr="00DA3766">
        <w:trPr>
          <w:trHeight w:val="397"/>
          <w:jc w:val="center"/>
        </w:trPr>
        <w:tc>
          <w:tcPr>
            <w:tcW w:w="693" w:type="dxa"/>
            <w:vAlign w:val="center"/>
          </w:tcPr>
          <w:p w14:paraId="6BF296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670" w:type="dxa"/>
            <w:vAlign w:val="center"/>
          </w:tcPr>
          <w:p w14:paraId="54960C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陈重阳</w:t>
            </w:r>
          </w:p>
        </w:tc>
        <w:tc>
          <w:tcPr>
            <w:tcW w:w="1711" w:type="dxa"/>
            <w:vAlign w:val="center"/>
          </w:tcPr>
          <w:p w14:paraId="1B73C9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120.00</w:t>
            </w:r>
          </w:p>
        </w:tc>
        <w:tc>
          <w:tcPr>
            <w:tcW w:w="1464" w:type="dxa"/>
            <w:vAlign w:val="center"/>
          </w:tcPr>
          <w:p w14:paraId="4412F76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6.5652%</w:t>
            </w:r>
          </w:p>
        </w:tc>
        <w:tc>
          <w:tcPr>
            <w:tcW w:w="1520" w:type="dxa"/>
            <w:vAlign w:val="center"/>
          </w:tcPr>
          <w:p w14:paraId="26A9EA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436F209" w14:textId="77777777" w:rsidTr="00DA3766">
        <w:trPr>
          <w:trHeight w:val="397"/>
          <w:jc w:val="center"/>
        </w:trPr>
        <w:tc>
          <w:tcPr>
            <w:tcW w:w="693" w:type="dxa"/>
            <w:vAlign w:val="center"/>
          </w:tcPr>
          <w:p w14:paraId="696FD8F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4</w:t>
            </w:r>
          </w:p>
        </w:tc>
        <w:tc>
          <w:tcPr>
            <w:tcW w:w="3670" w:type="dxa"/>
            <w:vAlign w:val="center"/>
          </w:tcPr>
          <w:p w14:paraId="02E339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谢永元</w:t>
            </w:r>
          </w:p>
        </w:tc>
        <w:tc>
          <w:tcPr>
            <w:tcW w:w="1711" w:type="dxa"/>
            <w:vAlign w:val="center"/>
          </w:tcPr>
          <w:p w14:paraId="6231E3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190.00</w:t>
            </w:r>
          </w:p>
        </w:tc>
        <w:tc>
          <w:tcPr>
            <w:tcW w:w="1464" w:type="dxa"/>
            <w:vAlign w:val="center"/>
          </w:tcPr>
          <w:p w14:paraId="2EEEE4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10.3949%</w:t>
            </w:r>
          </w:p>
        </w:tc>
        <w:tc>
          <w:tcPr>
            <w:tcW w:w="1520" w:type="dxa"/>
            <w:vAlign w:val="center"/>
          </w:tcPr>
          <w:p w14:paraId="1DCE73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9068625" w14:textId="77777777" w:rsidTr="00DA3766">
        <w:trPr>
          <w:trHeight w:val="397"/>
          <w:jc w:val="center"/>
        </w:trPr>
        <w:tc>
          <w:tcPr>
            <w:tcW w:w="693" w:type="dxa"/>
            <w:vAlign w:val="center"/>
          </w:tcPr>
          <w:p w14:paraId="1AEFF1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670" w:type="dxa"/>
            <w:vAlign w:val="center"/>
          </w:tcPr>
          <w:p w14:paraId="020238C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肖雪生</w:t>
            </w:r>
          </w:p>
        </w:tc>
        <w:tc>
          <w:tcPr>
            <w:tcW w:w="1711" w:type="dxa"/>
            <w:vAlign w:val="center"/>
          </w:tcPr>
          <w:p w14:paraId="2A4846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50.00</w:t>
            </w:r>
          </w:p>
        </w:tc>
        <w:tc>
          <w:tcPr>
            <w:tcW w:w="1464" w:type="dxa"/>
            <w:vAlign w:val="center"/>
          </w:tcPr>
          <w:p w14:paraId="31B3C6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2.7355%</w:t>
            </w:r>
          </w:p>
        </w:tc>
        <w:tc>
          <w:tcPr>
            <w:tcW w:w="1520" w:type="dxa"/>
            <w:vAlign w:val="center"/>
          </w:tcPr>
          <w:p w14:paraId="58C497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BE868E" w14:textId="77777777" w:rsidTr="00DA3766">
        <w:trPr>
          <w:trHeight w:val="397"/>
          <w:jc w:val="center"/>
        </w:trPr>
        <w:tc>
          <w:tcPr>
            <w:tcW w:w="693" w:type="dxa"/>
            <w:vAlign w:val="center"/>
          </w:tcPr>
          <w:p w14:paraId="5A5501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670" w:type="dxa"/>
            <w:vAlign w:val="center"/>
          </w:tcPr>
          <w:p w14:paraId="0A30E1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孙俊瀚</w:t>
            </w:r>
          </w:p>
        </w:tc>
        <w:tc>
          <w:tcPr>
            <w:tcW w:w="1711" w:type="dxa"/>
            <w:vAlign w:val="center"/>
          </w:tcPr>
          <w:p w14:paraId="10380DF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110.00</w:t>
            </w:r>
          </w:p>
        </w:tc>
        <w:tc>
          <w:tcPr>
            <w:tcW w:w="1464" w:type="dxa"/>
            <w:vAlign w:val="center"/>
          </w:tcPr>
          <w:p w14:paraId="517D8C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6.0181%</w:t>
            </w:r>
          </w:p>
        </w:tc>
        <w:tc>
          <w:tcPr>
            <w:tcW w:w="1520" w:type="dxa"/>
            <w:vAlign w:val="center"/>
          </w:tcPr>
          <w:p w14:paraId="5886282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1C21EC5" w14:textId="77777777" w:rsidTr="00DA3766">
        <w:trPr>
          <w:trHeight w:val="397"/>
          <w:jc w:val="center"/>
        </w:trPr>
        <w:tc>
          <w:tcPr>
            <w:tcW w:w="693" w:type="dxa"/>
            <w:vAlign w:val="center"/>
          </w:tcPr>
          <w:p w14:paraId="013CC62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670" w:type="dxa"/>
            <w:vAlign w:val="center"/>
          </w:tcPr>
          <w:p w14:paraId="1389EA4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彭书琴</w:t>
            </w:r>
          </w:p>
        </w:tc>
        <w:tc>
          <w:tcPr>
            <w:tcW w:w="1711" w:type="dxa"/>
            <w:vAlign w:val="center"/>
          </w:tcPr>
          <w:p w14:paraId="2CEE980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130.00</w:t>
            </w:r>
          </w:p>
        </w:tc>
        <w:tc>
          <w:tcPr>
            <w:tcW w:w="1464" w:type="dxa"/>
            <w:vAlign w:val="center"/>
          </w:tcPr>
          <w:p w14:paraId="584AA3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7.1123%</w:t>
            </w:r>
          </w:p>
        </w:tc>
        <w:tc>
          <w:tcPr>
            <w:tcW w:w="1520" w:type="dxa"/>
            <w:vAlign w:val="center"/>
          </w:tcPr>
          <w:p w14:paraId="425F6C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0017C36" w14:textId="77777777" w:rsidTr="00DA3766">
        <w:trPr>
          <w:trHeight w:val="397"/>
          <w:jc w:val="center"/>
        </w:trPr>
        <w:tc>
          <w:tcPr>
            <w:tcW w:w="693" w:type="dxa"/>
            <w:vAlign w:val="center"/>
          </w:tcPr>
          <w:p w14:paraId="6F234DC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670" w:type="dxa"/>
            <w:vAlign w:val="center"/>
          </w:tcPr>
          <w:p w14:paraId="386C69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叶卫浩</w:t>
            </w:r>
          </w:p>
        </w:tc>
        <w:tc>
          <w:tcPr>
            <w:tcW w:w="1711" w:type="dxa"/>
            <w:vAlign w:val="center"/>
          </w:tcPr>
          <w:p w14:paraId="322A276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35.00</w:t>
            </w:r>
          </w:p>
        </w:tc>
        <w:tc>
          <w:tcPr>
            <w:tcW w:w="1464" w:type="dxa"/>
            <w:vAlign w:val="center"/>
          </w:tcPr>
          <w:p w14:paraId="1637AD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1.9148%</w:t>
            </w:r>
          </w:p>
        </w:tc>
        <w:tc>
          <w:tcPr>
            <w:tcW w:w="1520" w:type="dxa"/>
            <w:vAlign w:val="center"/>
          </w:tcPr>
          <w:p w14:paraId="70F7DDB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FEF71C" w14:textId="77777777" w:rsidTr="00DA3766">
        <w:trPr>
          <w:trHeight w:val="397"/>
          <w:jc w:val="center"/>
        </w:trPr>
        <w:tc>
          <w:tcPr>
            <w:tcW w:w="693" w:type="dxa"/>
            <w:vAlign w:val="center"/>
          </w:tcPr>
          <w:p w14:paraId="04070F7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670" w:type="dxa"/>
            <w:vAlign w:val="center"/>
          </w:tcPr>
          <w:p w14:paraId="1DE824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宋若梦</w:t>
            </w:r>
          </w:p>
        </w:tc>
        <w:tc>
          <w:tcPr>
            <w:tcW w:w="1711" w:type="dxa"/>
            <w:vAlign w:val="center"/>
          </w:tcPr>
          <w:p w14:paraId="6DC2145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40.00</w:t>
            </w:r>
          </w:p>
        </w:tc>
        <w:tc>
          <w:tcPr>
            <w:tcW w:w="1464" w:type="dxa"/>
            <w:vAlign w:val="center"/>
          </w:tcPr>
          <w:p w14:paraId="499431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2.1884%</w:t>
            </w:r>
          </w:p>
        </w:tc>
        <w:tc>
          <w:tcPr>
            <w:tcW w:w="1520" w:type="dxa"/>
            <w:vAlign w:val="center"/>
          </w:tcPr>
          <w:p w14:paraId="5539870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CB1657" w14:textId="77777777" w:rsidTr="00DA3766">
        <w:trPr>
          <w:trHeight w:val="397"/>
          <w:jc w:val="center"/>
        </w:trPr>
        <w:tc>
          <w:tcPr>
            <w:tcW w:w="693" w:type="dxa"/>
            <w:vAlign w:val="center"/>
          </w:tcPr>
          <w:p w14:paraId="425AAA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670" w:type="dxa"/>
            <w:vAlign w:val="center"/>
          </w:tcPr>
          <w:p w14:paraId="2B4D40E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朱啸</w:t>
            </w:r>
          </w:p>
        </w:tc>
        <w:tc>
          <w:tcPr>
            <w:tcW w:w="1711" w:type="dxa"/>
            <w:vAlign w:val="center"/>
          </w:tcPr>
          <w:p w14:paraId="4DBFD6C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539F69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25A34CE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20EB38" w14:textId="77777777" w:rsidTr="00DA3766">
        <w:trPr>
          <w:trHeight w:val="397"/>
          <w:jc w:val="center"/>
        </w:trPr>
        <w:tc>
          <w:tcPr>
            <w:tcW w:w="693" w:type="dxa"/>
            <w:vAlign w:val="center"/>
          </w:tcPr>
          <w:p w14:paraId="7E24ACD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670" w:type="dxa"/>
            <w:vAlign w:val="center"/>
          </w:tcPr>
          <w:p w14:paraId="6007BE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张颖</w:t>
            </w:r>
          </w:p>
        </w:tc>
        <w:tc>
          <w:tcPr>
            <w:tcW w:w="1711" w:type="dxa"/>
            <w:vAlign w:val="center"/>
          </w:tcPr>
          <w:p w14:paraId="24325A2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3AB8C47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5D56A5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F23422E" w14:textId="77777777" w:rsidTr="00DA3766">
        <w:trPr>
          <w:trHeight w:val="397"/>
          <w:jc w:val="center"/>
        </w:trPr>
        <w:tc>
          <w:tcPr>
            <w:tcW w:w="693" w:type="dxa"/>
            <w:vAlign w:val="center"/>
          </w:tcPr>
          <w:p w14:paraId="69ECBF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670" w:type="dxa"/>
            <w:vAlign w:val="center"/>
          </w:tcPr>
          <w:p w14:paraId="3A8CA9B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朱成</w:t>
            </w:r>
          </w:p>
        </w:tc>
        <w:tc>
          <w:tcPr>
            <w:tcW w:w="1711" w:type="dxa"/>
            <w:vAlign w:val="center"/>
          </w:tcPr>
          <w:p w14:paraId="4158970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75.00</w:t>
            </w:r>
          </w:p>
        </w:tc>
        <w:tc>
          <w:tcPr>
            <w:tcW w:w="1464" w:type="dxa"/>
            <w:vAlign w:val="center"/>
          </w:tcPr>
          <w:p w14:paraId="7EA763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4.1032%</w:t>
            </w:r>
          </w:p>
        </w:tc>
        <w:tc>
          <w:tcPr>
            <w:tcW w:w="1520" w:type="dxa"/>
            <w:vAlign w:val="center"/>
          </w:tcPr>
          <w:p w14:paraId="76A4E6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4DE1ED3" w14:textId="77777777" w:rsidTr="00DA3766">
        <w:trPr>
          <w:trHeight w:val="397"/>
          <w:jc w:val="center"/>
        </w:trPr>
        <w:tc>
          <w:tcPr>
            <w:tcW w:w="693" w:type="dxa"/>
            <w:vAlign w:val="center"/>
          </w:tcPr>
          <w:p w14:paraId="76AEB9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670" w:type="dxa"/>
            <w:vAlign w:val="center"/>
          </w:tcPr>
          <w:p w14:paraId="280D495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宋红霞</w:t>
            </w:r>
          </w:p>
        </w:tc>
        <w:tc>
          <w:tcPr>
            <w:tcW w:w="1711" w:type="dxa"/>
            <w:vAlign w:val="center"/>
          </w:tcPr>
          <w:p w14:paraId="20C383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40.00</w:t>
            </w:r>
          </w:p>
        </w:tc>
        <w:tc>
          <w:tcPr>
            <w:tcW w:w="1464" w:type="dxa"/>
            <w:vAlign w:val="center"/>
          </w:tcPr>
          <w:p w14:paraId="0795808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2.1884%</w:t>
            </w:r>
          </w:p>
        </w:tc>
        <w:tc>
          <w:tcPr>
            <w:tcW w:w="1520" w:type="dxa"/>
            <w:vAlign w:val="center"/>
          </w:tcPr>
          <w:p w14:paraId="0D70A10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34FF961" w14:textId="77777777" w:rsidTr="00DA3766">
        <w:trPr>
          <w:trHeight w:val="397"/>
          <w:jc w:val="center"/>
        </w:trPr>
        <w:tc>
          <w:tcPr>
            <w:tcW w:w="693" w:type="dxa"/>
            <w:vAlign w:val="center"/>
          </w:tcPr>
          <w:p w14:paraId="48514E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670" w:type="dxa"/>
            <w:vAlign w:val="center"/>
          </w:tcPr>
          <w:p w14:paraId="724174D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李超</w:t>
            </w:r>
          </w:p>
        </w:tc>
        <w:tc>
          <w:tcPr>
            <w:tcW w:w="1711" w:type="dxa"/>
            <w:vAlign w:val="center"/>
          </w:tcPr>
          <w:p w14:paraId="542D12F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603E19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4957AB3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21D44E" w14:textId="77777777" w:rsidTr="00DA3766">
        <w:trPr>
          <w:trHeight w:val="397"/>
          <w:jc w:val="center"/>
        </w:trPr>
        <w:tc>
          <w:tcPr>
            <w:tcW w:w="693" w:type="dxa"/>
            <w:vAlign w:val="center"/>
          </w:tcPr>
          <w:p w14:paraId="6E1ED2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670" w:type="dxa"/>
            <w:vAlign w:val="center"/>
          </w:tcPr>
          <w:p w14:paraId="2F6B73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黄贤村</w:t>
            </w:r>
          </w:p>
        </w:tc>
        <w:tc>
          <w:tcPr>
            <w:tcW w:w="1711" w:type="dxa"/>
            <w:vAlign w:val="center"/>
          </w:tcPr>
          <w:p w14:paraId="483777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20.00</w:t>
            </w:r>
          </w:p>
        </w:tc>
        <w:tc>
          <w:tcPr>
            <w:tcW w:w="1464" w:type="dxa"/>
            <w:vAlign w:val="center"/>
          </w:tcPr>
          <w:p w14:paraId="12F093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1.0942%</w:t>
            </w:r>
          </w:p>
        </w:tc>
        <w:tc>
          <w:tcPr>
            <w:tcW w:w="1520" w:type="dxa"/>
            <w:vAlign w:val="center"/>
          </w:tcPr>
          <w:p w14:paraId="325508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A54A45" w14:textId="77777777" w:rsidTr="00DA3766">
        <w:trPr>
          <w:trHeight w:val="397"/>
          <w:jc w:val="center"/>
        </w:trPr>
        <w:tc>
          <w:tcPr>
            <w:tcW w:w="693" w:type="dxa"/>
            <w:vAlign w:val="center"/>
          </w:tcPr>
          <w:p w14:paraId="43DA6D0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670" w:type="dxa"/>
            <w:vAlign w:val="center"/>
          </w:tcPr>
          <w:p w14:paraId="2D969F2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陈亮</w:t>
            </w:r>
          </w:p>
        </w:tc>
        <w:tc>
          <w:tcPr>
            <w:tcW w:w="1711" w:type="dxa"/>
            <w:vAlign w:val="center"/>
          </w:tcPr>
          <w:p w14:paraId="0665AA8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054C292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55D39F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1121685" w14:textId="77777777" w:rsidTr="00DA3766">
        <w:trPr>
          <w:trHeight w:val="397"/>
          <w:jc w:val="center"/>
        </w:trPr>
        <w:tc>
          <w:tcPr>
            <w:tcW w:w="693" w:type="dxa"/>
            <w:vAlign w:val="center"/>
          </w:tcPr>
          <w:p w14:paraId="0A1EFCA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670" w:type="dxa"/>
            <w:vAlign w:val="center"/>
          </w:tcPr>
          <w:p w14:paraId="61CF66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黄豪</w:t>
            </w:r>
          </w:p>
        </w:tc>
        <w:tc>
          <w:tcPr>
            <w:tcW w:w="1711" w:type="dxa"/>
            <w:vAlign w:val="center"/>
          </w:tcPr>
          <w:p w14:paraId="6C96D3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713CCD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44B4399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9AFCAC" w14:textId="77777777" w:rsidTr="00DA3766">
        <w:trPr>
          <w:trHeight w:val="397"/>
          <w:jc w:val="center"/>
        </w:trPr>
        <w:tc>
          <w:tcPr>
            <w:tcW w:w="693" w:type="dxa"/>
            <w:vAlign w:val="center"/>
          </w:tcPr>
          <w:p w14:paraId="3DF6BCC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670" w:type="dxa"/>
            <w:vAlign w:val="center"/>
          </w:tcPr>
          <w:p w14:paraId="3DB56E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段剑琴</w:t>
            </w:r>
          </w:p>
        </w:tc>
        <w:tc>
          <w:tcPr>
            <w:tcW w:w="1711" w:type="dxa"/>
            <w:vAlign w:val="center"/>
          </w:tcPr>
          <w:p w14:paraId="7457F5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6D8331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5CFD044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B80F62A" w14:textId="77777777" w:rsidTr="00DA3766">
        <w:trPr>
          <w:trHeight w:val="397"/>
          <w:jc w:val="center"/>
        </w:trPr>
        <w:tc>
          <w:tcPr>
            <w:tcW w:w="693" w:type="dxa"/>
            <w:vAlign w:val="center"/>
          </w:tcPr>
          <w:p w14:paraId="61DC58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670" w:type="dxa"/>
            <w:vAlign w:val="center"/>
          </w:tcPr>
          <w:p w14:paraId="5D4011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陆洁</w:t>
            </w:r>
          </w:p>
        </w:tc>
        <w:tc>
          <w:tcPr>
            <w:tcW w:w="1711" w:type="dxa"/>
            <w:vAlign w:val="center"/>
          </w:tcPr>
          <w:p w14:paraId="7DEDD6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90.00</w:t>
            </w:r>
          </w:p>
        </w:tc>
        <w:tc>
          <w:tcPr>
            <w:tcW w:w="1464" w:type="dxa"/>
            <w:vAlign w:val="center"/>
          </w:tcPr>
          <w:p w14:paraId="283DEC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4.9239%</w:t>
            </w:r>
          </w:p>
        </w:tc>
        <w:tc>
          <w:tcPr>
            <w:tcW w:w="1520" w:type="dxa"/>
            <w:vAlign w:val="center"/>
          </w:tcPr>
          <w:p w14:paraId="6AB3B7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019AE32" w14:textId="77777777" w:rsidTr="00DA3766">
        <w:trPr>
          <w:trHeight w:val="397"/>
          <w:jc w:val="center"/>
        </w:trPr>
        <w:tc>
          <w:tcPr>
            <w:tcW w:w="693" w:type="dxa"/>
            <w:vAlign w:val="center"/>
          </w:tcPr>
          <w:p w14:paraId="6D7057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670" w:type="dxa"/>
            <w:vAlign w:val="center"/>
          </w:tcPr>
          <w:p w14:paraId="09D373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刘睿婕</w:t>
            </w:r>
          </w:p>
        </w:tc>
        <w:tc>
          <w:tcPr>
            <w:tcW w:w="1711" w:type="dxa"/>
            <w:vAlign w:val="center"/>
          </w:tcPr>
          <w:p w14:paraId="0FFA60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2.00</w:t>
            </w:r>
          </w:p>
        </w:tc>
        <w:tc>
          <w:tcPr>
            <w:tcW w:w="1464" w:type="dxa"/>
            <w:vAlign w:val="center"/>
          </w:tcPr>
          <w:p w14:paraId="13551C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0.1094%</w:t>
            </w:r>
          </w:p>
        </w:tc>
        <w:tc>
          <w:tcPr>
            <w:tcW w:w="1520" w:type="dxa"/>
            <w:vAlign w:val="center"/>
          </w:tcPr>
          <w:p w14:paraId="432FE9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C339286" w14:textId="77777777" w:rsidTr="00DA3766">
        <w:trPr>
          <w:trHeight w:val="397"/>
          <w:jc w:val="center"/>
        </w:trPr>
        <w:tc>
          <w:tcPr>
            <w:tcW w:w="693" w:type="dxa"/>
            <w:vAlign w:val="center"/>
          </w:tcPr>
          <w:p w14:paraId="143C7A3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670" w:type="dxa"/>
            <w:vAlign w:val="center"/>
          </w:tcPr>
          <w:p w14:paraId="6F29B02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沈爱卿</w:t>
            </w:r>
          </w:p>
        </w:tc>
        <w:tc>
          <w:tcPr>
            <w:tcW w:w="1711" w:type="dxa"/>
            <w:vAlign w:val="center"/>
          </w:tcPr>
          <w:p w14:paraId="2D58958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3A6D14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05AB6AF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ED219B2" w14:textId="77777777" w:rsidTr="00DA3766">
        <w:trPr>
          <w:trHeight w:val="397"/>
          <w:jc w:val="center"/>
        </w:trPr>
        <w:tc>
          <w:tcPr>
            <w:tcW w:w="693" w:type="dxa"/>
            <w:vAlign w:val="center"/>
          </w:tcPr>
          <w:p w14:paraId="0188DD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670" w:type="dxa"/>
            <w:vAlign w:val="center"/>
          </w:tcPr>
          <w:p w14:paraId="7AB0A62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邹双卫</w:t>
            </w:r>
          </w:p>
        </w:tc>
        <w:tc>
          <w:tcPr>
            <w:tcW w:w="1711" w:type="dxa"/>
            <w:vAlign w:val="center"/>
          </w:tcPr>
          <w:p w14:paraId="65E3335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5835315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0BB30B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1D292E9" w14:textId="77777777" w:rsidTr="00DA3766">
        <w:trPr>
          <w:trHeight w:val="397"/>
          <w:jc w:val="center"/>
        </w:trPr>
        <w:tc>
          <w:tcPr>
            <w:tcW w:w="693" w:type="dxa"/>
            <w:vAlign w:val="center"/>
          </w:tcPr>
          <w:p w14:paraId="0D30A55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670" w:type="dxa"/>
            <w:vAlign w:val="center"/>
          </w:tcPr>
          <w:p w14:paraId="1E4304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邓滢</w:t>
            </w:r>
          </w:p>
        </w:tc>
        <w:tc>
          <w:tcPr>
            <w:tcW w:w="1711" w:type="dxa"/>
            <w:vAlign w:val="center"/>
          </w:tcPr>
          <w:p w14:paraId="0C19D19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5589EB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271AFFC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2D0BE71" w14:textId="77777777" w:rsidTr="00DA3766">
        <w:trPr>
          <w:trHeight w:val="397"/>
          <w:jc w:val="center"/>
        </w:trPr>
        <w:tc>
          <w:tcPr>
            <w:tcW w:w="693" w:type="dxa"/>
            <w:vAlign w:val="center"/>
          </w:tcPr>
          <w:p w14:paraId="165AE1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w:t>
            </w:r>
          </w:p>
        </w:tc>
        <w:tc>
          <w:tcPr>
            <w:tcW w:w="3670" w:type="dxa"/>
            <w:vAlign w:val="center"/>
          </w:tcPr>
          <w:p w14:paraId="3798BB3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汪涵瀚</w:t>
            </w:r>
          </w:p>
        </w:tc>
        <w:tc>
          <w:tcPr>
            <w:tcW w:w="1711" w:type="dxa"/>
            <w:vAlign w:val="center"/>
          </w:tcPr>
          <w:p w14:paraId="795359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25.00</w:t>
            </w:r>
          </w:p>
        </w:tc>
        <w:tc>
          <w:tcPr>
            <w:tcW w:w="1464" w:type="dxa"/>
            <w:vAlign w:val="center"/>
          </w:tcPr>
          <w:p w14:paraId="0DAD48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1.3677%</w:t>
            </w:r>
          </w:p>
        </w:tc>
        <w:tc>
          <w:tcPr>
            <w:tcW w:w="1520" w:type="dxa"/>
            <w:vAlign w:val="center"/>
          </w:tcPr>
          <w:p w14:paraId="4BC4AA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77D172" w14:textId="77777777" w:rsidTr="00DA3766">
        <w:trPr>
          <w:trHeight w:val="397"/>
          <w:jc w:val="center"/>
        </w:trPr>
        <w:tc>
          <w:tcPr>
            <w:tcW w:w="693" w:type="dxa"/>
            <w:vAlign w:val="center"/>
          </w:tcPr>
          <w:p w14:paraId="2D26C4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670" w:type="dxa"/>
            <w:vAlign w:val="center"/>
          </w:tcPr>
          <w:p w14:paraId="4343A4D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麦小颖</w:t>
            </w:r>
          </w:p>
        </w:tc>
        <w:tc>
          <w:tcPr>
            <w:tcW w:w="1711" w:type="dxa"/>
            <w:vAlign w:val="center"/>
          </w:tcPr>
          <w:p w14:paraId="151895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6B28E94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1B897C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5398B68" w14:textId="77777777" w:rsidTr="00DA3766">
        <w:trPr>
          <w:trHeight w:val="397"/>
          <w:jc w:val="center"/>
        </w:trPr>
        <w:tc>
          <w:tcPr>
            <w:tcW w:w="693" w:type="dxa"/>
            <w:vAlign w:val="center"/>
          </w:tcPr>
          <w:p w14:paraId="03AAC6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670" w:type="dxa"/>
            <w:vAlign w:val="center"/>
          </w:tcPr>
          <w:p w14:paraId="498C00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徐申杨</w:t>
            </w:r>
          </w:p>
        </w:tc>
        <w:tc>
          <w:tcPr>
            <w:tcW w:w="1711" w:type="dxa"/>
            <w:vAlign w:val="center"/>
          </w:tcPr>
          <w:p w14:paraId="1B0C1A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45.00</w:t>
            </w:r>
          </w:p>
        </w:tc>
        <w:tc>
          <w:tcPr>
            <w:tcW w:w="1464" w:type="dxa"/>
            <w:vAlign w:val="center"/>
          </w:tcPr>
          <w:p w14:paraId="3A6A25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2.4619%</w:t>
            </w:r>
          </w:p>
        </w:tc>
        <w:tc>
          <w:tcPr>
            <w:tcW w:w="1520" w:type="dxa"/>
            <w:vAlign w:val="center"/>
          </w:tcPr>
          <w:p w14:paraId="153B766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173C6D" w14:textId="77777777" w:rsidTr="00DA3766">
        <w:trPr>
          <w:trHeight w:val="397"/>
          <w:jc w:val="center"/>
        </w:trPr>
        <w:tc>
          <w:tcPr>
            <w:tcW w:w="693" w:type="dxa"/>
            <w:vAlign w:val="center"/>
          </w:tcPr>
          <w:p w14:paraId="2BA5ED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670" w:type="dxa"/>
            <w:vAlign w:val="center"/>
          </w:tcPr>
          <w:p w14:paraId="179ABD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崔增收</w:t>
            </w:r>
          </w:p>
        </w:tc>
        <w:tc>
          <w:tcPr>
            <w:tcW w:w="1711" w:type="dxa"/>
            <w:vAlign w:val="center"/>
          </w:tcPr>
          <w:p w14:paraId="2655EA2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49040A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3B0327B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213FA75" w14:textId="77777777" w:rsidTr="00DA3766">
        <w:trPr>
          <w:trHeight w:val="397"/>
          <w:jc w:val="center"/>
        </w:trPr>
        <w:tc>
          <w:tcPr>
            <w:tcW w:w="693" w:type="dxa"/>
            <w:vAlign w:val="center"/>
          </w:tcPr>
          <w:p w14:paraId="2D75C3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670" w:type="dxa"/>
            <w:vAlign w:val="center"/>
          </w:tcPr>
          <w:p w14:paraId="19E409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谭小波</w:t>
            </w:r>
          </w:p>
        </w:tc>
        <w:tc>
          <w:tcPr>
            <w:tcW w:w="1711" w:type="dxa"/>
            <w:vAlign w:val="center"/>
          </w:tcPr>
          <w:p w14:paraId="5C4B6A0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543056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5D708E6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E5AD80" w14:textId="77777777" w:rsidTr="00DA3766">
        <w:trPr>
          <w:trHeight w:val="397"/>
          <w:jc w:val="center"/>
        </w:trPr>
        <w:tc>
          <w:tcPr>
            <w:tcW w:w="693" w:type="dxa"/>
            <w:vAlign w:val="center"/>
          </w:tcPr>
          <w:p w14:paraId="137C29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670" w:type="dxa"/>
            <w:vAlign w:val="center"/>
          </w:tcPr>
          <w:p w14:paraId="1D58B8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张琦</w:t>
            </w:r>
          </w:p>
        </w:tc>
        <w:tc>
          <w:tcPr>
            <w:tcW w:w="1711" w:type="dxa"/>
            <w:vAlign w:val="center"/>
          </w:tcPr>
          <w:p w14:paraId="6F97E17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30B2848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4B92FC4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BA94C1" w14:textId="77777777" w:rsidTr="00DA3766">
        <w:trPr>
          <w:trHeight w:val="397"/>
          <w:jc w:val="center"/>
        </w:trPr>
        <w:tc>
          <w:tcPr>
            <w:tcW w:w="693" w:type="dxa"/>
            <w:vAlign w:val="center"/>
          </w:tcPr>
          <w:p w14:paraId="663DE2B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670" w:type="dxa"/>
            <w:vAlign w:val="center"/>
          </w:tcPr>
          <w:p w14:paraId="6F2E55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刘瑛</w:t>
            </w:r>
          </w:p>
        </w:tc>
        <w:tc>
          <w:tcPr>
            <w:tcW w:w="1711" w:type="dxa"/>
            <w:vAlign w:val="center"/>
          </w:tcPr>
          <w:p w14:paraId="5FA4273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37813E0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74354C3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E5CA6A" w14:textId="77777777" w:rsidTr="00DA3766">
        <w:trPr>
          <w:trHeight w:val="397"/>
          <w:jc w:val="center"/>
        </w:trPr>
        <w:tc>
          <w:tcPr>
            <w:tcW w:w="693" w:type="dxa"/>
            <w:vAlign w:val="center"/>
          </w:tcPr>
          <w:p w14:paraId="7FE98CC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670" w:type="dxa"/>
            <w:vAlign w:val="center"/>
          </w:tcPr>
          <w:p w14:paraId="3DCB626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张子叶</w:t>
            </w:r>
          </w:p>
        </w:tc>
        <w:tc>
          <w:tcPr>
            <w:tcW w:w="1711" w:type="dxa"/>
            <w:vAlign w:val="center"/>
          </w:tcPr>
          <w:p w14:paraId="3E8AB9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6AF375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18DF12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079F1D4" w14:textId="77777777" w:rsidTr="00DA3766">
        <w:trPr>
          <w:trHeight w:val="397"/>
          <w:jc w:val="center"/>
        </w:trPr>
        <w:tc>
          <w:tcPr>
            <w:tcW w:w="693" w:type="dxa"/>
            <w:vAlign w:val="center"/>
          </w:tcPr>
          <w:p w14:paraId="4A9326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670" w:type="dxa"/>
            <w:vAlign w:val="center"/>
          </w:tcPr>
          <w:p w14:paraId="0A44DF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曾建</w:t>
            </w:r>
          </w:p>
        </w:tc>
        <w:tc>
          <w:tcPr>
            <w:tcW w:w="1711" w:type="dxa"/>
            <w:vAlign w:val="center"/>
          </w:tcPr>
          <w:p w14:paraId="0F3AD3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5ECCC24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7044F50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D3A5E6" w14:textId="77777777" w:rsidTr="00DA3766">
        <w:trPr>
          <w:trHeight w:val="397"/>
          <w:jc w:val="center"/>
        </w:trPr>
        <w:tc>
          <w:tcPr>
            <w:tcW w:w="693" w:type="dxa"/>
            <w:vAlign w:val="center"/>
          </w:tcPr>
          <w:p w14:paraId="013F20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33</w:t>
            </w:r>
          </w:p>
        </w:tc>
        <w:tc>
          <w:tcPr>
            <w:tcW w:w="3670" w:type="dxa"/>
            <w:vAlign w:val="center"/>
          </w:tcPr>
          <w:p w14:paraId="6DCD55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李瑾瑶</w:t>
            </w:r>
          </w:p>
        </w:tc>
        <w:tc>
          <w:tcPr>
            <w:tcW w:w="1711" w:type="dxa"/>
            <w:vAlign w:val="center"/>
          </w:tcPr>
          <w:p w14:paraId="7964CB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19.4130</w:t>
            </w:r>
          </w:p>
        </w:tc>
        <w:tc>
          <w:tcPr>
            <w:tcW w:w="1464" w:type="dxa"/>
            <w:vAlign w:val="center"/>
          </w:tcPr>
          <w:p w14:paraId="2ADD9B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1.0621%</w:t>
            </w:r>
          </w:p>
        </w:tc>
        <w:tc>
          <w:tcPr>
            <w:tcW w:w="1520" w:type="dxa"/>
            <w:vAlign w:val="center"/>
          </w:tcPr>
          <w:p w14:paraId="12A9E5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26425E" w14:textId="77777777" w:rsidTr="00DA3766">
        <w:trPr>
          <w:trHeight w:val="397"/>
          <w:jc w:val="center"/>
        </w:trPr>
        <w:tc>
          <w:tcPr>
            <w:tcW w:w="693" w:type="dxa"/>
            <w:vAlign w:val="center"/>
          </w:tcPr>
          <w:p w14:paraId="449022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34</w:t>
            </w:r>
          </w:p>
        </w:tc>
        <w:tc>
          <w:tcPr>
            <w:tcW w:w="3670" w:type="dxa"/>
            <w:vAlign w:val="center"/>
          </w:tcPr>
          <w:p w14:paraId="688765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李瑾琳</w:t>
            </w:r>
          </w:p>
        </w:tc>
        <w:tc>
          <w:tcPr>
            <w:tcW w:w="1711" w:type="dxa"/>
            <w:vAlign w:val="center"/>
          </w:tcPr>
          <w:p w14:paraId="2D4C09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19.4130</w:t>
            </w:r>
          </w:p>
        </w:tc>
        <w:tc>
          <w:tcPr>
            <w:tcW w:w="1464" w:type="dxa"/>
            <w:vAlign w:val="center"/>
          </w:tcPr>
          <w:p w14:paraId="591EF93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1.0621%</w:t>
            </w:r>
          </w:p>
        </w:tc>
        <w:tc>
          <w:tcPr>
            <w:tcW w:w="1520" w:type="dxa"/>
            <w:vAlign w:val="center"/>
          </w:tcPr>
          <w:p w14:paraId="144AC2F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E833AE" w14:textId="77777777" w:rsidTr="00DA3766">
        <w:trPr>
          <w:trHeight w:val="397"/>
          <w:jc w:val="center"/>
        </w:trPr>
        <w:tc>
          <w:tcPr>
            <w:tcW w:w="693" w:type="dxa"/>
            <w:vAlign w:val="center"/>
          </w:tcPr>
          <w:p w14:paraId="3DCCD2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w:t>
            </w:r>
          </w:p>
        </w:tc>
        <w:tc>
          <w:tcPr>
            <w:tcW w:w="3670" w:type="dxa"/>
            <w:vAlign w:val="center"/>
          </w:tcPr>
          <w:p w14:paraId="75AD09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朱如锦</w:t>
            </w:r>
          </w:p>
        </w:tc>
        <w:tc>
          <w:tcPr>
            <w:tcW w:w="1711" w:type="dxa"/>
            <w:vAlign w:val="center"/>
          </w:tcPr>
          <w:p w14:paraId="0A50581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474F75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4E5D288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EEA71A9" w14:textId="77777777" w:rsidTr="00DA3766">
        <w:trPr>
          <w:trHeight w:val="397"/>
          <w:jc w:val="center"/>
        </w:trPr>
        <w:tc>
          <w:tcPr>
            <w:tcW w:w="693" w:type="dxa"/>
            <w:vAlign w:val="center"/>
          </w:tcPr>
          <w:p w14:paraId="7513915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36</w:t>
            </w:r>
          </w:p>
        </w:tc>
        <w:tc>
          <w:tcPr>
            <w:tcW w:w="3670" w:type="dxa"/>
            <w:vAlign w:val="center"/>
          </w:tcPr>
          <w:p w14:paraId="0ABBD5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张和</w:t>
            </w:r>
          </w:p>
        </w:tc>
        <w:tc>
          <w:tcPr>
            <w:tcW w:w="1711" w:type="dxa"/>
            <w:vAlign w:val="center"/>
          </w:tcPr>
          <w:p w14:paraId="6306FF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60.00</w:t>
            </w:r>
          </w:p>
        </w:tc>
        <w:tc>
          <w:tcPr>
            <w:tcW w:w="1464" w:type="dxa"/>
            <w:vAlign w:val="center"/>
          </w:tcPr>
          <w:p w14:paraId="1E81070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3.2826%</w:t>
            </w:r>
          </w:p>
        </w:tc>
        <w:tc>
          <w:tcPr>
            <w:tcW w:w="1520" w:type="dxa"/>
            <w:vAlign w:val="center"/>
          </w:tcPr>
          <w:p w14:paraId="56F6A37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D3BE9A5" w14:textId="77777777" w:rsidTr="00DA3766">
        <w:trPr>
          <w:trHeight w:val="397"/>
          <w:jc w:val="center"/>
        </w:trPr>
        <w:tc>
          <w:tcPr>
            <w:tcW w:w="693" w:type="dxa"/>
            <w:vAlign w:val="center"/>
          </w:tcPr>
          <w:p w14:paraId="131741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37</w:t>
            </w:r>
          </w:p>
        </w:tc>
        <w:tc>
          <w:tcPr>
            <w:tcW w:w="3670" w:type="dxa"/>
            <w:vAlign w:val="center"/>
          </w:tcPr>
          <w:p w14:paraId="7E30154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黎忠明</w:t>
            </w:r>
          </w:p>
        </w:tc>
        <w:tc>
          <w:tcPr>
            <w:tcW w:w="1711" w:type="dxa"/>
            <w:vAlign w:val="center"/>
          </w:tcPr>
          <w:p w14:paraId="15AE73B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6099B1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034AF23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78514C" w14:textId="77777777" w:rsidTr="00DA3766">
        <w:trPr>
          <w:trHeight w:val="397"/>
          <w:jc w:val="center"/>
        </w:trPr>
        <w:tc>
          <w:tcPr>
            <w:tcW w:w="693" w:type="dxa"/>
            <w:vAlign w:val="center"/>
          </w:tcPr>
          <w:p w14:paraId="2E7F56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38</w:t>
            </w:r>
          </w:p>
        </w:tc>
        <w:tc>
          <w:tcPr>
            <w:tcW w:w="3670" w:type="dxa"/>
            <w:vAlign w:val="center"/>
          </w:tcPr>
          <w:p w14:paraId="6632E5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池丽平</w:t>
            </w:r>
          </w:p>
        </w:tc>
        <w:tc>
          <w:tcPr>
            <w:tcW w:w="1711" w:type="dxa"/>
            <w:vAlign w:val="center"/>
          </w:tcPr>
          <w:p w14:paraId="499D00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271E9F2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5CCBFB66" w14:textId="5123E886" w:rsidR="00BA6F27" w:rsidRPr="00DA3766" w:rsidRDefault="00176D50"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C57E65E" w14:textId="77777777" w:rsidTr="00DA3766">
        <w:trPr>
          <w:trHeight w:val="397"/>
          <w:jc w:val="center"/>
        </w:trPr>
        <w:tc>
          <w:tcPr>
            <w:tcW w:w="4363" w:type="dxa"/>
            <w:gridSpan w:val="2"/>
            <w:vAlign w:val="center"/>
          </w:tcPr>
          <w:p w14:paraId="5AD390E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711" w:type="dxa"/>
            <w:vAlign w:val="center"/>
          </w:tcPr>
          <w:p w14:paraId="016A9B8E" w14:textId="52C351AD"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1,827.8260</w:t>
            </w:r>
          </w:p>
        </w:tc>
        <w:tc>
          <w:tcPr>
            <w:tcW w:w="1464" w:type="dxa"/>
            <w:vAlign w:val="center"/>
          </w:tcPr>
          <w:p w14:paraId="71DE3B7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520" w:type="dxa"/>
            <w:vAlign w:val="center"/>
          </w:tcPr>
          <w:p w14:paraId="759B92B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9"/>
    <w:p w14:paraId="032DA268"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15</w:t>
      </w:r>
      <w:r w:rsidRPr="00DA3766">
        <w:rPr>
          <w:rFonts w:ascii="Times New Roman" w:hAnsi="Times New Roman" w:cs="Times New Roman"/>
          <w:b/>
          <w:bCs/>
          <w:snapToGrid w:val="0"/>
          <w:kern w:val="2"/>
          <w:szCs w:val="22"/>
        </w:rPr>
        <w:t>）上海德盾</w:t>
      </w:r>
    </w:p>
    <w:p w14:paraId="2E57A750" w14:textId="77777777" w:rsidR="00176D50" w:rsidRPr="00DA3766" w:rsidRDefault="00BA6F27" w:rsidP="00BA6F27">
      <w:pPr>
        <w:pStyle w:val="005"/>
        <w:spacing w:before="120" w:after="120"/>
        <w:ind w:firstLine="480"/>
        <w:rPr>
          <w:kern w:val="0"/>
          <w:szCs w:val="24"/>
        </w:rPr>
      </w:pPr>
      <w:r w:rsidRPr="00DA3766">
        <w:rPr>
          <w:kern w:val="0"/>
          <w:szCs w:val="24"/>
        </w:rPr>
        <w:t>上海德盾在上市公司董事会就本次交易申请停牌前或首次作出决议前（孰早）六个月内及停牌期间（</w:t>
      </w:r>
      <w:r w:rsidRPr="00DA3766">
        <w:rPr>
          <w:kern w:val="0"/>
          <w:szCs w:val="24"/>
        </w:rPr>
        <w:t>2024</w:t>
      </w:r>
      <w:r w:rsidRPr="00DA3766">
        <w:rPr>
          <w:kern w:val="0"/>
          <w:szCs w:val="24"/>
        </w:rPr>
        <w:t>年</w:t>
      </w:r>
      <w:r w:rsidRPr="00DA3766">
        <w:rPr>
          <w:kern w:val="0"/>
          <w:szCs w:val="24"/>
        </w:rPr>
        <w:t>12</w:t>
      </w:r>
      <w:r w:rsidRPr="00DA3766">
        <w:rPr>
          <w:kern w:val="0"/>
          <w:szCs w:val="24"/>
        </w:rPr>
        <w:t>月</w:t>
      </w:r>
      <w:r w:rsidRPr="00DA3766">
        <w:rPr>
          <w:kern w:val="0"/>
          <w:szCs w:val="24"/>
        </w:rPr>
        <w:t>9</w:t>
      </w:r>
      <w:r w:rsidRPr="00DA3766">
        <w:rPr>
          <w:kern w:val="0"/>
          <w:szCs w:val="24"/>
        </w:rPr>
        <w:t>日至</w:t>
      </w:r>
      <w:r w:rsidRPr="00DA3766">
        <w:rPr>
          <w:kern w:val="0"/>
          <w:szCs w:val="24"/>
        </w:rPr>
        <w:t>2025</w:t>
      </w:r>
      <w:r w:rsidRPr="00DA3766">
        <w:rPr>
          <w:kern w:val="0"/>
          <w:szCs w:val="24"/>
        </w:rPr>
        <w:t>年</w:t>
      </w:r>
      <w:r w:rsidRPr="00DA3766">
        <w:rPr>
          <w:kern w:val="0"/>
          <w:szCs w:val="24"/>
        </w:rPr>
        <w:t>6</w:t>
      </w:r>
      <w:r w:rsidRPr="00DA3766">
        <w:rPr>
          <w:kern w:val="0"/>
          <w:szCs w:val="24"/>
        </w:rPr>
        <w:t>月</w:t>
      </w:r>
      <w:r w:rsidRPr="00DA3766">
        <w:rPr>
          <w:kern w:val="0"/>
          <w:szCs w:val="24"/>
        </w:rPr>
        <w:t>23</w:t>
      </w:r>
      <w:r w:rsidRPr="00DA3766">
        <w:rPr>
          <w:kern w:val="0"/>
          <w:szCs w:val="24"/>
        </w:rPr>
        <w:t>日）不存在合伙人入伙、退伙、转让财产份额、有限合伙人与普通合伙人转变身份的情况及未来存续期间内的类似变动安排情形。</w:t>
      </w:r>
    </w:p>
    <w:p w14:paraId="7E41FC82" w14:textId="4884EBD2" w:rsidR="007A44DA" w:rsidRPr="00DA3766" w:rsidRDefault="00BA6F27" w:rsidP="00BA6F27">
      <w:pPr>
        <w:pStyle w:val="005"/>
        <w:spacing w:before="120" w:after="120"/>
        <w:ind w:firstLine="480"/>
      </w:pPr>
      <w:r w:rsidRPr="00DA3766">
        <w:rPr>
          <w:kern w:val="0"/>
          <w:szCs w:val="24"/>
        </w:rPr>
        <w:t>上述内容已在《重组报告书》</w:t>
      </w:r>
      <w:r w:rsidRPr="00DA3766">
        <w:rPr>
          <w:rFonts w:ascii="宋体" w:hAnsi="宋体"/>
          <w:kern w:val="0"/>
          <w:szCs w:val="24"/>
        </w:rPr>
        <w:t>“</w:t>
      </w:r>
      <w:r w:rsidRPr="00DA3766">
        <w:rPr>
          <w:kern w:val="0"/>
          <w:szCs w:val="24"/>
        </w:rPr>
        <w:t>第三节</w:t>
      </w:r>
      <w:r w:rsidRPr="00DA3766">
        <w:rPr>
          <w:kern w:val="0"/>
          <w:szCs w:val="24"/>
        </w:rPr>
        <w:t xml:space="preserve"> </w:t>
      </w:r>
      <w:r w:rsidRPr="00DA3766">
        <w:rPr>
          <w:kern w:val="0"/>
          <w:szCs w:val="24"/>
        </w:rPr>
        <w:t>交易对方基本情况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一、发行股份及支付现金购买资产的交易对方情况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（一）非自然人交易对方</w:t>
      </w:r>
      <w:r w:rsidRPr="00DA3766">
        <w:rPr>
          <w:rFonts w:ascii="宋体" w:hAnsi="宋体"/>
          <w:kern w:val="0"/>
          <w:szCs w:val="24"/>
        </w:rPr>
        <w:t>”</w:t>
      </w:r>
      <w:r w:rsidRPr="00DA3766">
        <w:rPr>
          <w:kern w:val="0"/>
          <w:szCs w:val="24"/>
        </w:rPr>
        <w:t>补充披露。</w:t>
      </w:r>
    </w:p>
    <w:p w14:paraId="13083D89" w14:textId="77777777" w:rsidR="00A661C3" w:rsidRPr="00DA3766" w:rsidRDefault="00A661C3" w:rsidP="00A661C3">
      <w:pPr>
        <w:pStyle w:val="003"/>
        <w:spacing w:before="120" w:after="120"/>
        <w:ind w:firstLine="482"/>
      </w:pPr>
      <w:r w:rsidRPr="00DA3766">
        <w:t>（二）</w:t>
      </w:r>
      <w:bookmarkStart w:id="200" w:name="_Hlk219329535"/>
      <w:r w:rsidRPr="00DA3766">
        <w:t>结合交易对手的穿透披露情况补充披露</w:t>
      </w:r>
      <w:bookmarkStart w:id="201" w:name="_Hlk219329515"/>
      <w:bookmarkEnd w:id="200"/>
      <w:r w:rsidRPr="00DA3766">
        <w:t>穿透计算后总人数是否符合《证券法》发行对象不超过</w:t>
      </w:r>
      <w:r w:rsidRPr="00DA3766">
        <w:t>200</w:t>
      </w:r>
      <w:r w:rsidRPr="00DA3766">
        <w:t>名的相关规定，标的资产是否符合《非上市公众公司监管指引第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人的未上市股份有限公司申请行政许可有关问题的审核指引》等相关规定</w:t>
      </w:r>
      <w:bookmarkEnd w:id="201"/>
    </w:p>
    <w:p w14:paraId="23AFB635" w14:textId="48CCCA98" w:rsidR="00A661C3" w:rsidRPr="00DA3766" w:rsidRDefault="00A661C3" w:rsidP="00C93B0F">
      <w:pPr>
        <w:pStyle w:val="005"/>
        <w:spacing w:before="120" w:after="120"/>
        <w:ind w:firstLine="480"/>
      </w:pPr>
      <w:bookmarkStart w:id="202" w:name="_Hlk219329555"/>
      <w:r w:rsidRPr="00DA3766">
        <w:t>根据《非上市公众公司监管指引第</w:t>
      </w:r>
      <w:r w:rsidRPr="00DA3766">
        <w:t>4</w:t>
      </w:r>
      <w:r w:rsidRPr="00DA3766">
        <w:t>号</w:t>
      </w:r>
      <w:r w:rsidRPr="00DA3766">
        <w:t>——</w:t>
      </w:r>
      <w:r w:rsidRPr="00DA3766">
        <w:t>股东人数超过二百人的未上市股份有限公司申请行政许可有关问题的审核指引》相关规定，以依法设立的员工持股计划以及以已经接受证券监督管理机构监管的私募股权基金、资产管理计划和其他金融计划进行持股，并规范运作的，可不进行股份还原或转为直接持股。故在参考前述规定并基于谨慎性原则的考虑下，本回复在穿透计算股东人数时，将以穿透至自然人、公众公司、政府机构、事业单位、备案的私募基金或私募基金管理人、员工持股计划并剔除重复主体的标准进行计算。</w:t>
      </w:r>
    </w:p>
    <w:p w14:paraId="25650BF9" w14:textId="52FA721F" w:rsidR="00A661C3" w:rsidRPr="00DA3766" w:rsidRDefault="00A661C3" w:rsidP="00C93B0F">
      <w:pPr>
        <w:pStyle w:val="005"/>
        <w:spacing w:before="120" w:after="120"/>
        <w:ind w:firstLine="480"/>
      </w:pPr>
      <w:r w:rsidRPr="00DA3766">
        <w:t>根据《重组报告书》、标的公司股东名册、交易对方提供的工商档案、公司章程</w:t>
      </w:r>
      <w:r w:rsidRPr="00DA3766">
        <w:t>/</w:t>
      </w:r>
      <w:r w:rsidRPr="00DA3766">
        <w:t>合伙协议、填写的调查表并经本独立财务顾问在国家企业信用信息公示系统、中国证券投资基金业协会查询所获公开信息，</w:t>
      </w:r>
      <w:r w:rsidR="002372DE" w:rsidRPr="00DA3766">
        <w:t>截至本回复出具之日</w:t>
      </w:r>
      <w:r w:rsidRPr="00DA3766">
        <w:t>，标的公司的股东穿透后的最终股东数量情况如下：</w:t>
      </w:r>
    </w:p>
    <w:tbl>
      <w:tblPr>
        <w:tblW w:w="509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058"/>
        <w:gridCol w:w="3177"/>
        <w:gridCol w:w="1949"/>
        <w:gridCol w:w="2365"/>
      </w:tblGrid>
      <w:tr w:rsidR="00A661C3" w:rsidRPr="00DA3766" w14:paraId="669EA63F" w14:textId="77777777" w:rsidTr="00635015">
        <w:trPr>
          <w:trHeight w:val="397"/>
          <w:tblHeader/>
          <w:jc w:val="center"/>
        </w:trPr>
        <w:tc>
          <w:tcPr>
            <w:tcW w:w="619" w:type="pct"/>
            <w:shd w:val="clear" w:color="auto" w:fill="FFFFFF"/>
            <w:tcMar>
              <w:top w:w="0" w:type="dxa"/>
              <w:left w:w="38" w:type="dxa"/>
              <w:bottom w:w="0" w:type="dxa"/>
              <w:right w:w="38" w:type="dxa"/>
            </w:tcMar>
            <w:vAlign w:val="center"/>
          </w:tcPr>
          <w:p w14:paraId="22311697"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lastRenderedPageBreak/>
              <w:t>序号</w:t>
            </w:r>
          </w:p>
        </w:tc>
        <w:tc>
          <w:tcPr>
            <w:tcW w:w="1858" w:type="pct"/>
            <w:shd w:val="clear" w:color="auto" w:fill="FFFFFF"/>
            <w:tcMar>
              <w:top w:w="0" w:type="dxa"/>
              <w:left w:w="38" w:type="dxa"/>
              <w:bottom w:w="0" w:type="dxa"/>
              <w:right w:w="38" w:type="dxa"/>
            </w:tcMar>
            <w:vAlign w:val="center"/>
          </w:tcPr>
          <w:p w14:paraId="503C727A"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股东名称</w:t>
            </w:r>
          </w:p>
        </w:tc>
        <w:tc>
          <w:tcPr>
            <w:tcW w:w="1140" w:type="pct"/>
            <w:shd w:val="clear" w:color="auto" w:fill="FFFFFF"/>
            <w:tcMar>
              <w:top w:w="0" w:type="dxa"/>
              <w:left w:w="38" w:type="dxa"/>
              <w:bottom w:w="0" w:type="dxa"/>
              <w:right w:w="38" w:type="dxa"/>
            </w:tcMar>
            <w:vAlign w:val="center"/>
          </w:tcPr>
          <w:p w14:paraId="3A008112"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穿透计算股东人数</w:t>
            </w:r>
          </w:p>
        </w:tc>
        <w:tc>
          <w:tcPr>
            <w:tcW w:w="1383" w:type="pct"/>
            <w:shd w:val="clear" w:color="auto" w:fill="FFFFFF"/>
            <w:tcMar>
              <w:top w:w="0" w:type="dxa"/>
              <w:left w:w="38" w:type="dxa"/>
              <w:bottom w:w="0" w:type="dxa"/>
              <w:right w:w="38" w:type="dxa"/>
            </w:tcMar>
            <w:vAlign w:val="center"/>
          </w:tcPr>
          <w:p w14:paraId="406465B5"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穿透计算说明</w:t>
            </w:r>
          </w:p>
        </w:tc>
      </w:tr>
      <w:tr w:rsidR="00A661C3" w:rsidRPr="00DA3766" w14:paraId="75F2C50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F5CA26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858" w:type="pct"/>
            <w:shd w:val="clear" w:color="auto" w:fill="FFFFFF"/>
            <w:tcMar>
              <w:top w:w="0" w:type="dxa"/>
              <w:left w:w="38" w:type="dxa"/>
              <w:bottom w:w="0" w:type="dxa"/>
              <w:right w:w="38" w:type="dxa"/>
            </w:tcMar>
            <w:vAlign w:val="center"/>
          </w:tcPr>
          <w:p w14:paraId="4FCEB88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南通成为常青</w:t>
            </w:r>
          </w:p>
        </w:tc>
        <w:tc>
          <w:tcPr>
            <w:tcW w:w="1140" w:type="pct"/>
            <w:shd w:val="clear" w:color="auto" w:fill="FFFFFF"/>
            <w:tcMar>
              <w:top w:w="0" w:type="dxa"/>
              <w:left w:w="38" w:type="dxa"/>
              <w:bottom w:w="0" w:type="dxa"/>
              <w:right w:w="38" w:type="dxa"/>
            </w:tcMar>
            <w:vAlign w:val="center"/>
          </w:tcPr>
          <w:p w14:paraId="488B24E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D12D1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599977A3"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D7DF85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858" w:type="pct"/>
            <w:shd w:val="clear" w:color="auto" w:fill="FFFFFF"/>
            <w:tcMar>
              <w:top w:w="0" w:type="dxa"/>
              <w:left w:w="38" w:type="dxa"/>
              <w:bottom w:w="0" w:type="dxa"/>
              <w:right w:w="38" w:type="dxa"/>
            </w:tcMar>
            <w:vAlign w:val="center"/>
          </w:tcPr>
          <w:p w14:paraId="64ACBDB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广发信德科文</w:t>
            </w:r>
          </w:p>
        </w:tc>
        <w:tc>
          <w:tcPr>
            <w:tcW w:w="1140" w:type="pct"/>
            <w:shd w:val="clear" w:color="auto" w:fill="FFFFFF"/>
            <w:tcMar>
              <w:top w:w="0" w:type="dxa"/>
              <w:left w:w="38" w:type="dxa"/>
              <w:bottom w:w="0" w:type="dxa"/>
              <w:right w:w="38" w:type="dxa"/>
            </w:tcMar>
            <w:vAlign w:val="center"/>
          </w:tcPr>
          <w:p w14:paraId="51F680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8B52D5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524ED1D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F8F8C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w:t>
            </w:r>
          </w:p>
        </w:tc>
        <w:tc>
          <w:tcPr>
            <w:tcW w:w="1858" w:type="pct"/>
            <w:shd w:val="clear" w:color="auto" w:fill="FFFFFF"/>
            <w:tcMar>
              <w:top w:w="0" w:type="dxa"/>
              <w:left w:w="38" w:type="dxa"/>
              <w:bottom w:w="0" w:type="dxa"/>
              <w:right w:w="38" w:type="dxa"/>
            </w:tcMar>
            <w:vAlign w:val="center"/>
          </w:tcPr>
          <w:p w14:paraId="7120D1E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苏州市德同合心</w:t>
            </w:r>
          </w:p>
        </w:tc>
        <w:tc>
          <w:tcPr>
            <w:tcW w:w="1140" w:type="pct"/>
            <w:shd w:val="clear" w:color="auto" w:fill="FFFFFF"/>
            <w:tcMar>
              <w:top w:w="0" w:type="dxa"/>
              <w:left w:w="38" w:type="dxa"/>
              <w:bottom w:w="0" w:type="dxa"/>
              <w:right w:w="38" w:type="dxa"/>
            </w:tcMar>
            <w:vAlign w:val="center"/>
          </w:tcPr>
          <w:p w14:paraId="132063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CA5738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09F2831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4D6363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1858" w:type="pct"/>
            <w:shd w:val="clear" w:color="auto" w:fill="FFFFFF"/>
            <w:tcMar>
              <w:top w:w="0" w:type="dxa"/>
              <w:left w:w="38" w:type="dxa"/>
              <w:bottom w:w="0" w:type="dxa"/>
              <w:right w:w="38" w:type="dxa"/>
            </w:tcMar>
            <w:vAlign w:val="center"/>
          </w:tcPr>
          <w:p w14:paraId="18EA025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1"/>
                <w:sz w:val="21"/>
                <w:szCs w:val="21"/>
              </w:rPr>
            </w:pPr>
            <w:r w:rsidRPr="00DA3766">
              <w:rPr>
                <w:rFonts w:ascii="Times New Roman" w:hAnsi="Times New Roman" w:cs="Times New Roman"/>
                <w:snapToGrid w:val="0"/>
                <w:color w:val="000000"/>
                <w:spacing w:val="-1"/>
                <w:sz w:val="21"/>
                <w:szCs w:val="21"/>
              </w:rPr>
              <w:t>乐陶陶</w:t>
            </w:r>
          </w:p>
        </w:tc>
        <w:tc>
          <w:tcPr>
            <w:tcW w:w="1140" w:type="pct"/>
            <w:shd w:val="clear" w:color="auto" w:fill="FFFFFF"/>
            <w:tcMar>
              <w:top w:w="0" w:type="dxa"/>
              <w:left w:w="38" w:type="dxa"/>
              <w:bottom w:w="0" w:type="dxa"/>
              <w:right w:w="38" w:type="dxa"/>
            </w:tcMar>
            <w:vAlign w:val="center"/>
          </w:tcPr>
          <w:p w14:paraId="6469A0B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4346B0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59F86FB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79B5C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4-1</w:t>
            </w:r>
          </w:p>
        </w:tc>
        <w:tc>
          <w:tcPr>
            <w:tcW w:w="1858" w:type="pct"/>
            <w:shd w:val="clear" w:color="auto" w:fill="FFFFFF"/>
            <w:tcMar>
              <w:top w:w="0" w:type="dxa"/>
              <w:left w:w="38" w:type="dxa"/>
              <w:bottom w:w="0" w:type="dxa"/>
              <w:right w:w="38" w:type="dxa"/>
            </w:tcMar>
            <w:vAlign w:val="center"/>
          </w:tcPr>
          <w:p w14:paraId="5E348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杨凯然</w:t>
            </w:r>
          </w:p>
        </w:tc>
        <w:tc>
          <w:tcPr>
            <w:tcW w:w="1140" w:type="pct"/>
            <w:shd w:val="clear" w:color="auto" w:fill="FFFFFF"/>
            <w:tcMar>
              <w:top w:w="0" w:type="dxa"/>
              <w:left w:w="38" w:type="dxa"/>
              <w:bottom w:w="0" w:type="dxa"/>
              <w:right w:w="38" w:type="dxa"/>
            </w:tcMar>
            <w:vAlign w:val="center"/>
          </w:tcPr>
          <w:p w14:paraId="2171B7D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2A61EC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重复主体，剔除计算</w:t>
            </w:r>
          </w:p>
        </w:tc>
      </w:tr>
      <w:tr w:rsidR="00A661C3" w:rsidRPr="00DA3766" w14:paraId="312E08D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AE1D59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4-2</w:t>
            </w:r>
          </w:p>
        </w:tc>
        <w:tc>
          <w:tcPr>
            <w:tcW w:w="1858" w:type="pct"/>
            <w:shd w:val="clear" w:color="auto" w:fill="FFFFFF"/>
            <w:tcMar>
              <w:top w:w="0" w:type="dxa"/>
              <w:left w:w="38" w:type="dxa"/>
              <w:bottom w:w="0" w:type="dxa"/>
              <w:right w:w="38" w:type="dxa"/>
            </w:tcMar>
            <w:vAlign w:val="center"/>
          </w:tcPr>
          <w:p w14:paraId="34CC82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陈岳政</w:t>
            </w:r>
          </w:p>
        </w:tc>
        <w:tc>
          <w:tcPr>
            <w:tcW w:w="1140" w:type="pct"/>
            <w:shd w:val="clear" w:color="auto" w:fill="FFFFFF"/>
            <w:tcMar>
              <w:top w:w="0" w:type="dxa"/>
              <w:left w:w="38" w:type="dxa"/>
              <w:bottom w:w="0" w:type="dxa"/>
              <w:right w:w="38" w:type="dxa"/>
            </w:tcMar>
            <w:vAlign w:val="center"/>
          </w:tcPr>
          <w:p w14:paraId="24AE0DD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455F8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212F97F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E15764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w:t>
            </w:r>
          </w:p>
        </w:tc>
        <w:tc>
          <w:tcPr>
            <w:tcW w:w="1858" w:type="pct"/>
            <w:shd w:val="clear" w:color="auto" w:fill="FFFFFF"/>
            <w:tcMar>
              <w:top w:w="0" w:type="dxa"/>
              <w:left w:w="38" w:type="dxa"/>
              <w:bottom w:w="0" w:type="dxa"/>
              <w:right w:w="38" w:type="dxa"/>
            </w:tcMar>
            <w:vAlign w:val="center"/>
          </w:tcPr>
          <w:p w14:paraId="28680DD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黄俊波</w:t>
            </w:r>
          </w:p>
        </w:tc>
        <w:tc>
          <w:tcPr>
            <w:tcW w:w="1140" w:type="pct"/>
            <w:shd w:val="clear" w:color="auto" w:fill="FFFFFF"/>
            <w:tcMar>
              <w:top w:w="0" w:type="dxa"/>
              <w:left w:w="38" w:type="dxa"/>
              <w:bottom w:w="0" w:type="dxa"/>
              <w:right w:w="38" w:type="dxa"/>
            </w:tcMar>
            <w:vAlign w:val="center"/>
          </w:tcPr>
          <w:p w14:paraId="3AE6B3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F93B9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549CB08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9E4DF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w:t>
            </w:r>
          </w:p>
        </w:tc>
        <w:tc>
          <w:tcPr>
            <w:tcW w:w="1858" w:type="pct"/>
            <w:shd w:val="clear" w:color="auto" w:fill="FFFFFF"/>
            <w:tcMar>
              <w:top w:w="0" w:type="dxa"/>
              <w:left w:w="38" w:type="dxa"/>
              <w:bottom w:w="0" w:type="dxa"/>
              <w:right w:w="38" w:type="dxa"/>
            </w:tcMar>
            <w:vAlign w:val="center"/>
          </w:tcPr>
          <w:p w14:paraId="1C5C418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宁波圣哲管理咨询合伙企业（有限合伙）</w:t>
            </w:r>
          </w:p>
        </w:tc>
        <w:tc>
          <w:tcPr>
            <w:tcW w:w="1140" w:type="pct"/>
            <w:shd w:val="clear" w:color="auto" w:fill="FFFFFF"/>
            <w:tcMar>
              <w:top w:w="0" w:type="dxa"/>
              <w:left w:w="38" w:type="dxa"/>
              <w:bottom w:w="0" w:type="dxa"/>
              <w:right w:w="38" w:type="dxa"/>
            </w:tcMar>
            <w:vAlign w:val="center"/>
          </w:tcPr>
          <w:p w14:paraId="1A498A5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24DFAD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48756A4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A2DA54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4-4-1</w:t>
            </w:r>
          </w:p>
        </w:tc>
        <w:tc>
          <w:tcPr>
            <w:tcW w:w="1858" w:type="pct"/>
            <w:shd w:val="clear" w:color="auto" w:fill="FFFFFF"/>
            <w:tcMar>
              <w:top w:w="0" w:type="dxa"/>
              <w:left w:w="38" w:type="dxa"/>
              <w:bottom w:w="0" w:type="dxa"/>
              <w:right w:w="38" w:type="dxa"/>
            </w:tcMar>
            <w:vAlign w:val="center"/>
          </w:tcPr>
          <w:p w14:paraId="642B6E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沈欣</w:t>
            </w:r>
          </w:p>
        </w:tc>
        <w:tc>
          <w:tcPr>
            <w:tcW w:w="1140" w:type="pct"/>
            <w:shd w:val="clear" w:color="auto" w:fill="FFFFFF"/>
            <w:tcMar>
              <w:top w:w="0" w:type="dxa"/>
              <w:left w:w="38" w:type="dxa"/>
              <w:bottom w:w="0" w:type="dxa"/>
              <w:right w:w="38" w:type="dxa"/>
            </w:tcMar>
            <w:vAlign w:val="center"/>
          </w:tcPr>
          <w:p w14:paraId="7149D4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85FA62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FD93FC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B7BE0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4-4-2</w:t>
            </w:r>
          </w:p>
        </w:tc>
        <w:tc>
          <w:tcPr>
            <w:tcW w:w="1858" w:type="pct"/>
            <w:shd w:val="clear" w:color="auto" w:fill="FFFFFF"/>
            <w:tcMar>
              <w:top w:w="0" w:type="dxa"/>
              <w:left w:w="38" w:type="dxa"/>
              <w:bottom w:w="0" w:type="dxa"/>
              <w:right w:w="38" w:type="dxa"/>
            </w:tcMar>
            <w:vAlign w:val="center"/>
          </w:tcPr>
          <w:p w14:paraId="3A6B96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雷廷学</w:t>
            </w:r>
          </w:p>
        </w:tc>
        <w:tc>
          <w:tcPr>
            <w:tcW w:w="1140" w:type="pct"/>
            <w:shd w:val="clear" w:color="auto" w:fill="FFFFFF"/>
            <w:tcMar>
              <w:top w:w="0" w:type="dxa"/>
              <w:left w:w="38" w:type="dxa"/>
              <w:bottom w:w="0" w:type="dxa"/>
              <w:right w:w="38" w:type="dxa"/>
            </w:tcMar>
            <w:vAlign w:val="center"/>
          </w:tcPr>
          <w:p w14:paraId="4C88D6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89A3B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37A876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C70F3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4-5</w:t>
            </w:r>
          </w:p>
        </w:tc>
        <w:tc>
          <w:tcPr>
            <w:tcW w:w="1858" w:type="pct"/>
            <w:shd w:val="clear" w:color="auto" w:fill="FFFFFF"/>
            <w:tcMar>
              <w:top w:w="0" w:type="dxa"/>
              <w:left w:w="38" w:type="dxa"/>
              <w:bottom w:w="0" w:type="dxa"/>
              <w:right w:w="38" w:type="dxa"/>
            </w:tcMar>
            <w:vAlign w:val="center"/>
          </w:tcPr>
          <w:p w14:paraId="34472F3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徐德强</w:t>
            </w:r>
          </w:p>
        </w:tc>
        <w:tc>
          <w:tcPr>
            <w:tcW w:w="1140" w:type="pct"/>
            <w:shd w:val="clear" w:color="auto" w:fill="FFFFFF"/>
            <w:tcMar>
              <w:top w:w="0" w:type="dxa"/>
              <w:left w:w="38" w:type="dxa"/>
              <w:bottom w:w="0" w:type="dxa"/>
              <w:right w:w="38" w:type="dxa"/>
            </w:tcMar>
            <w:vAlign w:val="center"/>
          </w:tcPr>
          <w:p w14:paraId="29EAF59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5DDA7C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39F7E73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EA8B1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4-6</w:t>
            </w:r>
          </w:p>
        </w:tc>
        <w:tc>
          <w:tcPr>
            <w:tcW w:w="1858" w:type="pct"/>
            <w:shd w:val="clear" w:color="auto" w:fill="FFFFFF"/>
            <w:tcMar>
              <w:top w:w="0" w:type="dxa"/>
              <w:left w:w="38" w:type="dxa"/>
              <w:bottom w:w="0" w:type="dxa"/>
              <w:right w:w="38" w:type="dxa"/>
            </w:tcMar>
            <w:vAlign w:val="center"/>
          </w:tcPr>
          <w:p w14:paraId="08B7722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40" w:type="pct"/>
            <w:shd w:val="clear" w:color="auto" w:fill="FFFFFF"/>
            <w:tcMar>
              <w:top w:w="0" w:type="dxa"/>
              <w:left w:w="38" w:type="dxa"/>
              <w:bottom w:w="0" w:type="dxa"/>
              <w:right w:w="38" w:type="dxa"/>
            </w:tcMar>
            <w:vAlign w:val="center"/>
          </w:tcPr>
          <w:p w14:paraId="00A341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221E9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重复主体，剔除计算</w:t>
            </w:r>
          </w:p>
        </w:tc>
      </w:tr>
      <w:tr w:rsidR="00A661C3" w:rsidRPr="00DA3766" w14:paraId="5CF980F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66E998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1858" w:type="pct"/>
            <w:shd w:val="clear" w:color="auto" w:fill="FFFFFF"/>
            <w:tcMar>
              <w:top w:w="0" w:type="dxa"/>
              <w:left w:w="38" w:type="dxa"/>
              <w:bottom w:w="0" w:type="dxa"/>
              <w:right w:w="38" w:type="dxa"/>
            </w:tcMar>
            <w:vAlign w:val="center"/>
          </w:tcPr>
          <w:p w14:paraId="0C050F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林芝利新</w:t>
            </w:r>
          </w:p>
        </w:tc>
        <w:tc>
          <w:tcPr>
            <w:tcW w:w="1140" w:type="pct"/>
            <w:shd w:val="clear" w:color="auto" w:fill="FFFFFF"/>
            <w:tcMar>
              <w:top w:w="0" w:type="dxa"/>
              <w:left w:w="38" w:type="dxa"/>
              <w:bottom w:w="0" w:type="dxa"/>
              <w:right w:w="38" w:type="dxa"/>
            </w:tcMar>
            <w:vAlign w:val="center"/>
          </w:tcPr>
          <w:p w14:paraId="393E44C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4E0BE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4E0A684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AD5EB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w:t>
            </w:r>
          </w:p>
        </w:tc>
        <w:tc>
          <w:tcPr>
            <w:tcW w:w="1858" w:type="pct"/>
            <w:shd w:val="clear" w:color="auto" w:fill="FFFFFF"/>
            <w:tcMar>
              <w:top w:w="0" w:type="dxa"/>
              <w:left w:w="38" w:type="dxa"/>
              <w:bottom w:w="0" w:type="dxa"/>
              <w:right w:w="38" w:type="dxa"/>
            </w:tcMar>
            <w:vAlign w:val="center"/>
          </w:tcPr>
          <w:p w14:paraId="2BB4E6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深圳市腾讯睿见投资有限公司</w:t>
            </w:r>
          </w:p>
        </w:tc>
        <w:tc>
          <w:tcPr>
            <w:tcW w:w="1140" w:type="pct"/>
            <w:shd w:val="clear" w:color="auto" w:fill="FFFFFF"/>
            <w:tcMar>
              <w:top w:w="0" w:type="dxa"/>
              <w:left w:w="38" w:type="dxa"/>
              <w:bottom w:w="0" w:type="dxa"/>
              <w:right w:w="38" w:type="dxa"/>
            </w:tcMar>
            <w:vAlign w:val="center"/>
          </w:tcPr>
          <w:p w14:paraId="560AD19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8180F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8C8686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04FDB5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w:t>
            </w:r>
          </w:p>
        </w:tc>
        <w:tc>
          <w:tcPr>
            <w:tcW w:w="1858" w:type="pct"/>
            <w:shd w:val="clear" w:color="auto" w:fill="FFFFFF"/>
            <w:tcMar>
              <w:top w:w="0" w:type="dxa"/>
              <w:left w:w="38" w:type="dxa"/>
              <w:bottom w:w="0" w:type="dxa"/>
              <w:right w:w="38" w:type="dxa"/>
            </w:tcMar>
            <w:vAlign w:val="center"/>
          </w:tcPr>
          <w:p w14:paraId="129E672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深圳市腾讯睿投企业管理有限公司</w:t>
            </w:r>
          </w:p>
        </w:tc>
        <w:tc>
          <w:tcPr>
            <w:tcW w:w="1140" w:type="pct"/>
            <w:shd w:val="clear" w:color="auto" w:fill="FFFFFF"/>
            <w:tcMar>
              <w:top w:w="0" w:type="dxa"/>
              <w:left w:w="38" w:type="dxa"/>
              <w:bottom w:w="0" w:type="dxa"/>
              <w:right w:w="38" w:type="dxa"/>
            </w:tcMar>
            <w:vAlign w:val="center"/>
          </w:tcPr>
          <w:p w14:paraId="61E744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0402B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93AE7C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B5B1B8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w:t>
            </w:r>
          </w:p>
        </w:tc>
        <w:tc>
          <w:tcPr>
            <w:tcW w:w="1858" w:type="pct"/>
            <w:shd w:val="clear" w:color="auto" w:fill="FFFFFF"/>
            <w:tcMar>
              <w:top w:w="0" w:type="dxa"/>
              <w:left w:w="38" w:type="dxa"/>
              <w:bottom w:w="0" w:type="dxa"/>
              <w:right w:w="38" w:type="dxa"/>
            </w:tcMar>
            <w:vAlign w:val="center"/>
          </w:tcPr>
          <w:p w14:paraId="713CE5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深圳市藤绿企业管理合伙企业（有限合伙）</w:t>
            </w:r>
          </w:p>
        </w:tc>
        <w:tc>
          <w:tcPr>
            <w:tcW w:w="1140" w:type="pct"/>
            <w:shd w:val="clear" w:color="auto" w:fill="FFFFFF"/>
            <w:tcMar>
              <w:top w:w="0" w:type="dxa"/>
              <w:left w:w="38" w:type="dxa"/>
              <w:bottom w:w="0" w:type="dxa"/>
              <w:right w:w="38" w:type="dxa"/>
            </w:tcMar>
            <w:vAlign w:val="center"/>
          </w:tcPr>
          <w:p w14:paraId="4839CA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6C11FD9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64204B7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3DB31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w:t>
            </w:r>
          </w:p>
        </w:tc>
        <w:tc>
          <w:tcPr>
            <w:tcW w:w="1858" w:type="pct"/>
            <w:shd w:val="clear" w:color="auto" w:fill="FFFFFF"/>
            <w:tcMar>
              <w:top w:w="0" w:type="dxa"/>
              <w:left w:w="38" w:type="dxa"/>
              <w:bottom w:w="0" w:type="dxa"/>
              <w:right w:w="38" w:type="dxa"/>
            </w:tcMar>
            <w:vAlign w:val="center"/>
          </w:tcPr>
          <w:p w14:paraId="7B063A9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深圳市藤青企业管理有限公司</w:t>
            </w:r>
          </w:p>
        </w:tc>
        <w:tc>
          <w:tcPr>
            <w:tcW w:w="1140" w:type="pct"/>
            <w:shd w:val="clear" w:color="auto" w:fill="FFFFFF"/>
            <w:tcMar>
              <w:top w:w="0" w:type="dxa"/>
              <w:left w:w="38" w:type="dxa"/>
              <w:bottom w:w="0" w:type="dxa"/>
              <w:right w:w="38" w:type="dxa"/>
            </w:tcMar>
            <w:vAlign w:val="center"/>
          </w:tcPr>
          <w:p w14:paraId="3903675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52A021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B5273C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5FBA4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5-1-1-1-1-1</w:t>
            </w:r>
          </w:p>
        </w:tc>
        <w:tc>
          <w:tcPr>
            <w:tcW w:w="1858" w:type="pct"/>
            <w:shd w:val="clear" w:color="auto" w:fill="FFFFFF"/>
            <w:tcMar>
              <w:top w:w="0" w:type="dxa"/>
              <w:left w:w="38" w:type="dxa"/>
              <w:bottom w:w="0" w:type="dxa"/>
              <w:right w:w="38" w:type="dxa"/>
            </w:tcMar>
            <w:vAlign w:val="center"/>
          </w:tcPr>
          <w:p w14:paraId="61E7F8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马化腾</w:t>
            </w:r>
          </w:p>
        </w:tc>
        <w:tc>
          <w:tcPr>
            <w:tcW w:w="1140" w:type="pct"/>
            <w:shd w:val="clear" w:color="auto" w:fill="FFFFFF"/>
            <w:tcMar>
              <w:top w:w="0" w:type="dxa"/>
              <w:left w:w="38" w:type="dxa"/>
              <w:bottom w:w="0" w:type="dxa"/>
              <w:right w:w="38" w:type="dxa"/>
            </w:tcMar>
            <w:vAlign w:val="center"/>
          </w:tcPr>
          <w:p w14:paraId="1B4666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6C9EB3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AF858E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3073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5-1-1-1-1-2</w:t>
            </w:r>
          </w:p>
        </w:tc>
        <w:tc>
          <w:tcPr>
            <w:tcW w:w="1858" w:type="pct"/>
            <w:shd w:val="clear" w:color="auto" w:fill="FFFFFF"/>
            <w:tcMar>
              <w:top w:w="0" w:type="dxa"/>
              <w:left w:w="38" w:type="dxa"/>
              <w:bottom w:w="0" w:type="dxa"/>
              <w:right w:w="38" w:type="dxa"/>
            </w:tcMar>
            <w:vAlign w:val="center"/>
          </w:tcPr>
          <w:p w14:paraId="0EC930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40" w:type="pct"/>
            <w:shd w:val="clear" w:color="auto" w:fill="FFFFFF"/>
            <w:tcMar>
              <w:top w:w="0" w:type="dxa"/>
              <w:left w:w="38" w:type="dxa"/>
              <w:bottom w:w="0" w:type="dxa"/>
              <w:right w:w="38" w:type="dxa"/>
            </w:tcMar>
            <w:vAlign w:val="center"/>
          </w:tcPr>
          <w:p w14:paraId="5756B42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4494C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208E9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4788F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5-1-1-1-2</w:t>
            </w:r>
          </w:p>
        </w:tc>
        <w:tc>
          <w:tcPr>
            <w:tcW w:w="1858" w:type="pct"/>
            <w:shd w:val="clear" w:color="auto" w:fill="FFFFFF"/>
            <w:tcMar>
              <w:top w:w="0" w:type="dxa"/>
              <w:left w:w="38" w:type="dxa"/>
              <w:bottom w:w="0" w:type="dxa"/>
              <w:right w:w="38" w:type="dxa"/>
            </w:tcMar>
            <w:vAlign w:val="center"/>
          </w:tcPr>
          <w:p w14:paraId="4016E75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40" w:type="pct"/>
            <w:shd w:val="clear" w:color="auto" w:fill="FFFFFF"/>
            <w:tcMar>
              <w:top w:w="0" w:type="dxa"/>
              <w:left w:w="38" w:type="dxa"/>
              <w:bottom w:w="0" w:type="dxa"/>
              <w:right w:w="38" w:type="dxa"/>
            </w:tcMar>
            <w:vAlign w:val="center"/>
          </w:tcPr>
          <w:p w14:paraId="49B590A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557A47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60B0533"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F0ADC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5-1-1-1-3</w:t>
            </w:r>
          </w:p>
        </w:tc>
        <w:tc>
          <w:tcPr>
            <w:tcW w:w="1858" w:type="pct"/>
            <w:shd w:val="clear" w:color="auto" w:fill="FFFFFF"/>
            <w:tcMar>
              <w:top w:w="0" w:type="dxa"/>
              <w:left w:w="38" w:type="dxa"/>
              <w:bottom w:w="0" w:type="dxa"/>
              <w:right w:w="38" w:type="dxa"/>
            </w:tcMar>
            <w:vAlign w:val="center"/>
          </w:tcPr>
          <w:p w14:paraId="4EBBA85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卢山</w:t>
            </w:r>
          </w:p>
        </w:tc>
        <w:tc>
          <w:tcPr>
            <w:tcW w:w="1140" w:type="pct"/>
            <w:shd w:val="clear" w:color="auto" w:fill="FFFFFF"/>
            <w:tcMar>
              <w:top w:w="0" w:type="dxa"/>
              <w:left w:w="38" w:type="dxa"/>
              <w:bottom w:w="0" w:type="dxa"/>
              <w:right w:w="38" w:type="dxa"/>
            </w:tcMar>
            <w:vAlign w:val="center"/>
          </w:tcPr>
          <w:p w14:paraId="10362E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9AB91F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A0140B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FD33AE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w:t>
            </w:r>
          </w:p>
        </w:tc>
        <w:tc>
          <w:tcPr>
            <w:tcW w:w="1858" w:type="pct"/>
            <w:shd w:val="clear" w:color="auto" w:fill="FFFFFF"/>
            <w:tcMar>
              <w:top w:w="0" w:type="dxa"/>
              <w:left w:w="38" w:type="dxa"/>
              <w:bottom w:w="0" w:type="dxa"/>
              <w:right w:w="38" w:type="dxa"/>
            </w:tcMar>
            <w:vAlign w:val="center"/>
          </w:tcPr>
          <w:p w14:paraId="2587DE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深圳市藤远企业管理合伙企业（有限合伙）</w:t>
            </w:r>
          </w:p>
        </w:tc>
        <w:tc>
          <w:tcPr>
            <w:tcW w:w="1140" w:type="pct"/>
            <w:shd w:val="clear" w:color="auto" w:fill="FFFFFF"/>
            <w:tcMar>
              <w:top w:w="0" w:type="dxa"/>
              <w:left w:w="38" w:type="dxa"/>
              <w:bottom w:w="0" w:type="dxa"/>
              <w:right w:w="38" w:type="dxa"/>
            </w:tcMar>
            <w:vAlign w:val="center"/>
          </w:tcPr>
          <w:p w14:paraId="6861578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967B1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7CD5666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D1C1DB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w:t>
            </w:r>
          </w:p>
        </w:tc>
        <w:tc>
          <w:tcPr>
            <w:tcW w:w="1858" w:type="pct"/>
            <w:shd w:val="clear" w:color="auto" w:fill="FFFFFF"/>
            <w:tcMar>
              <w:top w:w="0" w:type="dxa"/>
              <w:left w:w="38" w:type="dxa"/>
              <w:bottom w:w="0" w:type="dxa"/>
              <w:right w:w="38" w:type="dxa"/>
            </w:tcMar>
            <w:vAlign w:val="center"/>
          </w:tcPr>
          <w:p w14:paraId="7AACFDF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深圳市藤青企业管理有限公司</w:t>
            </w:r>
          </w:p>
        </w:tc>
        <w:tc>
          <w:tcPr>
            <w:tcW w:w="1140" w:type="pct"/>
            <w:shd w:val="clear" w:color="auto" w:fill="FFFFFF"/>
            <w:tcMar>
              <w:top w:w="0" w:type="dxa"/>
              <w:left w:w="38" w:type="dxa"/>
              <w:bottom w:w="0" w:type="dxa"/>
              <w:right w:w="38" w:type="dxa"/>
            </w:tcMar>
            <w:vAlign w:val="center"/>
          </w:tcPr>
          <w:p w14:paraId="59991D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621C90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2D9CA36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1C617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5-1-1-2-1-1</w:t>
            </w:r>
          </w:p>
        </w:tc>
        <w:tc>
          <w:tcPr>
            <w:tcW w:w="1858" w:type="pct"/>
            <w:shd w:val="clear" w:color="auto" w:fill="FFFFFF"/>
            <w:tcMar>
              <w:top w:w="0" w:type="dxa"/>
              <w:left w:w="38" w:type="dxa"/>
              <w:bottom w:w="0" w:type="dxa"/>
              <w:right w:w="38" w:type="dxa"/>
            </w:tcMar>
            <w:vAlign w:val="center"/>
          </w:tcPr>
          <w:p w14:paraId="477D3E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马化腾</w:t>
            </w:r>
          </w:p>
        </w:tc>
        <w:tc>
          <w:tcPr>
            <w:tcW w:w="1140" w:type="pct"/>
            <w:shd w:val="clear" w:color="auto" w:fill="FFFFFF"/>
            <w:tcMar>
              <w:top w:w="0" w:type="dxa"/>
              <w:left w:w="38" w:type="dxa"/>
              <w:bottom w:w="0" w:type="dxa"/>
              <w:right w:w="38" w:type="dxa"/>
            </w:tcMar>
            <w:vAlign w:val="center"/>
          </w:tcPr>
          <w:p w14:paraId="2AE33E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6AE9FD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081546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D3560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5-1-1-2-1-2</w:t>
            </w:r>
          </w:p>
        </w:tc>
        <w:tc>
          <w:tcPr>
            <w:tcW w:w="1858" w:type="pct"/>
            <w:shd w:val="clear" w:color="auto" w:fill="FFFFFF"/>
            <w:tcMar>
              <w:top w:w="0" w:type="dxa"/>
              <w:left w:w="38" w:type="dxa"/>
              <w:bottom w:w="0" w:type="dxa"/>
              <w:right w:w="38" w:type="dxa"/>
            </w:tcMar>
            <w:vAlign w:val="center"/>
          </w:tcPr>
          <w:p w14:paraId="33B7ED0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40" w:type="pct"/>
            <w:shd w:val="clear" w:color="auto" w:fill="FFFFFF"/>
            <w:tcMar>
              <w:top w:w="0" w:type="dxa"/>
              <w:left w:w="38" w:type="dxa"/>
              <w:bottom w:w="0" w:type="dxa"/>
              <w:right w:w="38" w:type="dxa"/>
            </w:tcMar>
            <w:vAlign w:val="center"/>
          </w:tcPr>
          <w:p w14:paraId="320BF1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F41F5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E60A34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C90EE8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5-1-1-2-2</w:t>
            </w:r>
          </w:p>
        </w:tc>
        <w:tc>
          <w:tcPr>
            <w:tcW w:w="1858" w:type="pct"/>
            <w:shd w:val="clear" w:color="auto" w:fill="FFFFFF"/>
            <w:tcMar>
              <w:top w:w="0" w:type="dxa"/>
              <w:left w:w="38" w:type="dxa"/>
              <w:bottom w:w="0" w:type="dxa"/>
              <w:right w:w="38" w:type="dxa"/>
            </w:tcMar>
            <w:vAlign w:val="center"/>
          </w:tcPr>
          <w:p w14:paraId="4F1C9B5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40" w:type="pct"/>
            <w:shd w:val="clear" w:color="auto" w:fill="FFFFFF"/>
            <w:tcMar>
              <w:top w:w="0" w:type="dxa"/>
              <w:left w:w="38" w:type="dxa"/>
              <w:bottom w:w="0" w:type="dxa"/>
              <w:right w:w="38" w:type="dxa"/>
            </w:tcMar>
            <w:vAlign w:val="center"/>
          </w:tcPr>
          <w:p w14:paraId="177F7B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0B36CC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61A793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C6488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5-1-1-2-3</w:t>
            </w:r>
          </w:p>
        </w:tc>
        <w:tc>
          <w:tcPr>
            <w:tcW w:w="1858" w:type="pct"/>
            <w:shd w:val="clear" w:color="auto" w:fill="FFFFFF"/>
            <w:tcMar>
              <w:top w:w="0" w:type="dxa"/>
              <w:left w:w="38" w:type="dxa"/>
              <w:bottom w:w="0" w:type="dxa"/>
              <w:right w:w="38" w:type="dxa"/>
            </w:tcMar>
            <w:vAlign w:val="center"/>
          </w:tcPr>
          <w:p w14:paraId="67E3C80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卢山</w:t>
            </w:r>
          </w:p>
        </w:tc>
        <w:tc>
          <w:tcPr>
            <w:tcW w:w="1140" w:type="pct"/>
            <w:shd w:val="clear" w:color="auto" w:fill="FFFFFF"/>
            <w:tcMar>
              <w:top w:w="0" w:type="dxa"/>
              <w:left w:w="38" w:type="dxa"/>
              <w:bottom w:w="0" w:type="dxa"/>
              <w:right w:w="38" w:type="dxa"/>
            </w:tcMar>
            <w:vAlign w:val="center"/>
          </w:tcPr>
          <w:p w14:paraId="287E6A1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4B81C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6BFC05D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0AA26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6</w:t>
            </w:r>
          </w:p>
        </w:tc>
        <w:tc>
          <w:tcPr>
            <w:tcW w:w="1858" w:type="pct"/>
            <w:shd w:val="clear" w:color="auto" w:fill="FFFFFF"/>
            <w:tcMar>
              <w:top w:w="0" w:type="dxa"/>
              <w:left w:w="38" w:type="dxa"/>
              <w:bottom w:w="0" w:type="dxa"/>
              <w:right w:w="38" w:type="dxa"/>
            </w:tcMar>
            <w:vAlign w:val="center"/>
          </w:tcPr>
          <w:p w14:paraId="4A81A09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璀璨远见</w:t>
            </w:r>
          </w:p>
        </w:tc>
        <w:tc>
          <w:tcPr>
            <w:tcW w:w="1140" w:type="pct"/>
            <w:shd w:val="clear" w:color="auto" w:fill="FFFFFF"/>
            <w:tcMar>
              <w:top w:w="0" w:type="dxa"/>
              <w:left w:w="38" w:type="dxa"/>
              <w:bottom w:w="0" w:type="dxa"/>
              <w:right w:w="38" w:type="dxa"/>
            </w:tcMar>
            <w:vAlign w:val="center"/>
          </w:tcPr>
          <w:p w14:paraId="69FB07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E5B348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792A582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E7A37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w:t>
            </w:r>
          </w:p>
        </w:tc>
        <w:tc>
          <w:tcPr>
            <w:tcW w:w="1858" w:type="pct"/>
            <w:shd w:val="clear" w:color="auto" w:fill="FFFFFF"/>
            <w:tcMar>
              <w:top w:w="0" w:type="dxa"/>
              <w:left w:w="38" w:type="dxa"/>
              <w:bottom w:w="0" w:type="dxa"/>
              <w:right w:w="38" w:type="dxa"/>
            </w:tcMar>
            <w:vAlign w:val="center"/>
          </w:tcPr>
          <w:p w14:paraId="71AFC3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乐熙熙</w:t>
            </w:r>
          </w:p>
        </w:tc>
        <w:tc>
          <w:tcPr>
            <w:tcW w:w="1140" w:type="pct"/>
            <w:shd w:val="clear" w:color="auto" w:fill="FFFFFF"/>
            <w:tcMar>
              <w:top w:w="0" w:type="dxa"/>
              <w:left w:w="38" w:type="dxa"/>
              <w:bottom w:w="0" w:type="dxa"/>
              <w:right w:w="38" w:type="dxa"/>
            </w:tcMar>
            <w:vAlign w:val="center"/>
          </w:tcPr>
          <w:p w14:paraId="7EF75F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328A40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3790FC5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885548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w:t>
            </w:r>
          </w:p>
        </w:tc>
        <w:tc>
          <w:tcPr>
            <w:tcW w:w="1858" w:type="pct"/>
            <w:shd w:val="clear" w:color="auto" w:fill="FFFFFF"/>
            <w:tcMar>
              <w:top w:w="0" w:type="dxa"/>
              <w:left w:w="38" w:type="dxa"/>
              <w:bottom w:w="0" w:type="dxa"/>
              <w:right w:w="38" w:type="dxa"/>
            </w:tcMar>
            <w:vAlign w:val="center"/>
          </w:tcPr>
          <w:p w14:paraId="5E093A2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陈伟镇</w:t>
            </w:r>
          </w:p>
        </w:tc>
        <w:tc>
          <w:tcPr>
            <w:tcW w:w="1140" w:type="pct"/>
            <w:shd w:val="clear" w:color="auto" w:fill="FFFFFF"/>
            <w:tcMar>
              <w:top w:w="0" w:type="dxa"/>
              <w:left w:w="38" w:type="dxa"/>
              <w:bottom w:w="0" w:type="dxa"/>
              <w:right w:w="38" w:type="dxa"/>
            </w:tcMar>
            <w:vAlign w:val="center"/>
          </w:tcPr>
          <w:p w14:paraId="2307D17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DFB95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23EF577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02E7F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w:t>
            </w:r>
          </w:p>
        </w:tc>
        <w:tc>
          <w:tcPr>
            <w:tcW w:w="1858" w:type="pct"/>
            <w:shd w:val="clear" w:color="auto" w:fill="FFFFFF"/>
            <w:tcMar>
              <w:top w:w="0" w:type="dxa"/>
              <w:left w:w="38" w:type="dxa"/>
              <w:bottom w:w="0" w:type="dxa"/>
              <w:right w:w="38" w:type="dxa"/>
            </w:tcMar>
            <w:vAlign w:val="center"/>
          </w:tcPr>
          <w:p w14:paraId="22D5E4E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李祥坤</w:t>
            </w:r>
          </w:p>
        </w:tc>
        <w:tc>
          <w:tcPr>
            <w:tcW w:w="1140" w:type="pct"/>
            <w:shd w:val="clear" w:color="auto" w:fill="FFFFFF"/>
            <w:tcMar>
              <w:top w:w="0" w:type="dxa"/>
              <w:left w:w="38" w:type="dxa"/>
              <w:bottom w:w="0" w:type="dxa"/>
              <w:right w:w="38" w:type="dxa"/>
            </w:tcMar>
            <w:vAlign w:val="center"/>
          </w:tcPr>
          <w:p w14:paraId="02BAE2B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69818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1BA625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FFC21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lastRenderedPageBreak/>
              <w:t>7-3</w:t>
            </w:r>
          </w:p>
        </w:tc>
        <w:tc>
          <w:tcPr>
            <w:tcW w:w="1858" w:type="pct"/>
            <w:shd w:val="clear" w:color="auto" w:fill="FFFFFF"/>
            <w:tcMar>
              <w:top w:w="0" w:type="dxa"/>
              <w:left w:w="38" w:type="dxa"/>
              <w:bottom w:w="0" w:type="dxa"/>
              <w:right w:w="38" w:type="dxa"/>
            </w:tcMar>
            <w:vAlign w:val="center"/>
          </w:tcPr>
          <w:p w14:paraId="768F330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张超</w:t>
            </w:r>
          </w:p>
        </w:tc>
        <w:tc>
          <w:tcPr>
            <w:tcW w:w="1140" w:type="pct"/>
            <w:shd w:val="clear" w:color="auto" w:fill="FFFFFF"/>
            <w:tcMar>
              <w:top w:w="0" w:type="dxa"/>
              <w:left w:w="38" w:type="dxa"/>
              <w:bottom w:w="0" w:type="dxa"/>
              <w:right w:w="38" w:type="dxa"/>
            </w:tcMar>
            <w:vAlign w:val="center"/>
          </w:tcPr>
          <w:p w14:paraId="6EA6213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654E3F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A54665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65C1E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7-4</w:t>
            </w:r>
          </w:p>
        </w:tc>
        <w:tc>
          <w:tcPr>
            <w:tcW w:w="1858" w:type="pct"/>
            <w:shd w:val="clear" w:color="auto" w:fill="FFFFFF"/>
            <w:tcMar>
              <w:top w:w="0" w:type="dxa"/>
              <w:left w:w="38" w:type="dxa"/>
              <w:bottom w:w="0" w:type="dxa"/>
              <w:right w:w="38" w:type="dxa"/>
            </w:tcMar>
            <w:vAlign w:val="center"/>
          </w:tcPr>
          <w:p w14:paraId="271DB9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曾小连</w:t>
            </w:r>
          </w:p>
        </w:tc>
        <w:tc>
          <w:tcPr>
            <w:tcW w:w="1140" w:type="pct"/>
            <w:shd w:val="clear" w:color="auto" w:fill="FFFFFF"/>
            <w:tcMar>
              <w:top w:w="0" w:type="dxa"/>
              <w:left w:w="38" w:type="dxa"/>
              <w:bottom w:w="0" w:type="dxa"/>
              <w:right w:w="38" w:type="dxa"/>
            </w:tcMar>
            <w:vAlign w:val="center"/>
          </w:tcPr>
          <w:p w14:paraId="3A5901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3A133F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410C03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2E649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7-5</w:t>
            </w:r>
          </w:p>
        </w:tc>
        <w:tc>
          <w:tcPr>
            <w:tcW w:w="1858" w:type="pct"/>
            <w:shd w:val="clear" w:color="auto" w:fill="FFFFFF"/>
            <w:tcMar>
              <w:top w:w="0" w:type="dxa"/>
              <w:left w:w="38" w:type="dxa"/>
              <w:bottom w:w="0" w:type="dxa"/>
              <w:right w:w="38" w:type="dxa"/>
            </w:tcMar>
            <w:vAlign w:val="center"/>
          </w:tcPr>
          <w:p w14:paraId="07AB356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何杰毅</w:t>
            </w:r>
          </w:p>
        </w:tc>
        <w:tc>
          <w:tcPr>
            <w:tcW w:w="1140" w:type="pct"/>
            <w:shd w:val="clear" w:color="auto" w:fill="FFFFFF"/>
            <w:tcMar>
              <w:top w:w="0" w:type="dxa"/>
              <w:left w:w="38" w:type="dxa"/>
              <w:bottom w:w="0" w:type="dxa"/>
              <w:right w:w="38" w:type="dxa"/>
            </w:tcMar>
            <w:vAlign w:val="center"/>
          </w:tcPr>
          <w:p w14:paraId="4E2BFC0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8710D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9A2732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1AADE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7-6</w:t>
            </w:r>
          </w:p>
        </w:tc>
        <w:tc>
          <w:tcPr>
            <w:tcW w:w="1858" w:type="pct"/>
            <w:shd w:val="clear" w:color="auto" w:fill="FFFFFF"/>
            <w:tcMar>
              <w:top w:w="0" w:type="dxa"/>
              <w:left w:w="38" w:type="dxa"/>
              <w:bottom w:w="0" w:type="dxa"/>
              <w:right w:w="38" w:type="dxa"/>
            </w:tcMar>
            <w:vAlign w:val="center"/>
          </w:tcPr>
          <w:p w14:paraId="5314FA6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刘名敏</w:t>
            </w:r>
          </w:p>
        </w:tc>
        <w:tc>
          <w:tcPr>
            <w:tcW w:w="1140" w:type="pct"/>
            <w:shd w:val="clear" w:color="auto" w:fill="FFFFFF"/>
            <w:tcMar>
              <w:top w:w="0" w:type="dxa"/>
              <w:left w:w="38" w:type="dxa"/>
              <w:bottom w:w="0" w:type="dxa"/>
              <w:right w:w="38" w:type="dxa"/>
            </w:tcMar>
            <w:vAlign w:val="center"/>
          </w:tcPr>
          <w:p w14:paraId="66D61F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F80575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5317D4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8295A6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7-7</w:t>
            </w:r>
          </w:p>
        </w:tc>
        <w:tc>
          <w:tcPr>
            <w:tcW w:w="1858" w:type="pct"/>
            <w:shd w:val="clear" w:color="auto" w:fill="FFFFFF"/>
            <w:tcMar>
              <w:top w:w="0" w:type="dxa"/>
              <w:left w:w="38" w:type="dxa"/>
              <w:bottom w:w="0" w:type="dxa"/>
              <w:right w:w="38" w:type="dxa"/>
            </w:tcMar>
            <w:vAlign w:val="center"/>
          </w:tcPr>
          <w:p w14:paraId="557D8E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陈腾蛟</w:t>
            </w:r>
          </w:p>
        </w:tc>
        <w:tc>
          <w:tcPr>
            <w:tcW w:w="1140" w:type="pct"/>
            <w:shd w:val="clear" w:color="auto" w:fill="FFFFFF"/>
            <w:tcMar>
              <w:top w:w="0" w:type="dxa"/>
              <w:left w:w="38" w:type="dxa"/>
              <w:bottom w:w="0" w:type="dxa"/>
              <w:right w:w="38" w:type="dxa"/>
            </w:tcMar>
            <w:vAlign w:val="center"/>
          </w:tcPr>
          <w:p w14:paraId="4CCC40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2D58A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EF330C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69F9A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7-8</w:t>
            </w:r>
          </w:p>
        </w:tc>
        <w:tc>
          <w:tcPr>
            <w:tcW w:w="1858" w:type="pct"/>
            <w:shd w:val="clear" w:color="auto" w:fill="FFFFFF"/>
            <w:tcMar>
              <w:top w:w="0" w:type="dxa"/>
              <w:left w:w="38" w:type="dxa"/>
              <w:bottom w:w="0" w:type="dxa"/>
              <w:right w:w="38" w:type="dxa"/>
            </w:tcMar>
            <w:vAlign w:val="center"/>
          </w:tcPr>
          <w:p w14:paraId="23F44A0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周修亮</w:t>
            </w:r>
          </w:p>
        </w:tc>
        <w:tc>
          <w:tcPr>
            <w:tcW w:w="1140" w:type="pct"/>
            <w:shd w:val="clear" w:color="auto" w:fill="FFFFFF"/>
            <w:tcMar>
              <w:top w:w="0" w:type="dxa"/>
              <w:left w:w="38" w:type="dxa"/>
              <w:bottom w:w="0" w:type="dxa"/>
              <w:right w:w="38" w:type="dxa"/>
            </w:tcMar>
            <w:vAlign w:val="center"/>
          </w:tcPr>
          <w:p w14:paraId="6DC991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8D6AE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3CF153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2A285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7-9</w:t>
            </w:r>
          </w:p>
        </w:tc>
        <w:tc>
          <w:tcPr>
            <w:tcW w:w="1858" w:type="pct"/>
            <w:shd w:val="clear" w:color="auto" w:fill="FFFFFF"/>
            <w:tcMar>
              <w:top w:w="0" w:type="dxa"/>
              <w:left w:w="38" w:type="dxa"/>
              <w:bottom w:w="0" w:type="dxa"/>
              <w:right w:w="38" w:type="dxa"/>
            </w:tcMar>
            <w:vAlign w:val="center"/>
          </w:tcPr>
          <w:p w14:paraId="4FD53AD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刘天雄</w:t>
            </w:r>
          </w:p>
        </w:tc>
        <w:tc>
          <w:tcPr>
            <w:tcW w:w="1140" w:type="pct"/>
            <w:shd w:val="clear" w:color="auto" w:fill="FFFFFF"/>
            <w:tcMar>
              <w:top w:w="0" w:type="dxa"/>
              <w:left w:w="38" w:type="dxa"/>
              <w:bottom w:w="0" w:type="dxa"/>
              <w:right w:w="38" w:type="dxa"/>
            </w:tcMar>
            <w:vAlign w:val="center"/>
          </w:tcPr>
          <w:p w14:paraId="4240701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D196F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AA7366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A6CD2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7-10</w:t>
            </w:r>
          </w:p>
        </w:tc>
        <w:tc>
          <w:tcPr>
            <w:tcW w:w="1858" w:type="pct"/>
            <w:shd w:val="clear" w:color="auto" w:fill="FFFFFF"/>
            <w:tcMar>
              <w:top w:w="0" w:type="dxa"/>
              <w:left w:w="38" w:type="dxa"/>
              <w:bottom w:w="0" w:type="dxa"/>
              <w:right w:w="38" w:type="dxa"/>
            </w:tcMar>
            <w:vAlign w:val="center"/>
          </w:tcPr>
          <w:p w14:paraId="0BC8700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谢岳生</w:t>
            </w:r>
          </w:p>
        </w:tc>
        <w:tc>
          <w:tcPr>
            <w:tcW w:w="1140" w:type="pct"/>
            <w:shd w:val="clear" w:color="auto" w:fill="FFFFFF"/>
            <w:tcMar>
              <w:top w:w="0" w:type="dxa"/>
              <w:left w:w="38" w:type="dxa"/>
              <w:bottom w:w="0" w:type="dxa"/>
              <w:right w:w="38" w:type="dxa"/>
            </w:tcMar>
            <w:vAlign w:val="center"/>
          </w:tcPr>
          <w:p w14:paraId="237E884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83F97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737C3E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BDDD5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7-11</w:t>
            </w:r>
          </w:p>
        </w:tc>
        <w:tc>
          <w:tcPr>
            <w:tcW w:w="1858" w:type="pct"/>
            <w:shd w:val="clear" w:color="auto" w:fill="FFFFFF"/>
            <w:tcMar>
              <w:top w:w="0" w:type="dxa"/>
              <w:left w:w="38" w:type="dxa"/>
              <w:bottom w:w="0" w:type="dxa"/>
              <w:right w:w="38" w:type="dxa"/>
            </w:tcMar>
            <w:vAlign w:val="center"/>
          </w:tcPr>
          <w:p w14:paraId="5850595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曾琪贺</w:t>
            </w:r>
          </w:p>
        </w:tc>
        <w:tc>
          <w:tcPr>
            <w:tcW w:w="1140" w:type="pct"/>
            <w:shd w:val="clear" w:color="auto" w:fill="FFFFFF"/>
            <w:tcMar>
              <w:top w:w="0" w:type="dxa"/>
              <w:left w:w="38" w:type="dxa"/>
              <w:bottom w:w="0" w:type="dxa"/>
              <w:right w:w="38" w:type="dxa"/>
            </w:tcMar>
            <w:vAlign w:val="center"/>
          </w:tcPr>
          <w:p w14:paraId="1D80035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30C3A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F76124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16346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7-12</w:t>
            </w:r>
          </w:p>
        </w:tc>
        <w:tc>
          <w:tcPr>
            <w:tcW w:w="1858" w:type="pct"/>
            <w:shd w:val="clear" w:color="auto" w:fill="FFFFFF"/>
            <w:tcMar>
              <w:top w:w="0" w:type="dxa"/>
              <w:left w:w="38" w:type="dxa"/>
              <w:bottom w:w="0" w:type="dxa"/>
              <w:right w:w="38" w:type="dxa"/>
            </w:tcMar>
            <w:vAlign w:val="center"/>
          </w:tcPr>
          <w:p w14:paraId="6883C92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邓菊芬</w:t>
            </w:r>
          </w:p>
        </w:tc>
        <w:tc>
          <w:tcPr>
            <w:tcW w:w="1140" w:type="pct"/>
            <w:shd w:val="clear" w:color="auto" w:fill="FFFFFF"/>
            <w:tcMar>
              <w:top w:w="0" w:type="dxa"/>
              <w:left w:w="38" w:type="dxa"/>
              <w:bottom w:w="0" w:type="dxa"/>
              <w:right w:w="38" w:type="dxa"/>
            </w:tcMar>
            <w:vAlign w:val="center"/>
          </w:tcPr>
          <w:p w14:paraId="22C8A1E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5F6FD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34F2A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FA805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7-13</w:t>
            </w:r>
          </w:p>
        </w:tc>
        <w:tc>
          <w:tcPr>
            <w:tcW w:w="1858" w:type="pct"/>
            <w:shd w:val="clear" w:color="auto" w:fill="FFFFFF"/>
            <w:tcMar>
              <w:top w:w="0" w:type="dxa"/>
              <w:left w:w="38" w:type="dxa"/>
              <w:bottom w:w="0" w:type="dxa"/>
              <w:right w:w="38" w:type="dxa"/>
            </w:tcMar>
            <w:vAlign w:val="center"/>
          </w:tcPr>
          <w:p w14:paraId="0BE6476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余李娜</w:t>
            </w:r>
          </w:p>
        </w:tc>
        <w:tc>
          <w:tcPr>
            <w:tcW w:w="1140" w:type="pct"/>
            <w:shd w:val="clear" w:color="auto" w:fill="FFFFFF"/>
            <w:tcMar>
              <w:top w:w="0" w:type="dxa"/>
              <w:left w:w="38" w:type="dxa"/>
              <w:bottom w:w="0" w:type="dxa"/>
              <w:right w:w="38" w:type="dxa"/>
            </w:tcMar>
            <w:vAlign w:val="center"/>
          </w:tcPr>
          <w:p w14:paraId="1C4EE5F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9D9AF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7FEC07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D4E18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7-14</w:t>
            </w:r>
          </w:p>
        </w:tc>
        <w:tc>
          <w:tcPr>
            <w:tcW w:w="1858" w:type="pct"/>
            <w:shd w:val="clear" w:color="auto" w:fill="FFFFFF"/>
            <w:tcMar>
              <w:top w:w="0" w:type="dxa"/>
              <w:left w:w="38" w:type="dxa"/>
              <w:bottom w:w="0" w:type="dxa"/>
              <w:right w:w="38" w:type="dxa"/>
            </w:tcMar>
            <w:vAlign w:val="center"/>
          </w:tcPr>
          <w:p w14:paraId="780C286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邓斌</w:t>
            </w:r>
          </w:p>
        </w:tc>
        <w:tc>
          <w:tcPr>
            <w:tcW w:w="1140" w:type="pct"/>
            <w:shd w:val="clear" w:color="auto" w:fill="FFFFFF"/>
            <w:tcMar>
              <w:top w:w="0" w:type="dxa"/>
              <w:left w:w="38" w:type="dxa"/>
              <w:bottom w:w="0" w:type="dxa"/>
              <w:right w:w="38" w:type="dxa"/>
            </w:tcMar>
            <w:vAlign w:val="center"/>
          </w:tcPr>
          <w:p w14:paraId="0576B53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61393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8FDA8A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32A1F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7-15</w:t>
            </w:r>
          </w:p>
        </w:tc>
        <w:tc>
          <w:tcPr>
            <w:tcW w:w="1858" w:type="pct"/>
            <w:shd w:val="clear" w:color="auto" w:fill="FFFFFF"/>
            <w:tcMar>
              <w:top w:w="0" w:type="dxa"/>
              <w:left w:w="38" w:type="dxa"/>
              <w:bottom w:w="0" w:type="dxa"/>
              <w:right w:w="38" w:type="dxa"/>
            </w:tcMar>
            <w:vAlign w:val="center"/>
          </w:tcPr>
          <w:p w14:paraId="32185FC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朱国强</w:t>
            </w:r>
          </w:p>
        </w:tc>
        <w:tc>
          <w:tcPr>
            <w:tcW w:w="1140" w:type="pct"/>
            <w:shd w:val="clear" w:color="auto" w:fill="FFFFFF"/>
            <w:tcMar>
              <w:top w:w="0" w:type="dxa"/>
              <w:left w:w="38" w:type="dxa"/>
              <w:bottom w:w="0" w:type="dxa"/>
              <w:right w:w="38" w:type="dxa"/>
            </w:tcMar>
            <w:vAlign w:val="center"/>
          </w:tcPr>
          <w:p w14:paraId="6C1F3F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5D860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D4FAA1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63C63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7-16</w:t>
            </w:r>
          </w:p>
        </w:tc>
        <w:tc>
          <w:tcPr>
            <w:tcW w:w="1858" w:type="pct"/>
            <w:shd w:val="clear" w:color="auto" w:fill="FFFFFF"/>
            <w:tcMar>
              <w:top w:w="0" w:type="dxa"/>
              <w:left w:w="38" w:type="dxa"/>
              <w:bottom w:w="0" w:type="dxa"/>
              <w:right w:w="38" w:type="dxa"/>
            </w:tcMar>
            <w:vAlign w:val="center"/>
          </w:tcPr>
          <w:p w14:paraId="25C660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曾嘉宇</w:t>
            </w:r>
          </w:p>
        </w:tc>
        <w:tc>
          <w:tcPr>
            <w:tcW w:w="1140" w:type="pct"/>
            <w:shd w:val="clear" w:color="auto" w:fill="FFFFFF"/>
            <w:tcMar>
              <w:top w:w="0" w:type="dxa"/>
              <w:left w:w="38" w:type="dxa"/>
              <w:bottom w:w="0" w:type="dxa"/>
              <w:right w:w="38" w:type="dxa"/>
            </w:tcMar>
            <w:vAlign w:val="center"/>
          </w:tcPr>
          <w:p w14:paraId="466DAF4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8EB13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0B95C3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43D14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7-17</w:t>
            </w:r>
          </w:p>
        </w:tc>
        <w:tc>
          <w:tcPr>
            <w:tcW w:w="1858" w:type="pct"/>
            <w:shd w:val="clear" w:color="auto" w:fill="FFFFFF"/>
            <w:tcMar>
              <w:top w:w="0" w:type="dxa"/>
              <w:left w:w="38" w:type="dxa"/>
              <w:bottom w:w="0" w:type="dxa"/>
              <w:right w:w="38" w:type="dxa"/>
            </w:tcMar>
            <w:vAlign w:val="center"/>
          </w:tcPr>
          <w:p w14:paraId="56535A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徐影</w:t>
            </w:r>
          </w:p>
        </w:tc>
        <w:tc>
          <w:tcPr>
            <w:tcW w:w="1140" w:type="pct"/>
            <w:shd w:val="clear" w:color="auto" w:fill="FFFFFF"/>
            <w:tcMar>
              <w:top w:w="0" w:type="dxa"/>
              <w:left w:w="38" w:type="dxa"/>
              <w:bottom w:w="0" w:type="dxa"/>
              <w:right w:w="38" w:type="dxa"/>
            </w:tcMar>
            <w:vAlign w:val="center"/>
          </w:tcPr>
          <w:p w14:paraId="56C4E26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A2D8E4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35F9B0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212A8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7-18</w:t>
            </w:r>
          </w:p>
        </w:tc>
        <w:tc>
          <w:tcPr>
            <w:tcW w:w="1858" w:type="pct"/>
            <w:shd w:val="clear" w:color="auto" w:fill="FFFFFF"/>
            <w:tcMar>
              <w:top w:w="0" w:type="dxa"/>
              <w:left w:w="38" w:type="dxa"/>
              <w:bottom w:w="0" w:type="dxa"/>
              <w:right w:w="38" w:type="dxa"/>
            </w:tcMar>
            <w:vAlign w:val="center"/>
          </w:tcPr>
          <w:p w14:paraId="20D45BA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朱锦艳</w:t>
            </w:r>
          </w:p>
        </w:tc>
        <w:tc>
          <w:tcPr>
            <w:tcW w:w="1140" w:type="pct"/>
            <w:shd w:val="clear" w:color="auto" w:fill="FFFFFF"/>
            <w:tcMar>
              <w:top w:w="0" w:type="dxa"/>
              <w:left w:w="38" w:type="dxa"/>
              <w:bottom w:w="0" w:type="dxa"/>
              <w:right w:w="38" w:type="dxa"/>
            </w:tcMar>
            <w:vAlign w:val="center"/>
          </w:tcPr>
          <w:p w14:paraId="0DCBF6E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4CBA4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AC71D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5CAF4C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7-19</w:t>
            </w:r>
          </w:p>
        </w:tc>
        <w:tc>
          <w:tcPr>
            <w:tcW w:w="1858" w:type="pct"/>
            <w:shd w:val="clear" w:color="auto" w:fill="FFFFFF"/>
            <w:tcMar>
              <w:top w:w="0" w:type="dxa"/>
              <w:left w:w="38" w:type="dxa"/>
              <w:bottom w:w="0" w:type="dxa"/>
              <w:right w:w="38" w:type="dxa"/>
            </w:tcMar>
            <w:vAlign w:val="center"/>
          </w:tcPr>
          <w:p w14:paraId="461DF1D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许伟杰</w:t>
            </w:r>
          </w:p>
        </w:tc>
        <w:tc>
          <w:tcPr>
            <w:tcW w:w="1140" w:type="pct"/>
            <w:shd w:val="clear" w:color="auto" w:fill="FFFFFF"/>
            <w:tcMar>
              <w:top w:w="0" w:type="dxa"/>
              <w:left w:w="38" w:type="dxa"/>
              <w:bottom w:w="0" w:type="dxa"/>
              <w:right w:w="38" w:type="dxa"/>
            </w:tcMar>
            <w:vAlign w:val="center"/>
          </w:tcPr>
          <w:p w14:paraId="05D322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FF031A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B01F98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E97E6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7-20</w:t>
            </w:r>
          </w:p>
        </w:tc>
        <w:tc>
          <w:tcPr>
            <w:tcW w:w="1858" w:type="pct"/>
            <w:shd w:val="clear" w:color="auto" w:fill="FFFFFF"/>
            <w:tcMar>
              <w:top w:w="0" w:type="dxa"/>
              <w:left w:w="38" w:type="dxa"/>
              <w:bottom w:w="0" w:type="dxa"/>
              <w:right w:w="38" w:type="dxa"/>
            </w:tcMar>
            <w:vAlign w:val="center"/>
          </w:tcPr>
          <w:p w14:paraId="347C1C9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陈伟健</w:t>
            </w:r>
          </w:p>
        </w:tc>
        <w:tc>
          <w:tcPr>
            <w:tcW w:w="1140" w:type="pct"/>
            <w:shd w:val="clear" w:color="auto" w:fill="FFFFFF"/>
            <w:tcMar>
              <w:top w:w="0" w:type="dxa"/>
              <w:left w:w="38" w:type="dxa"/>
              <w:bottom w:w="0" w:type="dxa"/>
              <w:right w:w="38" w:type="dxa"/>
            </w:tcMar>
            <w:vAlign w:val="center"/>
          </w:tcPr>
          <w:p w14:paraId="186148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735EE4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EBA144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5CE4F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7-21</w:t>
            </w:r>
          </w:p>
        </w:tc>
        <w:tc>
          <w:tcPr>
            <w:tcW w:w="1858" w:type="pct"/>
            <w:shd w:val="clear" w:color="auto" w:fill="FFFFFF"/>
            <w:tcMar>
              <w:top w:w="0" w:type="dxa"/>
              <w:left w:w="38" w:type="dxa"/>
              <w:bottom w:w="0" w:type="dxa"/>
              <w:right w:w="38" w:type="dxa"/>
            </w:tcMar>
            <w:vAlign w:val="center"/>
          </w:tcPr>
          <w:p w14:paraId="46C1BA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陈晓淳</w:t>
            </w:r>
          </w:p>
        </w:tc>
        <w:tc>
          <w:tcPr>
            <w:tcW w:w="1140" w:type="pct"/>
            <w:shd w:val="clear" w:color="auto" w:fill="FFFFFF"/>
            <w:tcMar>
              <w:top w:w="0" w:type="dxa"/>
              <w:left w:w="38" w:type="dxa"/>
              <w:bottom w:w="0" w:type="dxa"/>
              <w:right w:w="38" w:type="dxa"/>
            </w:tcMar>
            <w:vAlign w:val="center"/>
          </w:tcPr>
          <w:p w14:paraId="110AC8E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5CB2E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0C586C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3A8EF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7-22</w:t>
            </w:r>
          </w:p>
        </w:tc>
        <w:tc>
          <w:tcPr>
            <w:tcW w:w="1858" w:type="pct"/>
            <w:shd w:val="clear" w:color="auto" w:fill="FFFFFF"/>
            <w:tcMar>
              <w:top w:w="0" w:type="dxa"/>
              <w:left w:w="38" w:type="dxa"/>
              <w:bottom w:w="0" w:type="dxa"/>
              <w:right w:w="38" w:type="dxa"/>
            </w:tcMar>
            <w:vAlign w:val="center"/>
          </w:tcPr>
          <w:p w14:paraId="02F8666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何华文</w:t>
            </w:r>
          </w:p>
        </w:tc>
        <w:tc>
          <w:tcPr>
            <w:tcW w:w="1140" w:type="pct"/>
            <w:shd w:val="clear" w:color="auto" w:fill="FFFFFF"/>
            <w:tcMar>
              <w:top w:w="0" w:type="dxa"/>
              <w:left w:w="38" w:type="dxa"/>
              <w:bottom w:w="0" w:type="dxa"/>
              <w:right w:w="38" w:type="dxa"/>
            </w:tcMar>
            <w:vAlign w:val="center"/>
          </w:tcPr>
          <w:p w14:paraId="0E7C54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2B54F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40A200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4D09B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7-23</w:t>
            </w:r>
          </w:p>
        </w:tc>
        <w:tc>
          <w:tcPr>
            <w:tcW w:w="1858" w:type="pct"/>
            <w:shd w:val="clear" w:color="auto" w:fill="FFFFFF"/>
            <w:tcMar>
              <w:top w:w="0" w:type="dxa"/>
              <w:left w:w="38" w:type="dxa"/>
              <w:bottom w:w="0" w:type="dxa"/>
              <w:right w:w="38" w:type="dxa"/>
            </w:tcMar>
            <w:vAlign w:val="center"/>
          </w:tcPr>
          <w:p w14:paraId="51D7EC0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李鹏</w:t>
            </w:r>
          </w:p>
        </w:tc>
        <w:tc>
          <w:tcPr>
            <w:tcW w:w="1140" w:type="pct"/>
            <w:shd w:val="clear" w:color="auto" w:fill="FFFFFF"/>
            <w:tcMar>
              <w:top w:w="0" w:type="dxa"/>
              <w:left w:w="38" w:type="dxa"/>
              <w:bottom w:w="0" w:type="dxa"/>
              <w:right w:w="38" w:type="dxa"/>
            </w:tcMar>
            <w:vAlign w:val="center"/>
          </w:tcPr>
          <w:p w14:paraId="6386A0E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ED6DD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5DE3B1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37AB3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7-24</w:t>
            </w:r>
          </w:p>
        </w:tc>
        <w:tc>
          <w:tcPr>
            <w:tcW w:w="1858" w:type="pct"/>
            <w:shd w:val="clear" w:color="auto" w:fill="FFFFFF"/>
            <w:tcMar>
              <w:top w:w="0" w:type="dxa"/>
              <w:left w:w="38" w:type="dxa"/>
              <w:bottom w:w="0" w:type="dxa"/>
              <w:right w:w="38" w:type="dxa"/>
            </w:tcMar>
            <w:vAlign w:val="center"/>
          </w:tcPr>
          <w:p w14:paraId="35437B5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刘雄培</w:t>
            </w:r>
          </w:p>
        </w:tc>
        <w:tc>
          <w:tcPr>
            <w:tcW w:w="1140" w:type="pct"/>
            <w:shd w:val="clear" w:color="auto" w:fill="FFFFFF"/>
            <w:tcMar>
              <w:top w:w="0" w:type="dxa"/>
              <w:left w:w="38" w:type="dxa"/>
              <w:bottom w:w="0" w:type="dxa"/>
              <w:right w:w="38" w:type="dxa"/>
            </w:tcMar>
            <w:vAlign w:val="center"/>
          </w:tcPr>
          <w:p w14:paraId="78DF079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F3380B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56DB6E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98C7FF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7-25</w:t>
            </w:r>
          </w:p>
        </w:tc>
        <w:tc>
          <w:tcPr>
            <w:tcW w:w="1858" w:type="pct"/>
            <w:shd w:val="clear" w:color="auto" w:fill="FFFFFF"/>
            <w:tcMar>
              <w:top w:w="0" w:type="dxa"/>
              <w:left w:w="38" w:type="dxa"/>
              <w:bottom w:w="0" w:type="dxa"/>
              <w:right w:w="38" w:type="dxa"/>
            </w:tcMar>
            <w:vAlign w:val="center"/>
          </w:tcPr>
          <w:p w14:paraId="6E163E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沈佳琴</w:t>
            </w:r>
          </w:p>
        </w:tc>
        <w:tc>
          <w:tcPr>
            <w:tcW w:w="1140" w:type="pct"/>
            <w:shd w:val="clear" w:color="auto" w:fill="FFFFFF"/>
            <w:tcMar>
              <w:top w:w="0" w:type="dxa"/>
              <w:left w:w="38" w:type="dxa"/>
              <w:bottom w:w="0" w:type="dxa"/>
              <w:right w:w="38" w:type="dxa"/>
            </w:tcMar>
            <w:vAlign w:val="center"/>
          </w:tcPr>
          <w:p w14:paraId="667847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F4CEE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F32A85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D0E4AA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7-26</w:t>
            </w:r>
          </w:p>
        </w:tc>
        <w:tc>
          <w:tcPr>
            <w:tcW w:w="1858" w:type="pct"/>
            <w:shd w:val="clear" w:color="auto" w:fill="FFFFFF"/>
            <w:tcMar>
              <w:top w:w="0" w:type="dxa"/>
              <w:left w:w="38" w:type="dxa"/>
              <w:bottom w:w="0" w:type="dxa"/>
              <w:right w:w="38" w:type="dxa"/>
            </w:tcMar>
            <w:vAlign w:val="center"/>
          </w:tcPr>
          <w:p w14:paraId="3853C6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郑楚钊</w:t>
            </w:r>
          </w:p>
        </w:tc>
        <w:tc>
          <w:tcPr>
            <w:tcW w:w="1140" w:type="pct"/>
            <w:shd w:val="clear" w:color="auto" w:fill="FFFFFF"/>
            <w:tcMar>
              <w:top w:w="0" w:type="dxa"/>
              <w:left w:w="38" w:type="dxa"/>
              <w:bottom w:w="0" w:type="dxa"/>
              <w:right w:w="38" w:type="dxa"/>
            </w:tcMar>
            <w:vAlign w:val="center"/>
          </w:tcPr>
          <w:p w14:paraId="00FBE5C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AA9CD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5D1078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5713C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7-27</w:t>
            </w:r>
          </w:p>
        </w:tc>
        <w:tc>
          <w:tcPr>
            <w:tcW w:w="1858" w:type="pct"/>
            <w:shd w:val="clear" w:color="auto" w:fill="FFFFFF"/>
            <w:tcMar>
              <w:top w:w="0" w:type="dxa"/>
              <w:left w:w="38" w:type="dxa"/>
              <w:bottom w:w="0" w:type="dxa"/>
              <w:right w:w="38" w:type="dxa"/>
            </w:tcMar>
            <w:vAlign w:val="center"/>
          </w:tcPr>
          <w:p w14:paraId="3436F9A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40" w:type="pct"/>
            <w:shd w:val="clear" w:color="auto" w:fill="FFFFFF"/>
            <w:tcMar>
              <w:top w:w="0" w:type="dxa"/>
              <w:left w:w="38" w:type="dxa"/>
              <w:bottom w:w="0" w:type="dxa"/>
              <w:right w:w="38" w:type="dxa"/>
            </w:tcMar>
            <w:vAlign w:val="center"/>
          </w:tcPr>
          <w:p w14:paraId="3C13C8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5E05210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65E067A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F1979F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7-28</w:t>
            </w:r>
          </w:p>
        </w:tc>
        <w:tc>
          <w:tcPr>
            <w:tcW w:w="1858" w:type="pct"/>
            <w:shd w:val="clear" w:color="auto" w:fill="FFFFFF"/>
            <w:tcMar>
              <w:top w:w="0" w:type="dxa"/>
              <w:left w:w="38" w:type="dxa"/>
              <w:bottom w:w="0" w:type="dxa"/>
              <w:right w:w="38" w:type="dxa"/>
            </w:tcMar>
            <w:vAlign w:val="center"/>
          </w:tcPr>
          <w:p w14:paraId="4F67CE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周兴林</w:t>
            </w:r>
          </w:p>
        </w:tc>
        <w:tc>
          <w:tcPr>
            <w:tcW w:w="1140" w:type="pct"/>
            <w:shd w:val="clear" w:color="auto" w:fill="FFFFFF"/>
            <w:tcMar>
              <w:top w:w="0" w:type="dxa"/>
              <w:left w:w="38" w:type="dxa"/>
              <w:bottom w:w="0" w:type="dxa"/>
              <w:right w:w="38" w:type="dxa"/>
            </w:tcMar>
            <w:vAlign w:val="center"/>
          </w:tcPr>
          <w:p w14:paraId="5C5B3E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36FDF9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291084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CF4A7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7-29</w:t>
            </w:r>
          </w:p>
        </w:tc>
        <w:tc>
          <w:tcPr>
            <w:tcW w:w="1858" w:type="pct"/>
            <w:shd w:val="clear" w:color="auto" w:fill="FFFFFF"/>
            <w:tcMar>
              <w:top w:w="0" w:type="dxa"/>
              <w:left w:w="38" w:type="dxa"/>
              <w:bottom w:w="0" w:type="dxa"/>
              <w:right w:w="38" w:type="dxa"/>
            </w:tcMar>
            <w:vAlign w:val="center"/>
          </w:tcPr>
          <w:p w14:paraId="00C1A7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陈伟鸿</w:t>
            </w:r>
          </w:p>
        </w:tc>
        <w:tc>
          <w:tcPr>
            <w:tcW w:w="1140" w:type="pct"/>
            <w:shd w:val="clear" w:color="auto" w:fill="FFFFFF"/>
            <w:tcMar>
              <w:top w:w="0" w:type="dxa"/>
              <w:left w:w="38" w:type="dxa"/>
              <w:bottom w:w="0" w:type="dxa"/>
              <w:right w:w="38" w:type="dxa"/>
            </w:tcMar>
            <w:vAlign w:val="center"/>
          </w:tcPr>
          <w:p w14:paraId="203F1FC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0B2486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92E0F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0F74D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7-30</w:t>
            </w:r>
          </w:p>
        </w:tc>
        <w:tc>
          <w:tcPr>
            <w:tcW w:w="1858" w:type="pct"/>
            <w:shd w:val="clear" w:color="auto" w:fill="FFFFFF"/>
            <w:tcMar>
              <w:top w:w="0" w:type="dxa"/>
              <w:left w:w="38" w:type="dxa"/>
              <w:bottom w:w="0" w:type="dxa"/>
              <w:right w:w="38" w:type="dxa"/>
            </w:tcMar>
            <w:vAlign w:val="center"/>
          </w:tcPr>
          <w:p w14:paraId="3A77E24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陈可健</w:t>
            </w:r>
          </w:p>
        </w:tc>
        <w:tc>
          <w:tcPr>
            <w:tcW w:w="1140" w:type="pct"/>
            <w:shd w:val="clear" w:color="auto" w:fill="FFFFFF"/>
            <w:tcMar>
              <w:top w:w="0" w:type="dxa"/>
              <w:left w:w="38" w:type="dxa"/>
              <w:bottom w:w="0" w:type="dxa"/>
              <w:right w:w="38" w:type="dxa"/>
            </w:tcMar>
            <w:vAlign w:val="center"/>
          </w:tcPr>
          <w:p w14:paraId="243102A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73EBA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56E9BC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9CC235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7-31</w:t>
            </w:r>
          </w:p>
        </w:tc>
        <w:tc>
          <w:tcPr>
            <w:tcW w:w="1858" w:type="pct"/>
            <w:shd w:val="clear" w:color="auto" w:fill="FFFFFF"/>
            <w:tcMar>
              <w:top w:w="0" w:type="dxa"/>
              <w:left w:w="38" w:type="dxa"/>
              <w:bottom w:w="0" w:type="dxa"/>
              <w:right w:w="38" w:type="dxa"/>
            </w:tcMar>
            <w:vAlign w:val="center"/>
          </w:tcPr>
          <w:p w14:paraId="2773A2E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陈文锋</w:t>
            </w:r>
          </w:p>
        </w:tc>
        <w:tc>
          <w:tcPr>
            <w:tcW w:w="1140" w:type="pct"/>
            <w:shd w:val="clear" w:color="auto" w:fill="FFFFFF"/>
            <w:tcMar>
              <w:top w:w="0" w:type="dxa"/>
              <w:left w:w="38" w:type="dxa"/>
              <w:bottom w:w="0" w:type="dxa"/>
              <w:right w:w="38" w:type="dxa"/>
            </w:tcMar>
            <w:vAlign w:val="center"/>
          </w:tcPr>
          <w:p w14:paraId="1A3C847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EB2338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AB258E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F5AF8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w:t>
            </w:r>
          </w:p>
        </w:tc>
        <w:tc>
          <w:tcPr>
            <w:tcW w:w="1858" w:type="pct"/>
            <w:shd w:val="clear" w:color="auto" w:fill="FFFFFF"/>
            <w:tcMar>
              <w:top w:w="0" w:type="dxa"/>
              <w:left w:w="38" w:type="dxa"/>
              <w:bottom w:w="0" w:type="dxa"/>
              <w:right w:w="38" w:type="dxa"/>
            </w:tcMar>
            <w:vAlign w:val="center"/>
          </w:tcPr>
          <w:p w14:paraId="1007FD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乐腾腾</w:t>
            </w:r>
          </w:p>
        </w:tc>
        <w:tc>
          <w:tcPr>
            <w:tcW w:w="1140" w:type="pct"/>
            <w:shd w:val="clear" w:color="auto" w:fill="FFFFFF"/>
            <w:tcMar>
              <w:top w:w="0" w:type="dxa"/>
              <w:left w:w="38" w:type="dxa"/>
              <w:bottom w:w="0" w:type="dxa"/>
              <w:right w:w="38" w:type="dxa"/>
            </w:tcMar>
            <w:vAlign w:val="center"/>
          </w:tcPr>
          <w:p w14:paraId="1D8302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45F1DCD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3C0F0E7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709A19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8-1</w:t>
            </w:r>
          </w:p>
        </w:tc>
        <w:tc>
          <w:tcPr>
            <w:tcW w:w="1858" w:type="pct"/>
            <w:shd w:val="clear" w:color="auto" w:fill="FFFFFF"/>
            <w:tcMar>
              <w:top w:w="0" w:type="dxa"/>
              <w:left w:w="38" w:type="dxa"/>
              <w:bottom w:w="0" w:type="dxa"/>
              <w:right w:w="38" w:type="dxa"/>
            </w:tcMar>
            <w:vAlign w:val="center"/>
          </w:tcPr>
          <w:p w14:paraId="2788C12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陈伟镇</w:t>
            </w:r>
          </w:p>
        </w:tc>
        <w:tc>
          <w:tcPr>
            <w:tcW w:w="1140" w:type="pct"/>
            <w:shd w:val="clear" w:color="auto" w:fill="FFFFFF"/>
            <w:tcMar>
              <w:top w:w="0" w:type="dxa"/>
              <w:left w:w="38" w:type="dxa"/>
              <w:bottom w:w="0" w:type="dxa"/>
              <w:right w:w="38" w:type="dxa"/>
            </w:tcMar>
            <w:vAlign w:val="center"/>
          </w:tcPr>
          <w:p w14:paraId="446697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ECE513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EE13E8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8AAB06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8-2</w:t>
            </w:r>
          </w:p>
        </w:tc>
        <w:tc>
          <w:tcPr>
            <w:tcW w:w="1858" w:type="pct"/>
            <w:shd w:val="clear" w:color="auto" w:fill="FFFFFF"/>
            <w:tcMar>
              <w:top w:w="0" w:type="dxa"/>
              <w:left w:w="38" w:type="dxa"/>
              <w:bottom w:w="0" w:type="dxa"/>
              <w:right w:w="38" w:type="dxa"/>
            </w:tcMar>
            <w:vAlign w:val="center"/>
          </w:tcPr>
          <w:p w14:paraId="373DB8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林超越</w:t>
            </w:r>
          </w:p>
        </w:tc>
        <w:tc>
          <w:tcPr>
            <w:tcW w:w="1140" w:type="pct"/>
            <w:shd w:val="clear" w:color="auto" w:fill="FFFFFF"/>
            <w:tcMar>
              <w:top w:w="0" w:type="dxa"/>
              <w:left w:w="38" w:type="dxa"/>
              <w:bottom w:w="0" w:type="dxa"/>
              <w:right w:w="38" w:type="dxa"/>
            </w:tcMar>
            <w:vAlign w:val="center"/>
          </w:tcPr>
          <w:p w14:paraId="55EB68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308AC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D0CB4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2297C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lastRenderedPageBreak/>
              <w:t>8-3</w:t>
            </w:r>
          </w:p>
        </w:tc>
        <w:tc>
          <w:tcPr>
            <w:tcW w:w="1858" w:type="pct"/>
            <w:shd w:val="clear" w:color="auto" w:fill="FFFFFF"/>
            <w:tcMar>
              <w:top w:w="0" w:type="dxa"/>
              <w:left w:w="38" w:type="dxa"/>
              <w:bottom w:w="0" w:type="dxa"/>
              <w:right w:w="38" w:type="dxa"/>
            </w:tcMar>
            <w:vAlign w:val="center"/>
          </w:tcPr>
          <w:p w14:paraId="6C99BC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张超</w:t>
            </w:r>
          </w:p>
        </w:tc>
        <w:tc>
          <w:tcPr>
            <w:tcW w:w="1140" w:type="pct"/>
            <w:shd w:val="clear" w:color="auto" w:fill="FFFFFF"/>
            <w:tcMar>
              <w:top w:w="0" w:type="dxa"/>
              <w:left w:w="38" w:type="dxa"/>
              <w:bottom w:w="0" w:type="dxa"/>
              <w:right w:w="38" w:type="dxa"/>
            </w:tcMar>
            <w:vAlign w:val="center"/>
          </w:tcPr>
          <w:p w14:paraId="60DC77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4D224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D57007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1123F8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8-4</w:t>
            </w:r>
          </w:p>
        </w:tc>
        <w:tc>
          <w:tcPr>
            <w:tcW w:w="1858" w:type="pct"/>
            <w:shd w:val="clear" w:color="auto" w:fill="FFFFFF"/>
            <w:tcMar>
              <w:top w:w="0" w:type="dxa"/>
              <w:left w:w="38" w:type="dxa"/>
              <w:bottom w:w="0" w:type="dxa"/>
              <w:right w:w="38" w:type="dxa"/>
            </w:tcMar>
            <w:vAlign w:val="center"/>
          </w:tcPr>
          <w:p w14:paraId="741BD96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霍树森</w:t>
            </w:r>
          </w:p>
        </w:tc>
        <w:tc>
          <w:tcPr>
            <w:tcW w:w="1140" w:type="pct"/>
            <w:shd w:val="clear" w:color="auto" w:fill="FFFFFF"/>
            <w:tcMar>
              <w:top w:w="0" w:type="dxa"/>
              <w:left w:w="38" w:type="dxa"/>
              <w:bottom w:w="0" w:type="dxa"/>
              <w:right w:w="38" w:type="dxa"/>
            </w:tcMar>
            <w:vAlign w:val="center"/>
          </w:tcPr>
          <w:p w14:paraId="6B6F7F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F77ADE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02404F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DB87E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8-5</w:t>
            </w:r>
          </w:p>
        </w:tc>
        <w:tc>
          <w:tcPr>
            <w:tcW w:w="1858" w:type="pct"/>
            <w:shd w:val="clear" w:color="auto" w:fill="FFFFFF"/>
            <w:tcMar>
              <w:top w:w="0" w:type="dxa"/>
              <w:left w:w="38" w:type="dxa"/>
              <w:bottom w:w="0" w:type="dxa"/>
              <w:right w:w="38" w:type="dxa"/>
            </w:tcMar>
            <w:vAlign w:val="center"/>
          </w:tcPr>
          <w:p w14:paraId="19E4C4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曾小连</w:t>
            </w:r>
          </w:p>
        </w:tc>
        <w:tc>
          <w:tcPr>
            <w:tcW w:w="1140" w:type="pct"/>
            <w:shd w:val="clear" w:color="auto" w:fill="FFFFFF"/>
            <w:tcMar>
              <w:top w:w="0" w:type="dxa"/>
              <w:left w:w="38" w:type="dxa"/>
              <w:bottom w:w="0" w:type="dxa"/>
              <w:right w:w="38" w:type="dxa"/>
            </w:tcMar>
            <w:vAlign w:val="center"/>
          </w:tcPr>
          <w:p w14:paraId="784F86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DD56F8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09AD1CB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0DFC5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8-6</w:t>
            </w:r>
          </w:p>
        </w:tc>
        <w:tc>
          <w:tcPr>
            <w:tcW w:w="1858" w:type="pct"/>
            <w:shd w:val="clear" w:color="auto" w:fill="FFFFFF"/>
            <w:tcMar>
              <w:top w:w="0" w:type="dxa"/>
              <w:left w:w="38" w:type="dxa"/>
              <w:bottom w:w="0" w:type="dxa"/>
              <w:right w:w="38" w:type="dxa"/>
            </w:tcMar>
            <w:vAlign w:val="center"/>
          </w:tcPr>
          <w:p w14:paraId="43A7F7A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陈腾蛟</w:t>
            </w:r>
          </w:p>
        </w:tc>
        <w:tc>
          <w:tcPr>
            <w:tcW w:w="1140" w:type="pct"/>
            <w:shd w:val="clear" w:color="auto" w:fill="FFFFFF"/>
            <w:tcMar>
              <w:top w:w="0" w:type="dxa"/>
              <w:left w:w="38" w:type="dxa"/>
              <w:bottom w:w="0" w:type="dxa"/>
              <w:right w:w="38" w:type="dxa"/>
            </w:tcMar>
            <w:vAlign w:val="center"/>
          </w:tcPr>
          <w:p w14:paraId="1DD4475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3C28D2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2DC2B2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134019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8-7</w:t>
            </w:r>
          </w:p>
        </w:tc>
        <w:tc>
          <w:tcPr>
            <w:tcW w:w="1858" w:type="pct"/>
            <w:shd w:val="clear" w:color="auto" w:fill="FFFFFF"/>
            <w:tcMar>
              <w:top w:w="0" w:type="dxa"/>
              <w:left w:w="38" w:type="dxa"/>
              <w:bottom w:w="0" w:type="dxa"/>
              <w:right w:w="38" w:type="dxa"/>
            </w:tcMar>
            <w:vAlign w:val="center"/>
          </w:tcPr>
          <w:p w14:paraId="532D8E3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40" w:type="pct"/>
            <w:shd w:val="clear" w:color="auto" w:fill="FFFFFF"/>
            <w:tcMar>
              <w:top w:w="0" w:type="dxa"/>
              <w:left w:w="38" w:type="dxa"/>
              <w:bottom w:w="0" w:type="dxa"/>
              <w:right w:w="38" w:type="dxa"/>
            </w:tcMar>
            <w:vAlign w:val="center"/>
          </w:tcPr>
          <w:p w14:paraId="15B4B83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510B8A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AC303B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370B8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w:t>
            </w:r>
          </w:p>
        </w:tc>
        <w:tc>
          <w:tcPr>
            <w:tcW w:w="1858" w:type="pct"/>
            <w:shd w:val="clear" w:color="auto" w:fill="FFFFFF"/>
            <w:tcMar>
              <w:top w:w="0" w:type="dxa"/>
              <w:left w:w="38" w:type="dxa"/>
              <w:bottom w:w="0" w:type="dxa"/>
              <w:right w:w="38" w:type="dxa"/>
            </w:tcMar>
            <w:vAlign w:val="center"/>
          </w:tcPr>
          <w:p w14:paraId="6650F9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深圳市前海千意智合三期</w:t>
            </w:r>
          </w:p>
        </w:tc>
        <w:tc>
          <w:tcPr>
            <w:tcW w:w="1140" w:type="pct"/>
            <w:shd w:val="clear" w:color="auto" w:fill="FFFFFF"/>
            <w:tcMar>
              <w:top w:w="0" w:type="dxa"/>
              <w:left w:w="38" w:type="dxa"/>
              <w:bottom w:w="0" w:type="dxa"/>
              <w:right w:w="38" w:type="dxa"/>
            </w:tcMar>
            <w:vAlign w:val="center"/>
          </w:tcPr>
          <w:p w14:paraId="4B8361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A31277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2434545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671C83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w:t>
            </w:r>
          </w:p>
        </w:tc>
        <w:tc>
          <w:tcPr>
            <w:tcW w:w="1858" w:type="pct"/>
            <w:shd w:val="clear" w:color="auto" w:fill="FFFFFF"/>
            <w:tcMar>
              <w:top w:w="0" w:type="dxa"/>
              <w:left w:w="38" w:type="dxa"/>
              <w:bottom w:w="0" w:type="dxa"/>
              <w:right w:w="38" w:type="dxa"/>
            </w:tcMar>
            <w:vAlign w:val="center"/>
          </w:tcPr>
          <w:p w14:paraId="161AA5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lang w:bidi="ar"/>
              </w:rPr>
            </w:pPr>
            <w:r w:rsidRPr="00DA3766">
              <w:rPr>
                <w:rFonts w:ascii="Times New Roman" w:hAnsi="Times New Roman" w:cs="Times New Roman"/>
                <w:snapToGrid w:val="0"/>
                <w:color w:val="000000"/>
                <w:sz w:val="21"/>
                <w:szCs w:val="21"/>
                <w:lang w:bidi="ar"/>
              </w:rPr>
              <w:t>乐哈哈</w:t>
            </w:r>
          </w:p>
        </w:tc>
        <w:tc>
          <w:tcPr>
            <w:tcW w:w="1140" w:type="pct"/>
            <w:shd w:val="clear" w:color="auto" w:fill="FFFFFF"/>
            <w:tcMar>
              <w:top w:w="0" w:type="dxa"/>
              <w:left w:w="38" w:type="dxa"/>
              <w:bottom w:w="0" w:type="dxa"/>
              <w:right w:w="38" w:type="dxa"/>
            </w:tcMar>
            <w:vAlign w:val="center"/>
          </w:tcPr>
          <w:p w14:paraId="175839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EAFAAB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7ECD1BA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6947A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w:t>
            </w:r>
          </w:p>
        </w:tc>
        <w:tc>
          <w:tcPr>
            <w:tcW w:w="1858" w:type="pct"/>
            <w:shd w:val="clear" w:color="auto" w:fill="FFFFFF"/>
            <w:tcMar>
              <w:top w:w="0" w:type="dxa"/>
              <w:left w:w="38" w:type="dxa"/>
              <w:bottom w:w="0" w:type="dxa"/>
              <w:right w:w="38" w:type="dxa"/>
            </w:tcMar>
            <w:vAlign w:val="center"/>
          </w:tcPr>
          <w:p w14:paraId="091D11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唐小卓</w:t>
            </w:r>
          </w:p>
        </w:tc>
        <w:tc>
          <w:tcPr>
            <w:tcW w:w="1140" w:type="pct"/>
            <w:shd w:val="clear" w:color="auto" w:fill="FFFFFF"/>
            <w:tcMar>
              <w:top w:w="0" w:type="dxa"/>
              <w:left w:w="38" w:type="dxa"/>
              <w:bottom w:w="0" w:type="dxa"/>
              <w:right w:w="38" w:type="dxa"/>
            </w:tcMar>
            <w:vAlign w:val="center"/>
          </w:tcPr>
          <w:p w14:paraId="3B43EE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81453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7CB9E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DAA854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10-2</w:t>
            </w:r>
          </w:p>
        </w:tc>
        <w:tc>
          <w:tcPr>
            <w:tcW w:w="1858" w:type="pct"/>
            <w:shd w:val="clear" w:color="auto" w:fill="FFFFFF"/>
            <w:tcMar>
              <w:top w:w="0" w:type="dxa"/>
              <w:left w:w="38" w:type="dxa"/>
              <w:bottom w:w="0" w:type="dxa"/>
              <w:right w:w="38" w:type="dxa"/>
            </w:tcMar>
            <w:vAlign w:val="center"/>
          </w:tcPr>
          <w:p w14:paraId="31C6A8E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刘名敏</w:t>
            </w:r>
          </w:p>
        </w:tc>
        <w:tc>
          <w:tcPr>
            <w:tcW w:w="1140" w:type="pct"/>
            <w:shd w:val="clear" w:color="auto" w:fill="FFFFFF"/>
            <w:tcMar>
              <w:top w:w="0" w:type="dxa"/>
              <w:left w:w="38" w:type="dxa"/>
              <w:bottom w:w="0" w:type="dxa"/>
              <w:right w:w="38" w:type="dxa"/>
            </w:tcMar>
            <w:vAlign w:val="center"/>
          </w:tcPr>
          <w:p w14:paraId="2D4AE97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DEBF0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56C749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EF558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w:t>
            </w:r>
          </w:p>
        </w:tc>
        <w:tc>
          <w:tcPr>
            <w:tcW w:w="1858" w:type="pct"/>
            <w:shd w:val="clear" w:color="auto" w:fill="FFFFFF"/>
            <w:tcMar>
              <w:top w:w="0" w:type="dxa"/>
              <w:left w:w="38" w:type="dxa"/>
              <w:bottom w:w="0" w:type="dxa"/>
              <w:right w:w="38" w:type="dxa"/>
            </w:tcMar>
            <w:vAlign w:val="center"/>
          </w:tcPr>
          <w:p w14:paraId="2550B7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朱国强</w:t>
            </w:r>
          </w:p>
        </w:tc>
        <w:tc>
          <w:tcPr>
            <w:tcW w:w="1140" w:type="pct"/>
            <w:shd w:val="clear" w:color="auto" w:fill="FFFFFF"/>
            <w:tcMar>
              <w:top w:w="0" w:type="dxa"/>
              <w:left w:w="38" w:type="dxa"/>
              <w:bottom w:w="0" w:type="dxa"/>
              <w:right w:w="38" w:type="dxa"/>
            </w:tcMar>
            <w:vAlign w:val="center"/>
          </w:tcPr>
          <w:p w14:paraId="24A578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7B15FB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AA2C24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CC202A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w:t>
            </w:r>
          </w:p>
        </w:tc>
        <w:tc>
          <w:tcPr>
            <w:tcW w:w="1858" w:type="pct"/>
            <w:shd w:val="clear" w:color="auto" w:fill="FFFFFF"/>
            <w:tcMar>
              <w:top w:w="0" w:type="dxa"/>
              <w:left w:w="38" w:type="dxa"/>
              <w:bottom w:w="0" w:type="dxa"/>
              <w:right w:w="38" w:type="dxa"/>
            </w:tcMar>
            <w:vAlign w:val="center"/>
          </w:tcPr>
          <w:p w14:paraId="39EC77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杨振彪</w:t>
            </w:r>
          </w:p>
        </w:tc>
        <w:tc>
          <w:tcPr>
            <w:tcW w:w="1140" w:type="pct"/>
            <w:shd w:val="clear" w:color="auto" w:fill="FFFFFF"/>
            <w:tcMar>
              <w:top w:w="0" w:type="dxa"/>
              <w:left w:w="38" w:type="dxa"/>
              <w:bottom w:w="0" w:type="dxa"/>
              <w:right w:w="38" w:type="dxa"/>
            </w:tcMar>
            <w:vAlign w:val="center"/>
          </w:tcPr>
          <w:p w14:paraId="3FBD5A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E505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36403C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1033CF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10-5</w:t>
            </w:r>
          </w:p>
        </w:tc>
        <w:tc>
          <w:tcPr>
            <w:tcW w:w="1858" w:type="pct"/>
            <w:shd w:val="clear" w:color="auto" w:fill="FFFFFF"/>
            <w:tcMar>
              <w:top w:w="0" w:type="dxa"/>
              <w:left w:w="38" w:type="dxa"/>
              <w:bottom w:w="0" w:type="dxa"/>
              <w:right w:w="38" w:type="dxa"/>
            </w:tcMar>
            <w:vAlign w:val="center"/>
          </w:tcPr>
          <w:p w14:paraId="544775A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陈泽彬</w:t>
            </w:r>
          </w:p>
        </w:tc>
        <w:tc>
          <w:tcPr>
            <w:tcW w:w="1140" w:type="pct"/>
            <w:shd w:val="clear" w:color="auto" w:fill="FFFFFF"/>
            <w:tcMar>
              <w:top w:w="0" w:type="dxa"/>
              <w:left w:w="38" w:type="dxa"/>
              <w:bottom w:w="0" w:type="dxa"/>
              <w:right w:w="38" w:type="dxa"/>
            </w:tcMar>
            <w:vAlign w:val="center"/>
          </w:tcPr>
          <w:p w14:paraId="547A376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FAD38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BD0AA6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EF226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w:t>
            </w:r>
          </w:p>
        </w:tc>
        <w:tc>
          <w:tcPr>
            <w:tcW w:w="1858" w:type="pct"/>
            <w:shd w:val="clear" w:color="auto" w:fill="FFFFFF"/>
            <w:tcMar>
              <w:top w:w="0" w:type="dxa"/>
              <w:left w:w="38" w:type="dxa"/>
              <w:bottom w:w="0" w:type="dxa"/>
              <w:right w:w="38" w:type="dxa"/>
            </w:tcMar>
            <w:vAlign w:val="center"/>
          </w:tcPr>
          <w:p w14:paraId="7AAA16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伍蒋峰</w:t>
            </w:r>
          </w:p>
        </w:tc>
        <w:tc>
          <w:tcPr>
            <w:tcW w:w="1140" w:type="pct"/>
            <w:shd w:val="clear" w:color="auto" w:fill="FFFFFF"/>
            <w:tcMar>
              <w:top w:w="0" w:type="dxa"/>
              <w:left w:w="38" w:type="dxa"/>
              <w:bottom w:w="0" w:type="dxa"/>
              <w:right w:w="38" w:type="dxa"/>
            </w:tcMar>
            <w:vAlign w:val="center"/>
          </w:tcPr>
          <w:p w14:paraId="6A26DC3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FDC26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7B4302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F25F9E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10-7</w:t>
            </w:r>
          </w:p>
        </w:tc>
        <w:tc>
          <w:tcPr>
            <w:tcW w:w="1858" w:type="pct"/>
            <w:shd w:val="clear" w:color="auto" w:fill="FFFFFF"/>
            <w:tcMar>
              <w:top w:w="0" w:type="dxa"/>
              <w:left w:w="38" w:type="dxa"/>
              <w:bottom w:w="0" w:type="dxa"/>
              <w:right w:w="38" w:type="dxa"/>
            </w:tcMar>
            <w:vAlign w:val="center"/>
          </w:tcPr>
          <w:p w14:paraId="2EEFD2B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谢福明</w:t>
            </w:r>
          </w:p>
        </w:tc>
        <w:tc>
          <w:tcPr>
            <w:tcW w:w="1140" w:type="pct"/>
            <w:shd w:val="clear" w:color="auto" w:fill="FFFFFF"/>
            <w:tcMar>
              <w:top w:w="0" w:type="dxa"/>
              <w:left w:w="38" w:type="dxa"/>
              <w:bottom w:w="0" w:type="dxa"/>
              <w:right w:w="38" w:type="dxa"/>
            </w:tcMar>
            <w:vAlign w:val="center"/>
          </w:tcPr>
          <w:p w14:paraId="417406E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B3ABE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2E57B5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6A90E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10-8</w:t>
            </w:r>
          </w:p>
        </w:tc>
        <w:tc>
          <w:tcPr>
            <w:tcW w:w="1858" w:type="pct"/>
            <w:shd w:val="clear" w:color="auto" w:fill="FFFFFF"/>
            <w:tcMar>
              <w:top w:w="0" w:type="dxa"/>
              <w:left w:w="38" w:type="dxa"/>
              <w:bottom w:w="0" w:type="dxa"/>
              <w:right w:w="38" w:type="dxa"/>
            </w:tcMar>
            <w:vAlign w:val="center"/>
          </w:tcPr>
          <w:p w14:paraId="6E91E0C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陈珠虹</w:t>
            </w:r>
          </w:p>
        </w:tc>
        <w:tc>
          <w:tcPr>
            <w:tcW w:w="1140" w:type="pct"/>
            <w:shd w:val="clear" w:color="auto" w:fill="FFFFFF"/>
            <w:tcMar>
              <w:top w:w="0" w:type="dxa"/>
              <w:left w:w="38" w:type="dxa"/>
              <w:bottom w:w="0" w:type="dxa"/>
              <w:right w:w="38" w:type="dxa"/>
            </w:tcMar>
            <w:vAlign w:val="center"/>
          </w:tcPr>
          <w:p w14:paraId="6D6881D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D48F4D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1BEBD3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8B9FBB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10-9</w:t>
            </w:r>
          </w:p>
        </w:tc>
        <w:tc>
          <w:tcPr>
            <w:tcW w:w="1858" w:type="pct"/>
            <w:shd w:val="clear" w:color="auto" w:fill="FFFFFF"/>
            <w:tcMar>
              <w:top w:w="0" w:type="dxa"/>
              <w:left w:w="38" w:type="dxa"/>
              <w:bottom w:w="0" w:type="dxa"/>
              <w:right w:w="38" w:type="dxa"/>
            </w:tcMar>
            <w:vAlign w:val="center"/>
          </w:tcPr>
          <w:p w14:paraId="21FA9B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王维</w:t>
            </w:r>
          </w:p>
        </w:tc>
        <w:tc>
          <w:tcPr>
            <w:tcW w:w="1140" w:type="pct"/>
            <w:shd w:val="clear" w:color="auto" w:fill="FFFFFF"/>
            <w:tcMar>
              <w:top w:w="0" w:type="dxa"/>
              <w:left w:w="38" w:type="dxa"/>
              <w:bottom w:w="0" w:type="dxa"/>
              <w:right w:w="38" w:type="dxa"/>
            </w:tcMar>
            <w:vAlign w:val="center"/>
          </w:tcPr>
          <w:p w14:paraId="2627DAC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20054B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F689E2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D6D74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10-10</w:t>
            </w:r>
          </w:p>
        </w:tc>
        <w:tc>
          <w:tcPr>
            <w:tcW w:w="1858" w:type="pct"/>
            <w:shd w:val="clear" w:color="auto" w:fill="FFFFFF"/>
            <w:tcMar>
              <w:top w:w="0" w:type="dxa"/>
              <w:left w:w="38" w:type="dxa"/>
              <w:bottom w:w="0" w:type="dxa"/>
              <w:right w:w="38" w:type="dxa"/>
            </w:tcMar>
            <w:vAlign w:val="center"/>
          </w:tcPr>
          <w:p w14:paraId="7B0B8E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谢仲东</w:t>
            </w:r>
          </w:p>
        </w:tc>
        <w:tc>
          <w:tcPr>
            <w:tcW w:w="1140" w:type="pct"/>
            <w:shd w:val="clear" w:color="auto" w:fill="FFFFFF"/>
            <w:tcMar>
              <w:top w:w="0" w:type="dxa"/>
              <w:left w:w="38" w:type="dxa"/>
              <w:bottom w:w="0" w:type="dxa"/>
              <w:right w:w="38" w:type="dxa"/>
            </w:tcMar>
            <w:vAlign w:val="center"/>
          </w:tcPr>
          <w:p w14:paraId="05626B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BCB40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9B048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B8879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10-11</w:t>
            </w:r>
          </w:p>
        </w:tc>
        <w:tc>
          <w:tcPr>
            <w:tcW w:w="1858" w:type="pct"/>
            <w:shd w:val="clear" w:color="auto" w:fill="FFFFFF"/>
            <w:tcMar>
              <w:top w:w="0" w:type="dxa"/>
              <w:left w:w="38" w:type="dxa"/>
              <w:bottom w:w="0" w:type="dxa"/>
              <w:right w:w="38" w:type="dxa"/>
            </w:tcMar>
            <w:vAlign w:val="center"/>
          </w:tcPr>
          <w:p w14:paraId="1D9B2E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陈耿豪</w:t>
            </w:r>
          </w:p>
        </w:tc>
        <w:tc>
          <w:tcPr>
            <w:tcW w:w="1140" w:type="pct"/>
            <w:shd w:val="clear" w:color="auto" w:fill="FFFFFF"/>
            <w:tcMar>
              <w:top w:w="0" w:type="dxa"/>
              <w:left w:w="38" w:type="dxa"/>
              <w:bottom w:w="0" w:type="dxa"/>
              <w:right w:w="38" w:type="dxa"/>
            </w:tcMar>
            <w:vAlign w:val="center"/>
          </w:tcPr>
          <w:p w14:paraId="655EF2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6934A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22465C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0A5D9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w:t>
            </w:r>
          </w:p>
        </w:tc>
        <w:tc>
          <w:tcPr>
            <w:tcW w:w="1858" w:type="pct"/>
            <w:shd w:val="clear" w:color="auto" w:fill="FFFFFF"/>
            <w:tcMar>
              <w:top w:w="0" w:type="dxa"/>
              <w:left w:w="38" w:type="dxa"/>
              <w:bottom w:w="0" w:type="dxa"/>
              <w:right w:w="38" w:type="dxa"/>
            </w:tcMar>
            <w:vAlign w:val="center"/>
          </w:tcPr>
          <w:p w14:paraId="59B5C89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lang w:bidi="ar"/>
              </w:rPr>
            </w:pPr>
            <w:r w:rsidRPr="00DA3766">
              <w:rPr>
                <w:rFonts w:ascii="Times New Roman" w:hAnsi="Times New Roman" w:cs="Times New Roman"/>
                <w:snapToGrid w:val="0"/>
                <w:color w:val="000000"/>
                <w:sz w:val="21"/>
                <w:szCs w:val="21"/>
                <w:lang w:bidi="ar"/>
              </w:rPr>
              <w:t>广发信德二期</w:t>
            </w:r>
          </w:p>
        </w:tc>
        <w:tc>
          <w:tcPr>
            <w:tcW w:w="1140" w:type="pct"/>
            <w:shd w:val="clear" w:color="auto" w:fill="FFFFFF"/>
            <w:tcMar>
              <w:top w:w="0" w:type="dxa"/>
              <w:left w:w="38" w:type="dxa"/>
              <w:bottom w:w="0" w:type="dxa"/>
              <w:right w:w="38" w:type="dxa"/>
            </w:tcMar>
            <w:vAlign w:val="center"/>
          </w:tcPr>
          <w:p w14:paraId="2DDE2FE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FE0E7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34CDD49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961A1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w:t>
            </w:r>
          </w:p>
        </w:tc>
        <w:tc>
          <w:tcPr>
            <w:tcW w:w="1858" w:type="pct"/>
            <w:shd w:val="clear" w:color="auto" w:fill="FFFFFF"/>
            <w:tcMar>
              <w:top w:w="0" w:type="dxa"/>
              <w:left w:w="38" w:type="dxa"/>
              <w:bottom w:w="0" w:type="dxa"/>
              <w:right w:w="38" w:type="dxa"/>
            </w:tcMar>
            <w:vAlign w:val="center"/>
          </w:tcPr>
          <w:p w14:paraId="7181FCD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璀璨德商</w:t>
            </w:r>
          </w:p>
        </w:tc>
        <w:tc>
          <w:tcPr>
            <w:tcW w:w="1140" w:type="pct"/>
            <w:shd w:val="clear" w:color="auto" w:fill="FFFFFF"/>
            <w:tcMar>
              <w:top w:w="0" w:type="dxa"/>
              <w:left w:w="38" w:type="dxa"/>
              <w:bottom w:w="0" w:type="dxa"/>
              <w:right w:w="38" w:type="dxa"/>
            </w:tcMar>
            <w:vAlign w:val="center"/>
          </w:tcPr>
          <w:p w14:paraId="22CCD6A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752F6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6FBFC8F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7616F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w:t>
            </w:r>
          </w:p>
        </w:tc>
        <w:tc>
          <w:tcPr>
            <w:tcW w:w="1858" w:type="pct"/>
            <w:shd w:val="clear" w:color="auto" w:fill="FFFFFF"/>
            <w:tcMar>
              <w:top w:w="0" w:type="dxa"/>
              <w:left w:w="38" w:type="dxa"/>
              <w:bottom w:w="0" w:type="dxa"/>
              <w:right w:w="38" w:type="dxa"/>
            </w:tcMar>
            <w:vAlign w:val="center"/>
          </w:tcPr>
          <w:p w14:paraId="500D1D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广州信德创业营</w:t>
            </w:r>
          </w:p>
        </w:tc>
        <w:tc>
          <w:tcPr>
            <w:tcW w:w="1140" w:type="pct"/>
            <w:shd w:val="clear" w:color="auto" w:fill="FFFFFF"/>
            <w:tcMar>
              <w:top w:w="0" w:type="dxa"/>
              <w:left w:w="38" w:type="dxa"/>
              <w:bottom w:w="0" w:type="dxa"/>
              <w:right w:w="38" w:type="dxa"/>
            </w:tcMar>
            <w:vAlign w:val="center"/>
          </w:tcPr>
          <w:p w14:paraId="22428A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DBFBCE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2305E30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B8D386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w:t>
            </w:r>
          </w:p>
        </w:tc>
        <w:tc>
          <w:tcPr>
            <w:tcW w:w="1858" w:type="pct"/>
            <w:shd w:val="clear" w:color="auto" w:fill="FFFFFF"/>
            <w:tcMar>
              <w:top w:w="0" w:type="dxa"/>
              <w:left w:w="38" w:type="dxa"/>
              <w:bottom w:w="0" w:type="dxa"/>
              <w:right w:w="38" w:type="dxa"/>
            </w:tcMar>
            <w:vAlign w:val="center"/>
          </w:tcPr>
          <w:p w14:paraId="63B948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乐摇</w:t>
            </w:r>
          </w:p>
        </w:tc>
        <w:tc>
          <w:tcPr>
            <w:tcW w:w="1140" w:type="pct"/>
            <w:shd w:val="clear" w:color="auto" w:fill="FFFFFF"/>
            <w:tcMar>
              <w:top w:w="0" w:type="dxa"/>
              <w:left w:w="38" w:type="dxa"/>
              <w:bottom w:w="0" w:type="dxa"/>
              <w:right w:w="38" w:type="dxa"/>
            </w:tcMar>
            <w:vAlign w:val="center"/>
          </w:tcPr>
          <w:p w14:paraId="56320A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58DCA0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851711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3E37A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14-1</w:t>
            </w:r>
          </w:p>
        </w:tc>
        <w:tc>
          <w:tcPr>
            <w:tcW w:w="1858" w:type="pct"/>
            <w:shd w:val="clear" w:color="auto" w:fill="FFFFFF"/>
            <w:tcMar>
              <w:top w:w="0" w:type="dxa"/>
              <w:left w:w="38" w:type="dxa"/>
              <w:bottom w:w="0" w:type="dxa"/>
              <w:right w:w="38" w:type="dxa"/>
            </w:tcMar>
            <w:vAlign w:val="center"/>
          </w:tcPr>
          <w:p w14:paraId="38EED75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陈伟镇</w:t>
            </w:r>
          </w:p>
        </w:tc>
        <w:tc>
          <w:tcPr>
            <w:tcW w:w="1140" w:type="pct"/>
            <w:shd w:val="clear" w:color="auto" w:fill="FFFFFF"/>
            <w:tcMar>
              <w:top w:w="0" w:type="dxa"/>
              <w:left w:w="38" w:type="dxa"/>
              <w:bottom w:w="0" w:type="dxa"/>
              <w:right w:w="38" w:type="dxa"/>
            </w:tcMar>
            <w:vAlign w:val="center"/>
          </w:tcPr>
          <w:p w14:paraId="3DC731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DCC0E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293E7D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76C59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14-2</w:t>
            </w:r>
          </w:p>
        </w:tc>
        <w:tc>
          <w:tcPr>
            <w:tcW w:w="1858" w:type="pct"/>
            <w:shd w:val="clear" w:color="auto" w:fill="FFFFFF"/>
            <w:tcMar>
              <w:top w:w="0" w:type="dxa"/>
              <w:left w:w="38" w:type="dxa"/>
              <w:bottom w:w="0" w:type="dxa"/>
              <w:right w:w="38" w:type="dxa"/>
            </w:tcMar>
            <w:vAlign w:val="center"/>
          </w:tcPr>
          <w:p w14:paraId="02C083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曾小连</w:t>
            </w:r>
          </w:p>
        </w:tc>
        <w:tc>
          <w:tcPr>
            <w:tcW w:w="1140" w:type="pct"/>
            <w:shd w:val="clear" w:color="auto" w:fill="FFFFFF"/>
            <w:tcMar>
              <w:top w:w="0" w:type="dxa"/>
              <w:left w:w="38" w:type="dxa"/>
              <w:bottom w:w="0" w:type="dxa"/>
              <w:right w:w="38" w:type="dxa"/>
            </w:tcMar>
            <w:vAlign w:val="center"/>
          </w:tcPr>
          <w:p w14:paraId="2E88382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ADEDB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4FDFEA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F3212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14-3</w:t>
            </w:r>
          </w:p>
        </w:tc>
        <w:tc>
          <w:tcPr>
            <w:tcW w:w="1858" w:type="pct"/>
            <w:shd w:val="clear" w:color="auto" w:fill="FFFFFF"/>
            <w:tcMar>
              <w:top w:w="0" w:type="dxa"/>
              <w:left w:w="38" w:type="dxa"/>
              <w:bottom w:w="0" w:type="dxa"/>
              <w:right w:w="38" w:type="dxa"/>
            </w:tcMar>
            <w:vAlign w:val="center"/>
          </w:tcPr>
          <w:p w14:paraId="4F061B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sz w:val="21"/>
                <w:szCs w:val="21"/>
              </w:rPr>
              <w:t>陈耿豪</w:t>
            </w:r>
          </w:p>
        </w:tc>
        <w:tc>
          <w:tcPr>
            <w:tcW w:w="1140" w:type="pct"/>
            <w:shd w:val="clear" w:color="auto" w:fill="FFFFFF"/>
            <w:tcMar>
              <w:top w:w="0" w:type="dxa"/>
              <w:left w:w="38" w:type="dxa"/>
              <w:bottom w:w="0" w:type="dxa"/>
              <w:right w:w="38" w:type="dxa"/>
            </w:tcMar>
            <w:vAlign w:val="center"/>
          </w:tcPr>
          <w:p w14:paraId="386B2F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02F9675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4FA236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F1EE6D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w:t>
            </w:r>
          </w:p>
        </w:tc>
        <w:tc>
          <w:tcPr>
            <w:tcW w:w="1858" w:type="pct"/>
            <w:shd w:val="clear" w:color="auto" w:fill="FFFFFF"/>
            <w:tcMar>
              <w:top w:w="0" w:type="dxa"/>
              <w:left w:w="38" w:type="dxa"/>
              <w:bottom w:w="0" w:type="dxa"/>
              <w:right w:w="38" w:type="dxa"/>
            </w:tcMar>
            <w:vAlign w:val="center"/>
          </w:tcPr>
          <w:p w14:paraId="2F89DF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珠海康远</w:t>
            </w:r>
          </w:p>
        </w:tc>
        <w:tc>
          <w:tcPr>
            <w:tcW w:w="1140" w:type="pct"/>
            <w:shd w:val="clear" w:color="auto" w:fill="FFFFFF"/>
            <w:tcMar>
              <w:top w:w="0" w:type="dxa"/>
              <w:left w:w="38" w:type="dxa"/>
              <w:bottom w:w="0" w:type="dxa"/>
              <w:right w:w="38" w:type="dxa"/>
            </w:tcMar>
            <w:vAlign w:val="center"/>
          </w:tcPr>
          <w:p w14:paraId="575CA42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18133C3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E6ECDC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B2E33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w:t>
            </w:r>
          </w:p>
        </w:tc>
        <w:tc>
          <w:tcPr>
            <w:tcW w:w="1858" w:type="pct"/>
            <w:shd w:val="clear" w:color="auto" w:fill="FFFFFF"/>
            <w:tcMar>
              <w:top w:w="0" w:type="dxa"/>
              <w:left w:w="38" w:type="dxa"/>
              <w:bottom w:w="0" w:type="dxa"/>
              <w:right w:w="38" w:type="dxa"/>
            </w:tcMar>
            <w:vAlign w:val="center"/>
          </w:tcPr>
          <w:p w14:paraId="366DA3E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许一宇</w:t>
            </w:r>
          </w:p>
        </w:tc>
        <w:tc>
          <w:tcPr>
            <w:tcW w:w="1140" w:type="pct"/>
            <w:shd w:val="clear" w:color="auto" w:fill="FFFFFF"/>
            <w:tcMar>
              <w:top w:w="0" w:type="dxa"/>
              <w:left w:w="38" w:type="dxa"/>
              <w:bottom w:w="0" w:type="dxa"/>
              <w:right w:w="38" w:type="dxa"/>
            </w:tcMar>
            <w:vAlign w:val="center"/>
          </w:tcPr>
          <w:p w14:paraId="2736BB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9B0CB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B1C716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BD8CB5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w:t>
            </w:r>
          </w:p>
        </w:tc>
        <w:tc>
          <w:tcPr>
            <w:tcW w:w="1858" w:type="pct"/>
            <w:shd w:val="clear" w:color="auto" w:fill="FFFFFF"/>
            <w:tcMar>
              <w:top w:w="0" w:type="dxa"/>
              <w:left w:w="38" w:type="dxa"/>
              <w:bottom w:w="0" w:type="dxa"/>
              <w:right w:w="38" w:type="dxa"/>
            </w:tcMar>
            <w:vAlign w:val="center"/>
          </w:tcPr>
          <w:p w14:paraId="56FEB5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敖小敏</w:t>
            </w:r>
          </w:p>
        </w:tc>
        <w:tc>
          <w:tcPr>
            <w:tcW w:w="1140" w:type="pct"/>
            <w:shd w:val="clear" w:color="auto" w:fill="FFFFFF"/>
            <w:tcMar>
              <w:top w:w="0" w:type="dxa"/>
              <w:left w:w="38" w:type="dxa"/>
              <w:bottom w:w="0" w:type="dxa"/>
              <w:right w:w="38" w:type="dxa"/>
            </w:tcMar>
            <w:vAlign w:val="center"/>
          </w:tcPr>
          <w:p w14:paraId="049745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A54325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A90C4B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D373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w:t>
            </w:r>
          </w:p>
        </w:tc>
        <w:tc>
          <w:tcPr>
            <w:tcW w:w="1858" w:type="pct"/>
            <w:shd w:val="clear" w:color="auto" w:fill="FFFFFF"/>
            <w:tcMar>
              <w:top w:w="0" w:type="dxa"/>
              <w:left w:w="38" w:type="dxa"/>
              <w:bottom w:w="0" w:type="dxa"/>
              <w:right w:w="38" w:type="dxa"/>
            </w:tcMar>
            <w:vAlign w:val="center"/>
          </w:tcPr>
          <w:p w14:paraId="69C20F8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谢永元</w:t>
            </w:r>
          </w:p>
        </w:tc>
        <w:tc>
          <w:tcPr>
            <w:tcW w:w="1140" w:type="pct"/>
            <w:shd w:val="clear" w:color="auto" w:fill="FFFFFF"/>
            <w:tcMar>
              <w:top w:w="0" w:type="dxa"/>
              <w:left w:w="38" w:type="dxa"/>
              <w:bottom w:w="0" w:type="dxa"/>
              <w:right w:w="38" w:type="dxa"/>
            </w:tcMar>
            <w:vAlign w:val="center"/>
          </w:tcPr>
          <w:p w14:paraId="54DA7D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D066D0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7B6A69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ED846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15-4</w:t>
            </w:r>
          </w:p>
        </w:tc>
        <w:tc>
          <w:tcPr>
            <w:tcW w:w="1858" w:type="pct"/>
            <w:shd w:val="clear" w:color="auto" w:fill="FFFFFF"/>
            <w:tcMar>
              <w:top w:w="0" w:type="dxa"/>
              <w:left w:w="38" w:type="dxa"/>
              <w:bottom w:w="0" w:type="dxa"/>
              <w:right w:w="38" w:type="dxa"/>
            </w:tcMar>
            <w:vAlign w:val="center"/>
          </w:tcPr>
          <w:p w14:paraId="4A128D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陈重阳</w:t>
            </w:r>
          </w:p>
        </w:tc>
        <w:tc>
          <w:tcPr>
            <w:tcW w:w="1140" w:type="pct"/>
            <w:shd w:val="clear" w:color="auto" w:fill="FFFFFF"/>
            <w:tcMar>
              <w:top w:w="0" w:type="dxa"/>
              <w:left w:w="38" w:type="dxa"/>
              <w:bottom w:w="0" w:type="dxa"/>
              <w:right w:w="38" w:type="dxa"/>
            </w:tcMar>
            <w:vAlign w:val="center"/>
          </w:tcPr>
          <w:p w14:paraId="44BEDF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993D74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3E6D79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20F8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15-5</w:t>
            </w:r>
          </w:p>
        </w:tc>
        <w:tc>
          <w:tcPr>
            <w:tcW w:w="1858" w:type="pct"/>
            <w:shd w:val="clear" w:color="auto" w:fill="FFFFFF"/>
            <w:tcMar>
              <w:top w:w="0" w:type="dxa"/>
              <w:left w:w="38" w:type="dxa"/>
              <w:bottom w:w="0" w:type="dxa"/>
              <w:right w:w="38" w:type="dxa"/>
            </w:tcMar>
            <w:vAlign w:val="center"/>
          </w:tcPr>
          <w:p w14:paraId="3CE8ED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孙俊瀚</w:t>
            </w:r>
          </w:p>
        </w:tc>
        <w:tc>
          <w:tcPr>
            <w:tcW w:w="1140" w:type="pct"/>
            <w:shd w:val="clear" w:color="auto" w:fill="FFFFFF"/>
            <w:tcMar>
              <w:top w:w="0" w:type="dxa"/>
              <w:left w:w="38" w:type="dxa"/>
              <w:bottom w:w="0" w:type="dxa"/>
              <w:right w:w="38" w:type="dxa"/>
            </w:tcMar>
            <w:vAlign w:val="center"/>
          </w:tcPr>
          <w:p w14:paraId="4EF50C7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9EC939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47B1C0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9E92CC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15-6</w:t>
            </w:r>
          </w:p>
        </w:tc>
        <w:tc>
          <w:tcPr>
            <w:tcW w:w="1858" w:type="pct"/>
            <w:shd w:val="clear" w:color="auto" w:fill="FFFFFF"/>
            <w:tcMar>
              <w:top w:w="0" w:type="dxa"/>
              <w:left w:w="38" w:type="dxa"/>
              <w:bottom w:w="0" w:type="dxa"/>
              <w:right w:w="38" w:type="dxa"/>
            </w:tcMar>
            <w:vAlign w:val="center"/>
          </w:tcPr>
          <w:p w14:paraId="016854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彭书琴</w:t>
            </w:r>
          </w:p>
        </w:tc>
        <w:tc>
          <w:tcPr>
            <w:tcW w:w="1140" w:type="pct"/>
            <w:shd w:val="clear" w:color="auto" w:fill="FFFFFF"/>
            <w:tcMar>
              <w:top w:w="0" w:type="dxa"/>
              <w:left w:w="38" w:type="dxa"/>
              <w:bottom w:w="0" w:type="dxa"/>
              <w:right w:w="38" w:type="dxa"/>
            </w:tcMar>
            <w:vAlign w:val="center"/>
          </w:tcPr>
          <w:p w14:paraId="1A7D48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358E5F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23BFF8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1EEC18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15-7</w:t>
            </w:r>
          </w:p>
        </w:tc>
        <w:tc>
          <w:tcPr>
            <w:tcW w:w="1858" w:type="pct"/>
            <w:shd w:val="clear" w:color="auto" w:fill="FFFFFF"/>
            <w:tcMar>
              <w:top w:w="0" w:type="dxa"/>
              <w:left w:w="38" w:type="dxa"/>
              <w:bottom w:w="0" w:type="dxa"/>
              <w:right w:w="38" w:type="dxa"/>
            </w:tcMar>
            <w:vAlign w:val="center"/>
          </w:tcPr>
          <w:p w14:paraId="4F8376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陆洁</w:t>
            </w:r>
          </w:p>
        </w:tc>
        <w:tc>
          <w:tcPr>
            <w:tcW w:w="1140" w:type="pct"/>
            <w:shd w:val="clear" w:color="auto" w:fill="FFFFFF"/>
            <w:tcMar>
              <w:top w:w="0" w:type="dxa"/>
              <w:left w:w="38" w:type="dxa"/>
              <w:bottom w:w="0" w:type="dxa"/>
              <w:right w:w="38" w:type="dxa"/>
            </w:tcMar>
            <w:vAlign w:val="center"/>
          </w:tcPr>
          <w:p w14:paraId="017205C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E551C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6E5BD4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2C7FD3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15-8</w:t>
            </w:r>
          </w:p>
        </w:tc>
        <w:tc>
          <w:tcPr>
            <w:tcW w:w="1858" w:type="pct"/>
            <w:shd w:val="clear" w:color="auto" w:fill="FFFFFF"/>
            <w:tcMar>
              <w:top w:w="0" w:type="dxa"/>
              <w:left w:w="38" w:type="dxa"/>
              <w:bottom w:w="0" w:type="dxa"/>
              <w:right w:w="38" w:type="dxa"/>
            </w:tcMar>
            <w:vAlign w:val="center"/>
          </w:tcPr>
          <w:p w14:paraId="4D48C9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朱成</w:t>
            </w:r>
          </w:p>
        </w:tc>
        <w:tc>
          <w:tcPr>
            <w:tcW w:w="1140" w:type="pct"/>
            <w:shd w:val="clear" w:color="auto" w:fill="FFFFFF"/>
            <w:tcMar>
              <w:top w:w="0" w:type="dxa"/>
              <w:left w:w="38" w:type="dxa"/>
              <w:bottom w:w="0" w:type="dxa"/>
              <w:right w:w="38" w:type="dxa"/>
            </w:tcMar>
            <w:vAlign w:val="center"/>
          </w:tcPr>
          <w:p w14:paraId="7C63E37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F19412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708483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69C130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w:t>
            </w:r>
          </w:p>
        </w:tc>
        <w:tc>
          <w:tcPr>
            <w:tcW w:w="1858" w:type="pct"/>
            <w:shd w:val="clear" w:color="auto" w:fill="FFFFFF"/>
            <w:tcMar>
              <w:top w:w="0" w:type="dxa"/>
              <w:left w:w="38" w:type="dxa"/>
              <w:bottom w:w="0" w:type="dxa"/>
              <w:right w:w="38" w:type="dxa"/>
            </w:tcMar>
            <w:vAlign w:val="center"/>
          </w:tcPr>
          <w:p w14:paraId="3C92EE8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张和</w:t>
            </w:r>
          </w:p>
        </w:tc>
        <w:tc>
          <w:tcPr>
            <w:tcW w:w="1140" w:type="pct"/>
            <w:shd w:val="clear" w:color="auto" w:fill="FFFFFF"/>
            <w:tcMar>
              <w:top w:w="0" w:type="dxa"/>
              <w:left w:w="38" w:type="dxa"/>
              <w:bottom w:w="0" w:type="dxa"/>
              <w:right w:w="38" w:type="dxa"/>
            </w:tcMar>
            <w:vAlign w:val="center"/>
          </w:tcPr>
          <w:p w14:paraId="6BD481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269FC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185A49C"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3C722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15-10</w:t>
            </w:r>
          </w:p>
        </w:tc>
        <w:tc>
          <w:tcPr>
            <w:tcW w:w="1858" w:type="pct"/>
            <w:shd w:val="clear" w:color="auto" w:fill="FFFFFF"/>
            <w:tcMar>
              <w:top w:w="0" w:type="dxa"/>
              <w:left w:w="38" w:type="dxa"/>
              <w:bottom w:w="0" w:type="dxa"/>
              <w:right w:w="38" w:type="dxa"/>
            </w:tcMar>
            <w:vAlign w:val="center"/>
          </w:tcPr>
          <w:p w14:paraId="2989FF4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肖雪生</w:t>
            </w:r>
          </w:p>
        </w:tc>
        <w:tc>
          <w:tcPr>
            <w:tcW w:w="1140" w:type="pct"/>
            <w:shd w:val="clear" w:color="auto" w:fill="FFFFFF"/>
            <w:tcMar>
              <w:top w:w="0" w:type="dxa"/>
              <w:left w:w="38" w:type="dxa"/>
              <w:bottom w:w="0" w:type="dxa"/>
              <w:right w:w="38" w:type="dxa"/>
            </w:tcMar>
            <w:vAlign w:val="center"/>
          </w:tcPr>
          <w:p w14:paraId="2E12CB4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20DAB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B312C7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F0897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15-11</w:t>
            </w:r>
          </w:p>
        </w:tc>
        <w:tc>
          <w:tcPr>
            <w:tcW w:w="1858" w:type="pct"/>
            <w:shd w:val="clear" w:color="auto" w:fill="FFFFFF"/>
            <w:tcMar>
              <w:top w:w="0" w:type="dxa"/>
              <w:left w:w="38" w:type="dxa"/>
              <w:bottom w:w="0" w:type="dxa"/>
              <w:right w:w="38" w:type="dxa"/>
            </w:tcMar>
            <w:vAlign w:val="center"/>
          </w:tcPr>
          <w:p w14:paraId="07B4E7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宋红霞</w:t>
            </w:r>
          </w:p>
        </w:tc>
        <w:tc>
          <w:tcPr>
            <w:tcW w:w="1140" w:type="pct"/>
            <w:shd w:val="clear" w:color="auto" w:fill="FFFFFF"/>
            <w:tcMar>
              <w:top w:w="0" w:type="dxa"/>
              <w:left w:w="38" w:type="dxa"/>
              <w:bottom w:w="0" w:type="dxa"/>
              <w:right w:w="38" w:type="dxa"/>
            </w:tcMar>
            <w:vAlign w:val="center"/>
          </w:tcPr>
          <w:p w14:paraId="422880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6C694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392E5C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882CD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15-12</w:t>
            </w:r>
          </w:p>
        </w:tc>
        <w:tc>
          <w:tcPr>
            <w:tcW w:w="1858" w:type="pct"/>
            <w:shd w:val="clear" w:color="auto" w:fill="FFFFFF"/>
            <w:tcMar>
              <w:top w:w="0" w:type="dxa"/>
              <w:left w:w="38" w:type="dxa"/>
              <w:bottom w:w="0" w:type="dxa"/>
              <w:right w:w="38" w:type="dxa"/>
            </w:tcMar>
            <w:vAlign w:val="center"/>
          </w:tcPr>
          <w:p w14:paraId="6D1E411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宋若梦</w:t>
            </w:r>
          </w:p>
        </w:tc>
        <w:tc>
          <w:tcPr>
            <w:tcW w:w="1140" w:type="pct"/>
            <w:shd w:val="clear" w:color="auto" w:fill="FFFFFF"/>
            <w:tcMar>
              <w:top w:w="0" w:type="dxa"/>
              <w:left w:w="38" w:type="dxa"/>
              <w:bottom w:w="0" w:type="dxa"/>
              <w:right w:w="38" w:type="dxa"/>
            </w:tcMar>
            <w:vAlign w:val="center"/>
          </w:tcPr>
          <w:p w14:paraId="3CB4B0E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AF27C2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4A67E2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584C61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15-13</w:t>
            </w:r>
          </w:p>
        </w:tc>
        <w:tc>
          <w:tcPr>
            <w:tcW w:w="1858" w:type="pct"/>
            <w:shd w:val="clear" w:color="auto" w:fill="FFFFFF"/>
            <w:tcMar>
              <w:top w:w="0" w:type="dxa"/>
              <w:left w:w="38" w:type="dxa"/>
              <w:bottom w:w="0" w:type="dxa"/>
              <w:right w:w="38" w:type="dxa"/>
            </w:tcMar>
            <w:vAlign w:val="center"/>
          </w:tcPr>
          <w:p w14:paraId="01B094A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徐申杨</w:t>
            </w:r>
          </w:p>
        </w:tc>
        <w:tc>
          <w:tcPr>
            <w:tcW w:w="1140" w:type="pct"/>
            <w:shd w:val="clear" w:color="auto" w:fill="FFFFFF"/>
            <w:tcMar>
              <w:top w:w="0" w:type="dxa"/>
              <w:left w:w="38" w:type="dxa"/>
              <w:bottom w:w="0" w:type="dxa"/>
              <w:right w:w="38" w:type="dxa"/>
            </w:tcMar>
            <w:vAlign w:val="center"/>
          </w:tcPr>
          <w:p w14:paraId="6E42E5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77A29E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782DCF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24356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15-14</w:t>
            </w:r>
          </w:p>
        </w:tc>
        <w:tc>
          <w:tcPr>
            <w:tcW w:w="1858" w:type="pct"/>
            <w:shd w:val="clear" w:color="auto" w:fill="FFFFFF"/>
            <w:tcMar>
              <w:top w:w="0" w:type="dxa"/>
              <w:left w:w="38" w:type="dxa"/>
              <w:bottom w:w="0" w:type="dxa"/>
              <w:right w:w="38" w:type="dxa"/>
            </w:tcMar>
            <w:vAlign w:val="center"/>
          </w:tcPr>
          <w:p w14:paraId="2C59166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叶卫浩</w:t>
            </w:r>
          </w:p>
        </w:tc>
        <w:tc>
          <w:tcPr>
            <w:tcW w:w="1140" w:type="pct"/>
            <w:shd w:val="clear" w:color="auto" w:fill="FFFFFF"/>
            <w:tcMar>
              <w:top w:w="0" w:type="dxa"/>
              <w:left w:w="38" w:type="dxa"/>
              <w:bottom w:w="0" w:type="dxa"/>
              <w:right w:w="38" w:type="dxa"/>
            </w:tcMar>
            <w:vAlign w:val="center"/>
          </w:tcPr>
          <w:p w14:paraId="70BE55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0EF4D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3FC8FC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2635BF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15-15</w:t>
            </w:r>
          </w:p>
        </w:tc>
        <w:tc>
          <w:tcPr>
            <w:tcW w:w="1858" w:type="pct"/>
            <w:shd w:val="clear" w:color="auto" w:fill="FFFFFF"/>
            <w:tcMar>
              <w:top w:w="0" w:type="dxa"/>
              <w:left w:w="38" w:type="dxa"/>
              <w:bottom w:w="0" w:type="dxa"/>
              <w:right w:w="38" w:type="dxa"/>
            </w:tcMar>
            <w:vAlign w:val="center"/>
          </w:tcPr>
          <w:p w14:paraId="78CB54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朱啸</w:t>
            </w:r>
          </w:p>
        </w:tc>
        <w:tc>
          <w:tcPr>
            <w:tcW w:w="1140" w:type="pct"/>
            <w:shd w:val="clear" w:color="auto" w:fill="FFFFFF"/>
            <w:tcMar>
              <w:top w:w="0" w:type="dxa"/>
              <w:left w:w="38" w:type="dxa"/>
              <w:bottom w:w="0" w:type="dxa"/>
              <w:right w:w="38" w:type="dxa"/>
            </w:tcMar>
            <w:vAlign w:val="center"/>
          </w:tcPr>
          <w:p w14:paraId="2B8574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9D1E2F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A5B459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B2540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15-16</w:t>
            </w:r>
          </w:p>
        </w:tc>
        <w:tc>
          <w:tcPr>
            <w:tcW w:w="1858" w:type="pct"/>
            <w:shd w:val="clear" w:color="auto" w:fill="FFFFFF"/>
            <w:tcMar>
              <w:top w:w="0" w:type="dxa"/>
              <w:left w:w="38" w:type="dxa"/>
              <w:bottom w:w="0" w:type="dxa"/>
              <w:right w:w="38" w:type="dxa"/>
            </w:tcMar>
            <w:vAlign w:val="center"/>
          </w:tcPr>
          <w:p w14:paraId="6F34D5F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张颖</w:t>
            </w:r>
          </w:p>
        </w:tc>
        <w:tc>
          <w:tcPr>
            <w:tcW w:w="1140" w:type="pct"/>
            <w:shd w:val="clear" w:color="auto" w:fill="FFFFFF"/>
            <w:tcMar>
              <w:top w:w="0" w:type="dxa"/>
              <w:left w:w="38" w:type="dxa"/>
              <w:bottom w:w="0" w:type="dxa"/>
              <w:right w:w="38" w:type="dxa"/>
            </w:tcMar>
            <w:vAlign w:val="center"/>
          </w:tcPr>
          <w:p w14:paraId="590038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888FC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E9E511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A8AA99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15-17</w:t>
            </w:r>
          </w:p>
        </w:tc>
        <w:tc>
          <w:tcPr>
            <w:tcW w:w="1858" w:type="pct"/>
            <w:shd w:val="clear" w:color="auto" w:fill="FFFFFF"/>
            <w:tcMar>
              <w:top w:w="0" w:type="dxa"/>
              <w:left w:w="38" w:type="dxa"/>
              <w:bottom w:w="0" w:type="dxa"/>
              <w:right w:w="38" w:type="dxa"/>
            </w:tcMar>
            <w:vAlign w:val="center"/>
          </w:tcPr>
          <w:p w14:paraId="149A0FD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黄豪</w:t>
            </w:r>
          </w:p>
        </w:tc>
        <w:tc>
          <w:tcPr>
            <w:tcW w:w="1140" w:type="pct"/>
            <w:shd w:val="clear" w:color="auto" w:fill="FFFFFF"/>
            <w:tcMar>
              <w:top w:w="0" w:type="dxa"/>
              <w:left w:w="38" w:type="dxa"/>
              <w:bottom w:w="0" w:type="dxa"/>
              <w:right w:w="38" w:type="dxa"/>
            </w:tcMar>
            <w:vAlign w:val="center"/>
          </w:tcPr>
          <w:p w14:paraId="755E14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5418BD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ABF30D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A9A53C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15-18</w:t>
            </w:r>
          </w:p>
        </w:tc>
        <w:tc>
          <w:tcPr>
            <w:tcW w:w="1858" w:type="pct"/>
            <w:shd w:val="clear" w:color="auto" w:fill="FFFFFF"/>
            <w:tcMar>
              <w:top w:w="0" w:type="dxa"/>
              <w:left w:w="38" w:type="dxa"/>
              <w:bottom w:w="0" w:type="dxa"/>
              <w:right w:w="38" w:type="dxa"/>
            </w:tcMar>
            <w:vAlign w:val="center"/>
          </w:tcPr>
          <w:p w14:paraId="5D8C9A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汪涵瀚</w:t>
            </w:r>
          </w:p>
        </w:tc>
        <w:tc>
          <w:tcPr>
            <w:tcW w:w="1140" w:type="pct"/>
            <w:shd w:val="clear" w:color="auto" w:fill="FFFFFF"/>
            <w:tcMar>
              <w:top w:w="0" w:type="dxa"/>
              <w:left w:w="38" w:type="dxa"/>
              <w:bottom w:w="0" w:type="dxa"/>
              <w:right w:w="38" w:type="dxa"/>
            </w:tcMar>
            <w:vAlign w:val="center"/>
          </w:tcPr>
          <w:p w14:paraId="75FE3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40D3B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512DDE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3C12C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15-19</w:t>
            </w:r>
          </w:p>
        </w:tc>
        <w:tc>
          <w:tcPr>
            <w:tcW w:w="1858" w:type="pct"/>
            <w:shd w:val="clear" w:color="auto" w:fill="FFFFFF"/>
            <w:tcMar>
              <w:top w:w="0" w:type="dxa"/>
              <w:left w:w="38" w:type="dxa"/>
              <w:bottom w:w="0" w:type="dxa"/>
              <w:right w:w="38" w:type="dxa"/>
            </w:tcMar>
            <w:vAlign w:val="center"/>
          </w:tcPr>
          <w:p w14:paraId="74C7A6D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李瑾琳</w:t>
            </w:r>
          </w:p>
        </w:tc>
        <w:tc>
          <w:tcPr>
            <w:tcW w:w="1140" w:type="pct"/>
            <w:shd w:val="clear" w:color="auto" w:fill="FFFFFF"/>
            <w:tcMar>
              <w:top w:w="0" w:type="dxa"/>
              <w:left w:w="38" w:type="dxa"/>
              <w:bottom w:w="0" w:type="dxa"/>
              <w:right w:w="38" w:type="dxa"/>
            </w:tcMar>
            <w:vAlign w:val="center"/>
          </w:tcPr>
          <w:p w14:paraId="2A5760D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529F1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7B7E622"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FD83C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15-20</w:t>
            </w:r>
          </w:p>
        </w:tc>
        <w:tc>
          <w:tcPr>
            <w:tcW w:w="1858" w:type="pct"/>
            <w:shd w:val="clear" w:color="auto" w:fill="FFFFFF"/>
            <w:tcMar>
              <w:top w:w="0" w:type="dxa"/>
              <w:left w:w="38" w:type="dxa"/>
              <w:bottom w:w="0" w:type="dxa"/>
              <w:right w:w="38" w:type="dxa"/>
            </w:tcMar>
            <w:vAlign w:val="center"/>
          </w:tcPr>
          <w:p w14:paraId="45A2CD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李瑾瑶</w:t>
            </w:r>
          </w:p>
        </w:tc>
        <w:tc>
          <w:tcPr>
            <w:tcW w:w="1140" w:type="pct"/>
            <w:shd w:val="clear" w:color="auto" w:fill="FFFFFF"/>
            <w:tcMar>
              <w:top w:w="0" w:type="dxa"/>
              <w:left w:w="38" w:type="dxa"/>
              <w:bottom w:w="0" w:type="dxa"/>
              <w:right w:w="38" w:type="dxa"/>
            </w:tcMar>
            <w:vAlign w:val="center"/>
          </w:tcPr>
          <w:p w14:paraId="11C51A2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1885F2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D31B6D4"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04AD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15-21</w:t>
            </w:r>
          </w:p>
        </w:tc>
        <w:tc>
          <w:tcPr>
            <w:tcW w:w="1858" w:type="pct"/>
            <w:shd w:val="clear" w:color="auto" w:fill="FFFFFF"/>
            <w:tcMar>
              <w:top w:w="0" w:type="dxa"/>
              <w:left w:w="38" w:type="dxa"/>
              <w:bottom w:w="0" w:type="dxa"/>
              <w:right w:w="38" w:type="dxa"/>
            </w:tcMar>
            <w:vAlign w:val="center"/>
          </w:tcPr>
          <w:p w14:paraId="7F877B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李超</w:t>
            </w:r>
          </w:p>
        </w:tc>
        <w:tc>
          <w:tcPr>
            <w:tcW w:w="1140" w:type="pct"/>
            <w:shd w:val="clear" w:color="auto" w:fill="FFFFFF"/>
            <w:tcMar>
              <w:top w:w="0" w:type="dxa"/>
              <w:left w:w="38" w:type="dxa"/>
              <w:bottom w:w="0" w:type="dxa"/>
              <w:right w:w="38" w:type="dxa"/>
            </w:tcMar>
            <w:vAlign w:val="center"/>
          </w:tcPr>
          <w:p w14:paraId="0B8B33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64C0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797D3D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73FC5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15-22</w:t>
            </w:r>
          </w:p>
        </w:tc>
        <w:tc>
          <w:tcPr>
            <w:tcW w:w="1858" w:type="pct"/>
            <w:shd w:val="clear" w:color="auto" w:fill="FFFFFF"/>
            <w:tcMar>
              <w:top w:w="0" w:type="dxa"/>
              <w:left w:w="38" w:type="dxa"/>
              <w:bottom w:w="0" w:type="dxa"/>
              <w:right w:w="38" w:type="dxa"/>
            </w:tcMar>
            <w:vAlign w:val="center"/>
          </w:tcPr>
          <w:p w14:paraId="447EE0B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黄贤村</w:t>
            </w:r>
          </w:p>
        </w:tc>
        <w:tc>
          <w:tcPr>
            <w:tcW w:w="1140" w:type="pct"/>
            <w:shd w:val="clear" w:color="auto" w:fill="FFFFFF"/>
            <w:tcMar>
              <w:top w:w="0" w:type="dxa"/>
              <w:left w:w="38" w:type="dxa"/>
              <w:bottom w:w="0" w:type="dxa"/>
              <w:right w:w="38" w:type="dxa"/>
            </w:tcMar>
            <w:vAlign w:val="center"/>
          </w:tcPr>
          <w:p w14:paraId="5280D79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3DB1A9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D0690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6A5E54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15-23</w:t>
            </w:r>
          </w:p>
        </w:tc>
        <w:tc>
          <w:tcPr>
            <w:tcW w:w="1858" w:type="pct"/>
            <w:shd w:val="clear" w:color="auto" w:fill="FFFFFF"/>
            <w:tcMar>
              <w:top w:w="0" w:type="dxa"/>
              <w:left w:w="38" w:type="dxa"/>
              <w:bottom w:w="0" w:type="dxa"/>
              <w:right w:w="38" w:type="dxa"/>
            </w:tcMar>
            <w:vAlign w:val="center"/>
          </w:tcPr>
          <w:p w14:paraId="75597B1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陈亮</w:t>
            </w:r>
          </w:p>
        </w:tc>
        <w:tc>
          <w:tcPr>
            <w:tcW w:w="1140" w:type="pct"/>
            <w:shd w:val="clear" w:color="auto" w:fill="FFFFFF"/>
            <w:tcMar>
              <w:top w:w="0" w:type="dxa"/>
              <w:left w:w="38" w:type="dxa"/>
              <w:bottom w:w="0" w:type="dxa"/>
              <w:right w:w="38" w:type="dxa"/>
            </w:tcMar>
            <w:vAlign w:val="center"/>
          </w:tcPr>
          <w:p w14:paraId="04D3A78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6CDAF7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79C33B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5914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15-24</w:t>
            </w:r>
          </w:p>
        </w:tc>
        <w:tc>
          <w:tcPr>
            <w:tcW w:w="1858" w:type="pct"/>
            <w:shd w:val="clear" w:color="auto" w:fill="FFFFFF"/>
            <w:tcMar>
              <w:top w:w="0" w:type="dxa"/>
              <w:left w:w="38" w:type="dxa"/>
              <w:bottom w:w="0" w:type="dxa"/>
              <w:right w:w="38" w:type="dxa"/>
            </w:tcMar>
            <w:vAlign w:val="center"/>
          </w:tcPr>
          <w:p w14:paraId="258269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崔增收</w:t>
            </w:r>
          </w:p>
        </w:tc>
        <w:tc>
          <w:tcPr>
            <w:tcW w:w="1140" w:type="pct"/>
            <w:shd w:val="clear" w:color="auto" w:fill="FFFFFF"/>
            <w:tcMar>
              <w:top w:w="0" w:type="dxa"/>
              <w:left w:w="38" w:type="dxa"/>
              <w:bottom w:w="0" w:type="dxa"/>
              <w:right w:w="38" w:type="dxa"/>
            </w:tcMar>
            <w:vAlign w:val="center"/>
          </w:tcPr>
          <w:p w14:paraId="171FFA8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0DB496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215893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E789C8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15-25</w:t>
            </w:r>
          </w:p>
        </w:tc>
        <w:tc>
          <w:tcPr>
            <w:tcW w:w="1858" w:type="pct"/>
            <w:shd w:val="clear" w:color="auto" w:fill="FFFFFF"/>
            <w:tcMar>
              <w:top w:w="0" w:type="dxa"/>
              <w:left w:w="38" w:type="dxa"/>
              <w:bottom w:w="0" w:type="dxa"/>
              <w:right w:w="38" w:type="dxa"/>
            </w:tcMar>
            <w:vAlign w:val="center"/>
          </w:tcPr>
          <w:p w14:paraId="741A48A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谭小波</w:t>
            </w:r>
          </w:p>
        </w:tc>
        <w:tc>
          <w:tcPr>
            <w:tcW w:w="1140" w:type="pct"/>
            <w:shd w:val="clear" w:color="auto" w:fill="FFFFFF"/>
            <w:tcMar>
              <w:top w:w="0" w:type="dxa"/>
              <w:left w:w="38" w:type="dxa"/>
              <w:bottom w:w="0" w:type="dxa"/>
              <w:right w:w="38" w:type="dxa"/>
            </w:tcMar>
            <w:vAlign w:val="center"/>
          </w:tcPr>
          <w:p w14:paraId="2F6205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E7A3A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13CB94D"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F3CD7E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15-26</w:t>
            </w:r>
          </w:p>
        </w:tc>
        <w:tc>
          <w:tcPr>
            <w:tcW w:w="1858" w:type="pct"/>
            <w:shd w:val="clear" w:color="auto" w:fill="FFFFFF"/>
            <w:tcMar>
              <w:top w:w="0" w:type="dxa"/>
              <w:left w:w="38" w:type="dxa"/>
              <w:bottom w:w="0" w:type="dxa"/>
              <w:right w:w="38" w:type="dxa"/>
            </w:tcMar>
            <w:vAlign w:val="center"/>
          </w:tcPr>
          <w:p w14:paraId="3C3438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张琦</w:t>
            </w:r>
          </w:p>
        </w:tc>
        <w:tc>
          <w:tcPr>
            <w:tcW w:w="1140" w:type="pct"/>
            <w:shd w:val="clear" w:color="auto" w:fill="FFFFFF"/>
            <w:tcMar>
              <w:top w:w="0" w:type="dxa"/>
              <w:left w:w="38" w:type="dxa"/>
              <w:bottom w:w="0" w:type="dxa"/>
              <w:right w:w="38" w:type="dxa"/>
            </w:tcMar>
            <w:vAlign w:val="center"/>
          </w:tcPr>
          <w:p w14:paraId="3A5FB0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401B9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B5AA7D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19D93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15-27</w:t>
            </w:r>
          </w:p>
        </w:tc>
        <w:tc>
          <w:tcPr>
            <w:tcW w:w="1858" w:type="pct"/>
            <w:shd w:val="clear" w:color="auto" w:fill="FFFFFF"/>
            <w:tcMar>
              <w:top w:w="0" w:type="dxa"/>
              <w:left w:w="38" w:type="dxa"/>
              <w:bottom w:w="0" w:type="dxa"/>
              <w:right w:w="38" w:type="dxa"/>
            </w:tcMar>
            <w:vAlign w:val="center"/>
          </w:tcPr>
          <w:p w14:paraId="35249EE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朱如锦</w:t>
            </w:r>
          </w:p>
        </w:tc>
        <w:tc>
          <w:tcPr>
            <w:tcW w:w="1140" w:type="pct"/>
            <w:shd w:val="clear" w:color="auto" w:fill="FFFFFF"/>
            <w:tcMar>
              <w:top w:w="0" w:type="dxa"/>
              <w:left w:w="38" w:type="dxa"/>
              <w:bottom w:w="0" w:type="dxa"/>
              <w:right w:w="38" w:type="dxa"/>
            </w:tcMar>
            <w:vAlign w:val="center"/>
          </w:tcPr>
          <w:p w14:paraId="58F2126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9B8387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6588A9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FE593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15-28</w:t>
            </w:r>
          </w:p>
        </w:tc>
        <w:tc>
          <w:tcPr>
            <w:tcW w:w="1858" w:type="pct"/>
            <w:shd w:val="clear" w:color="auto" w:fill="FFFFFF"/>
            <w:tcMar>
              <w:top w:w="0" w:type="dxa"/>
              <w:left w:w="38" w:type="dxa"/>
              <w:bottom w:w="0" w:type="dxa"/>
              <w:right w:w="38" w:type="dxa"/>
            </w:tcMar>
            <w:vAlign w:val="center"/>
          </w:tcPr>
          <w:p w14:paraId="155BA8F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沈爱卿</w:t>
            </w:r>
          </w:p>
        </w:tc>
        <w:tc>
          <w:tcPr>
            <w:tcW w:w="1140" w:type="pct"/>
            <w:shd w:val="clear" w:color="auto" w:fill="FFFFFF"/>
            <w:tcMar>
              <w:top w:w="0" w:type="dxa"/>
              <w:left w:w="38" w:type="dxa"/>
              <w:bottom w:w="0" w:type="dxa"/>
              <w:right w:w="38" w:type="dxa"/>
            </w:tcMar>
            <w:vAlign w:val="center"/>
          </w:tcPr>
          <w:p w14:paraId="786E3D3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8300C6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D70606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DC954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15-29</w:t>
            </w:r>
          </w:p>
        </w:tc>
        <w:tc>
          <w:tcPr>
            <w:tcW w:w="1858" w:type="pct"/>
            <w:shd w:val="clear" w:color="auto" w:fill="FFFFFF"/>
            <w:tcMar>
              <w:top w:w="0" w:type="dxa"/>
              <w:left w:w="38" w:type="dxa"/>
              <w:bottom w:w="0" w:type="dxa"/>
              <w:right w:w="38" w:type="dxa"/>
            </w:tcMar>
            <w:vAlign w:val="center"/>
          </w:tcPr>
          <w:p w14:paraId="1FC2C6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邹双卫</w:t>
            </w:r>
          </w:p>
        </w:tc>
        <w:tc>
          <w:tcPr>
            <w:tcW w:w="1140" w:type="pct"/>
            <w:shd w:val="clear" w:color="auto" w:fill="FFFFFF"/>
            <w:tcMar>
              <w:top w:w="0" w:type="dxa"/>
              <w:left w:w="38" w:type="dxa"/>
              <w:bottom w:w="0" w:type="dxa"/>
              <w:right w:w="38" w:type="dxa"/>
            </w:tcMar>
            <w:vAlign w:val="center"/>
          </w:tcPr>
          <w:p w14:paraId="0E4A7DB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AC5483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5A4F2B9"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B2F94B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15-30</w:t>
            </w:r>
          </w:p>
        </w:tc>
        <w:tc>
          <w:tcPr>
            <w:tcW w:w="1858" w:type="pct"/>
            <w:shd w:val="clear" w:color="auto" w:fill="FFFFFF"/>
            <w:tcMar>
              <w:top w:w="0" w:type="dxa"/>
              <w:left w:w="38" w:type="dxa"/>
              <w:bottom w:w="0" w:type="dxa"/>
              <w:right w:w="38" w:type="dxa"/>
            </w:tcMar>
            <w:vAlign w:val="center"/>
          </w:tcPr>
          <w:p w14:paraId="2B68A13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麦小颖</w:t>
            </w:r>
          </w:p>
        </w:tc>
        <w:tc>
          <w:tcPr>
            <w:tcW w:w="1140" w:type="pct"/>
            <w:shd w:val="clear" w:color="auto" w:fill="FFFFFF"/>
            <w:tcMar>
              <w:top w:w="0" w:type="dxa"/>
              <w:left w:w="38" w:type="dxa"/>
              <w:bottom w:w="0" w:type="dxa"/>
              <w:right w:w="38" w:type="dxa"/>
            </w:tcMar>
            <w:vAlign w:val="center"/>
          </w:tcPr>
          <w:p w14:paraId="67FCD2E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933DC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320BB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40066F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15-31</w:t>
            </w:r>
          </w:p>
        </w:tc>
        <w:tc>
          <w:tcPr>
            <w:tcW w:w="1858" w:type="pct"/>
            <w:shd w:val="clear" w:color="auto" w:fill="FFFFFF"/>
            <w:tcMar>
              <w:top w:w="0" w:type="dxa"/>
              <w:left w:w="38" w:type="dxa"/>
              <w:bottom w:w="0" w:type="dxa"/>
              <w:right w:w="38" w:type="dxa"/>
            </w:tcMar>
            <w:vAlign w:val="center"/>
          </w:tcPr>
          <w:p w14:paraId="3E7A0D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刘瑛</w:t>
            </w:r>
          </w:p>
        </w:tc>
        <w:tc>
          <w:tcPr>
            <w:tcW w:w="1140" w:type="pct"/>
            <w:shd w:val="clear" w:color="auto" w:fill="FFFFFF"/>
            <w:tcMar>
              <w:top w:w="0" w:type="dxa"/>
              <w:left w:w="38" w:type="dxa"/>
              <w:bottom w:w="0" w:type="dxa"/>
              <w:right w:w="38" w:type="dxa"/>
            </w:tcMar>
            <w:vAlign w:val="center"/>
          </w:tcPr>
          <w:p w14:paraId="6B5891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FD4A1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73C264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9F84F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15-32</w:t>
            </w:r>
          </w:p>
        </w:tc>
        <w:tc>
          <w:tcPr>
            <w:tcW w:w="1858" w:type="pct"/>
            <w:shd w:val="clear" w:color="auto" w:fill="FFFFFF"/>
            <w:tcMar>
              <w:top w:w="0" w:type="dxa"/>
              <w:left w:w="38" w:type="dxa"/>
              <w:bottom w:w="0" w:type="dxa"/>
              <w:right w:w="38" w:type="dxa"/>
            </w:tcMar>
            <w:vAlign w:val="center"/>
          </w:tcPr>
          <w:p w14:paraId="3611FAB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张子叶</w:t>
            </w:r>
          </w:p>
        </w:tc>
        <w:tc>
          <w:tcPr>
            <w:tcW w:w="1140" w:type="pct"/>
            <w:shd w:val="clear" w:color="auto" w:fill="FFFFFF"/>
            <w:tcMar>
              <w:top w:w="0" w:type="dxa"/>
              <w:left w:w="38" w:type="dxa"/>
              <w:bottom w:w="0" w:type="dxa"/>
              <w:right w:w="38" w:type="dxa"/>
            </w:tcMar>
            <w:vAlign w:val="center"/>
          </w:tcPr>
          <w:p w14:paraId="6ACD2F4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C9B91F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88D8DC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99507F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15-33</w:t>
            </w:r>
          </w:p>
        </w:tc>
        <w:tc>
          <w:tcPr>
            <w:tcW w:w="1858" w:type="pct"/>
            <w:shd w:val="clear" w:color="auto" w:fill="FFFFFF"/>
            <w:tcMar>
              <w:top w:w="0" w:type="dxa"/>
              <w:left w:w="38" w:type="dxa"/>
              <w:bottom w:w="0" w:type="dxa"/>
              <w:right w:w="38" w:type="dxa"/>
            </w:tcMar>
            <w:vAlign w:val="center"/>
          </w:tcPr>
          <w:p w14:paraId="255FAC4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曾建</w:t>
            </w:r>
          </w:p>
        </w:tc>
        <w:tc>
          <w:tcPr>
            <w:tcW w:w="1140" w:type="pct"/>
            <w:shd w:val="clear" w:color="auto" w:fill="FFFFFF"/>
            <w:tcMar>
              <w:top w:w="0" w:type="dxa"/>
              <w:left w:w="38" w:type="dxa"/>
              <w:bottom w:w="0" w:type="dxa"/>
              <w:right w:w="38" w:type="dxa"/>
            </w:tcMar>
            <w:vAlign w:val="center"/>
          </w:tcPr>
          <w:p w14:paraId="626205C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5855E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CA10543"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983F1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15-34</w:t>
            </w:r>
          </w:p>
        </w:tc>
        <w:tc>
          <w:tcPr>
            <w:tcW w:w="1858" w:type="pct"/>
            <w:shd w:val="clear" w:color="auto" w:fill="FFFFFF"/>
            <w:tcMar>
              <w:top w:w="0" w:type="dxa"/>
              <w:left w:w="38" w:type="dxa"/>
              <w:bottom w:w="0" w:type="dxa"/>
              <w:right w:w="38" w:type="dxa"/>
            </w:tcMar>
            <w:vAlign w:val="center"/>
          </w:tcPr>
          <w:p w14:paraId="55D33F9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段剑琴</w:t>
            </w:r>
          </w:p>
        </w:tc>
        <w:tc>
          <w:tcPr>
            <w:tcW w:w="1140" w:type="pct"/>
            <w:shd w:val="clear" w:color="auto" w:fill="FFFFFF"/>
            <w:tcMar>
              <w:top w:w="0" w:type="dxa"/>
              <w:left w:w="38" w:type="dxa"/>
              <w:bottom w:w="0" w:type="dxa"/>
              <w:right w:w="38" w:type="dxa"/>
            </w:tcMar>
            <w:vAlign w:val="center"/>
          </w:tcPr>
          <w:p w14:paraId="243B6A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66931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202461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853C2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15-35</w:t>
            </w:r>
          </w:p>
        </w:tc>
        <w:tc>
          <w:tcPr>
            <w:tcW w:w="1858" w:type="pct"/>
            <w:shd w:val="clear" w:color="auto" w:fill="FFFFFF"/>
            <w:tcMar>
              <w:top w:w="0" w:type="dxa"/>
              <w:left w:w="38" w:type="dxa"/>
              <w:bottom w:w="0" w:type="dxa"/>
              <w:right w:w="38" w:type="dxa"/>
            </w:tcMar>
            <w:vAlign w:val="center"/>
          </w:tcPr>
          <w:p w14:paraId="304BC10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池丽平</w:t>
            </w:r>
          </w:p>
        </w:tc>
        <w:tc>
          <w:tcPr>
            <w:tcW w:w="1140" w:type="pct"/>
            <w:shd w:val="clear" w:color="auto" w:fill="FFFFFF"/>
            <w:tcMar>
              <w:top w:w="0" w:type="dxa"/>
              <w:left w:w="38" w:type="dxa"/>
              <w:bottom w:w="0" w:type="dxa"/>
              <w:right w:w="38" w:type="dxa"/>
            </w:tcMar>
            <w:vAlign w:val="center"/>
          </w:tcPr>
          <w:p w14:paraId="6538531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CD7E89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4211E2B"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C47AF6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15-36</w:t>
            </w:r>
          </w:p>
        </w:tc>
        <w:tc>
          <w:tcPr>
            <w:tcW w:w="1858" w:type="pct"/>
            <w:shd w:val="clear" w:color="auto" w:fill="FFFFFF"/>
            <w:tcMar>
              <w:top w:w="0" w:type="dxa"/>
              <w:left w:w="38" w:type="dxa"/>
              <w:bottom w:w="0" w:type="dxa"/>
              <w:right w:w="38" w:type="dxa"/>
            </w:tcMar>
            <w:vAlign w:val="center"/>
          </w:tcPr>
          <w:p w14:paraId="1520F47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黎忠明</w:t>
            </w:r>
          </w:p>
        </w:tc>
        <w:tc>
          <w:tcPr>
            <w:tcW w:w="1140" w:type="pct"/>
            <w:shd w:val="clear" w:color="auto" w:fill="FFFFFF"/>
            <w:tcMar>
              <w:top w:w="0" w:type="dxa"/>
              <w:left w:w="38" w:type="dxa"/>
              <w:bottom w:w="0" w:type="dxa"/>
              <w:right w:w="38" w:type="dxa"/>
            </w:tcMar>
            <w:vAlign w:val="center"/>
          </w:tcPr>
          <w:p w14:paraId="2C4F180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7159911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C77FBB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58F0B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15-37</w:t>
            </w:r>
          </w:p>
        </w:tc>
        <w:tc>
          <w:tcPr>
            <w:tcW w:w="1858" w:type="pct"/>
            <w:shd w:val="clear" w:color="auto" w:fill="FFFFFF"/>
            <w:tcMar>
              <w:top w:w="0" w:type="dxa"/>
              <w:left w:w="38" w:type="dxa"/>
              <w:bottom w:w="0" w:type="dxa"/>
              <w:right w:w="38" w:type="dxa"/>
            </w:tcMar>
            <w:vAlign w:val="center"/>
          </w:tcPr>
          <w:p w14:paraId="6BAF4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刘睿婕</w:t>
            </w:r>
          </w:p>
        </w:tc>
        <w:tc>
          <w:tcPr>
            <w:tcW w:w="1140" w:type="pct"/>
            <w:shd w:val="clear" w:color="auto" w:fill="FFFFFF"/>
            <w:tcMar>
              <w:top w:w="0" w:type="dxa"/>
              <w:left w:w="38" w:type="dxa"/>
              <w:bottom w:w="0" w:type="dxa"/>
              <w:right w:w="38" w:type="dxa"/>
            </w:tcMar>
            <w:vAlign w:val="center"/>
          </w:tcPr>
          <w:p w14:paraId="3F898C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AD79B9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79F694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20086D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15-38</w:t>
            </w:r>
          </w:p>
        </w:tc>
        <w:tc>
          <w:tcPr>
            <w:tcW w:w="1858" w:type="pct"/>
            <w:shd w:val="clear" w:color="auto" w:fill="FFFFFF"/>
            <w:tcMar>
              <w:top w:w="0" w:type="dxa"/>
              <w:left w:w="38" w:type="dxa"/>
              <w:bottom w:w="0" w:type="dxa"/>
              <w:right w:w="38" w:type="dxa"/>
            </w:tcMar>
            <w:vAlign w:val="center"/>
          </w:tcPr>
          <w:p w14:paraId="69423E3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邓滢</w:t>
            </w:r>
          </w:p>
        </w:tc>
        <w:tc>
          <w:tcPr>
            <w:tcW w:w="1140" w:type="pct"/>
            <w:shd w:val="clear" w:color="auto" w:fill="FFFFFF"/>
            <w:tcMar>
              <w:top w:w="0" w:type="dxa"/>
              <w:left w:w="38" w:type="dxa"/>
              <w:bottom w:w="0" w:type="dxa"/>
              <w:right w:w="38" w:type="dxa"/>
            </w:tcMar>
            <w:vAlign w:val="center"/>
          </w:tcPr>
          <w:p w14:paraId="2D58FE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A2EFC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8D48441"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996EE7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16</w:t>
            </w:r>
          </w:p>
        </w:tc>
        <w:tc>
          <w:tcPr>
            <w:tcW w:w="1858" w:type="pct"/>
            <w:shd w:val="clear" w:color="auto" w:fill="FFFFFF"/>
            <w:tcMar>
              <w:top w:w="0" w:type="dxa"/>
              <w:left w:w="38" w:type="dxa"/>
              <w:bottom w:w="0" w:type="dxa"/>
              <w:right w:w="38" w:type="dxa"/>
            </w:tcMar>
            <w:vAlign w:val="center"/>
          </w:tcPr>
          <w:p w14:paraId="7E46EF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上海德盾</w:t>
            </w:r>
          </w:p>
        </w:tc>
        <w:tc>
          <w:tcPr>
            <w:tcW w:w="1140" w:type="pct"/>
            <w:shd w:val="clear" w:color="auto" w:fill="FFFFFF"/>
            <w:tcMar>
              <w:top w:w="0" w:type="dxa"/>
              <w:left w:w="38" w:type="dxa"/>
              <w:bottom w:w="0" w:type="dxa"/>
              <w:right w:w="38" w:type="dxa"/>
            </w:tcMar>
            <w:vAlign w:val="center"/>
          </w:tcPr>
          <w:p w14:paraId="0264716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626006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48D455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2BE27B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16-1</w:t>
            </w:r>
          </w:p>
        </w:tc>
        <w:tc>
          <w:tcPr>
            <w:tcW w:w="1858" w:type="pct"/>
            <w:shd w:val="clear" w:color="auto" w:fill="FFFFFF"/>
            <w:tcMar>
              <w:top w:w="0" w:type="dxa"/>
              <w:left w:w="38" w:type="dxa"/>
              <w:bottom w:w="0" w:type="dxa"/>
              <w:right w:w="38" w:type="dxa"/>
            </w:tcMar>
            <w:vAlign w:val="center"/>
          </w:tcPr>
          <w:p w14:paraId="2A9CEEE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郑凯还</w:t>
            </w:r>
          </w:p>
        </w:tc>
        <w:tc>
          <w:tcPr>
            <w:tcW w:w="1140" w:type="pct"/>
            <w:shd w:val="clear" w:color="auto" w:fill="FFFFFF"/>
            <w:tcMar>
              <w:top w:w="0" w:type="dxa"/>
              <w:left w:w="38" w:type="dxa"/>
              <w:bottom w:w="0" w:type="dxa"/>
              <w:right w:w="38" w:type="dxa"/>
            </w:tcMar>
            <w:vAlign w:val="center"/>
          </w:tcPr>
          <w:p w14:paraId="6184EC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37898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234F92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AA988B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16-2</w:t>
            </w:r>
          </w:p>
        </w:tc>
        <w:tc>
          <w:tcPr>
            <w:tcW w:w="1858" w:type="pct"/>
            <w:shd w:val="clear" w:color="auto" w:fill="FFFFFF"/>
            <w:tcMar>
              <w:top w:w="0" w:type="dxa"/>
              <w:left w:w="38" w:type="dxa"/>
              <w:bottom w:w="0" w:type="dxa"/>
              <w:right w:w="38" w:type="dxa"/>
            </w:tcMar>
            <w:vAlign w:val="center"/>
          </w:tcPr>
          <w:p w14:paraId="14EE050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陈超</w:t>
            </w:r>
          </w:p>
        </w:tc>
        <w:tc>
          <w:tcPr>
            <w:tcW w:w="1140" w:type="pct"/>
            <w:shd w:val="clear" w:color="auto" w:fill="FFFFFF"/>
            <w:tcMar>
              <w:top w:w="0" w:type="dxa"/>
              <w:left w:w="38" w:type="dxa"/>
              <w:bottom w:w="0" w:type="dxa"/>
              <w:right w:w="38" w:type="dxa"/>
            </w:tcMar>
            <w:vAlign w:val="center"/>
          </w:tcPr>
          <w:p w14:paraId="0A44D5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DC38E4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8038C85"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54727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16-3</w:t>
            </w:r>
          </w:p>
        </w:tc>
        <w:tc>
          <w:tcPr>
            <w:tcW w:w="1858" w:type="pct"/>
            <w:shd w:val="clear" w:color="auto" w:fill="FFFFFF"/>
            <w:tcMar>
              <w:top w:w="0" w:type="dxa"/>
              <w:left w:w="38" w:type="dxa"/>
              <w:bottom w:w="0" w:type="dxa"/>
              <w:right w:w="38" w:type="dxa"/>
            </w:tcMar>
            <w:vAlign w:val="center"/>
          </w:tcPr>
          <w:p w14:paraId="75B3294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钟恺</w:t>
            </w:r>
          </w:p>
        </w:tc>
        <w:tc>
          <w:tcPr>
            <w:tcW w:w="1140" w:type="pct"/>
            <w:shd w:val="clear" w:color="auto" w:fill="FFFFFF"/>
            <w:tcMar>
              <w:top w:w="0" w:type="dxa"/>
              <w:left w:w="38" w:type="dxa"/>
              <w:bottom w:w="0" w:type="dxa"/>
              <w:right w:w="38" w:type="dxa"/>
            </w:tcMar>
            <w:vAlign w:val="center"/>
          </w:tcPr>
          <w:p w14:paraId="7543115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28FCDE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4072058"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B32806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16-4</w:t>
            </w:r>
          </w:p>
        </w:tc>
        <w:tc>
          <w:tcPr>
            <w:tcW w:w="1858" w:type="pct"/>
            <w:shd w:val="clear" w:color="auto" w:fill="FFFFFF"/>
            <w:tcMar>
              <w:top w:w="0" w:type="dxa"/>
              <w:left w:w="38" w:type="dxa"/>
              <w:bottom w:w="0" w:type="dxa"/>
              <w:right w:w="38" w:type="dxa"/>
            </w:tcMar>
            <w:vAlign w:val="center"/>
          </w:tcPr>
          <w:p w14:paraId="2B7541E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王佳</w:t>
            </w:r>
          </w:p>
        </w:tc>
        <w:tc>
          <w:tcPr>
            <w:tcW w:w="1140" w:type="pct"/>
            <w:shd w:val="clear" w:color="auto" w:fill="FFFFFF"/>
            <w:tcMar>
              <w:top w:w="0" w:type="dxa"/>
              <w:left w:w="38" w:type="dxa"/>
              <w:bottom w:w="0" w:type="dxa"/>
              <w:right w:w="38" w:type="dxa"/>
            </w:tcMar>
            <w:vAlign w:val="center"/>
          </w:tcPr>
          <w:p w14:paraId="4C6DAA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383" w:type="pct"/>
            <w:shd w:val="clear" w:color="auto" w:fill="FFFFFF"/>
            <w:tcMar>
              <w:top w:w="0" w:type="dxa"/>
              <w:left w:w="38" w:type="dxa"/>
              <w:bottom w:w="0" w:type="dxa"/>
              <w:right w:w="38" w:type="dxa"/>
            </w:tcMar>
            <w:vAlign w:val="center"/>
          </w:tcPr>
          <w:p w14:paraId="26303F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A7C3D6F" w14:textId="77777777" w:rsidTr="00635015">
        <w:trPr>
          <w:trHeight w:val="397"/>
          <w:jc w:val="center"/>
        </w:trPr>
        <w:tc>
          <w:tcPr>
            <w:tcW w:w="619" w:type="pct"/>
            <w:shd w:val="clear" w:color="auto" w:fill="FFFFFF"/>
            <w:tcMar>
              <w:top w:w="0" w:type="dxa"/>
              <w:left w:w="38" w:type="dxa"/>
              <w:bottom w:w="0" w:type="dxa"/>
              <w:right w:w="38" w:type="dxa"/>
            </w:tcMar>
            <w:vAlign w:val="center"/>
          </w:tcPr>
          <w:p w14:paraId="4070A3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16-5</w:t>
            </w:r>
          </w:p>
        </w:tc>
        <w:tc>
          <w:tcPr>
            <w:tcW w:w="1858" w:type="pct"/>
            <w:shd w:val="clear" w:color="auto" w:fill="FFFFFF"/>
            <w:tcMar>
              <w:top w:w="0" w:type="dxa"/>
              <w:left w:w="38" w:type="dxa"/>
              <w:bottom w:w="0" w:type="dxa"/>
              <w:right w:w="38" w:type="dxa"/>
            </w:tcMar>
            <w:vAlign w:val="center"/>
          </w:tcPr>
          <w:p w14:paraId="3C43867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韩蕊</w:t>
            </w:r>
          </w:p>
        </w:tc>
        <w:tc>
          <w:tcPr>
            <w:tcW w:w="1140" w:type="pct"/>
            <w:shd w:val="clear" w:color="auto" w:fill="FFFFFF"/>
            <w:tcMar>
              <w:top w:w="0" w:type="dxa"/>
              <w:left w:w="38" w:type="dxa"/>
              <w:bottom w:w="0" w:type="dxa"/>
              <w:right w:w="38" w:type="dxa"/>
            </w:tcMar>
            <w:vAlign w:val="center"/>
          </w:tcPr>
          <w:p w14:paraId="058AC85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3835940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BB1A7D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0B4DBF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16-6</w:t>
            </w:r>
          </w:p>
        </w:tc>
        <w:tc>
          <w:tcPr>
            <w:tcW w:w="1858" w:type="pct"/>
            <w:shd w:val="clear" w:color="auto" w:fill="FFFFFF"/>
            <w:tcMar>
              <w:top w:w="0" w:type="dxa"/>
              <w:left w:w="38" w:type="dxa"/>
              <w:bottom w:w="0" w:type="dxa"/>
              <w:right w:w="38" w:type="dxa"/>
            </w:tcMar>
            <w:vAlign w:val="center"/>
          </w:tcPr>
          <w:p w14:paraId="40B140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徐育浩</w:t>
            </w:r>
          </w:p>
        </w:tc>
        <w:tc>
          <w:tcPr>
            <w:tcW w:w="1140" w:type="pct"/>
            <w:shd w:val="clear" w:color="auto" w:fill="FFFFFF"/>
            <w:tcMar>
              <w:top w:w="0" w:type="dxa"/>
              <w:left w:w="38" w:type="dxa"/>
              <w:bottom w:w="0" w:type="dxa"/>
              <w:right w:w="38" w:type="dxa"/>
            </w:tcMar>
            <w:vAlign w:val="center"/>
          </w:tcPr>
          <w:p w14:paraId="6B0F98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50619C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8B958E6"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980CB1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16-7</w:t>
            </w:r>
          </w:p>
        </w:tc>
        <w:tc>
          <w:tcPr>
            <w:tcW w:w="1858" w:type="pct"/>
            <w:shd w:val="clear" w:color="auto" w:fill="FFFFFF"/>
            <w:tcMar>
              <w:top w:w="0" w:type="dxa"/>
              <w:left w:w="38" w:type="dxa"/>
              <w:bottom w:w="0" w:type="dxa"/>
              <w:right w:w="38" w:type="dxa"/>
            </w:tcMar>
            <w:vAlign w:val="center"/>
          </w:tcPr>
          <w:p w14:paraId="5CFCA92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杨博雅</w:t>
            </w:r>
          </w:p>
        </w:tc>
        <w:tc>
          <w:tcPr>
            <w:tcW w:w="1140" w:type="pct"/>
            <w:shd w:val="clear" w:color="auto" w:fill="FFFFFF"/>
            <w:tcMar>
              <w:top w:w="0" w:type="dxa"/>
              <w:left w:w="38" w:type="dxa"/>
              <w:bottom w:w="0" w:type="dxa"/>
              <w:right w:w="38" w:type="dxa"/>
            </w:tcMar>
            <w:vAlign w:val="center"/>
          </w:tcPr>
          <w:p w14:paraId="63F1BE4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C1E128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C65E9B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39944E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16-8</w:t>
            </w:r>
          </w:p>
        </w:tc>
        <w:tc>
          <w:tcPr>
            <w:tcW w:w="1858" w:type="pct"/>
            <w:shd w:val="clear" w:color="auto" w:fill="FFFFFF"/>
            <w:tcMar>
              <w:top w:w="0" w:type="dxa"/>
              <w:left w:w="38" w:type="dxa"/>
              <w:bottom w:w="0" w:type="dxa"/>
              <w:right w:w="38" w:type="dxa"/>
            </w:tcMar>
            <w:vAlign w:val="center"/>
          </w:tcPr>
          <w:p w14:paraId="0996D0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尹依婷</w:t>
            </w:r>
          </w:p>
        </w:tc>
        <w:tc>
          <w:tcPr>
            <w:tcW w:w="1140" w:type="pct"/>
            <w:shd w:val="clear" w:color="auto" w:fill="FFFFFF"/>
            <w:tcMar>
              <w:top w:w="0" w:type="dxa"/>
              <w:left w:w="38" w:type="dxa"/>
              <w:bottom w:w="0" w:type="dxa"/>
              <w:right w:w="38" w:type="dxa"/>
            </w:tcMar>
            <w:vAlign w:val="center"/>
          </w:tcPr>
          <w:p w14:paraId="79C748A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D3A309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3C2AA47" w14:textId="77777777" w:rsidTr="00635015">
        <w:trPr>
          <w:trHeight w:val="397"/>
          <w:jc w:val="center"/>
        </w:trPr>
        <w:tc>
          <w:tcPr>
            <w:tcW w:w="619" w:type="pct"/>
            <w:shd w:val="clear" w:color="auto" w:fill="FFFFFF"/>
            <w:tcMar>
              <w:top w:w="0" w:type="dxa"/>
              <w:left w:w="38" w:type="dxa"/>
              <w:bottom w:w="0" w:type="dxa"/>
              <w:right w:w="38" w:type="dxa"/>
            </w:tcMar>
            <w:vAlign w:val="center"/>
          </w:tcPr>
          <w:p w14:paraId="1CC2FC0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w:t>
            </w:r>
          </w:p>
        </w:tc>
        <w:tc>
          <w:tcPr>
            <w:tcW w:w="1858" w:type="pct"/>
            <w:shd w:val="clear" w:color="auto" w:fill="FFFFFF"/>
            <w:tcMar>
              <w:top w:w="0" w:type="dxa"/>
              <w:left w:w="38" w:type="dxa"/>
              <w:bottom w:w="0" w:type="dxa"/>
              <w:right w:w="38" w:type="dxa"/>
            </w:tcMar>
            <w:vAlign w:val="center"/>
          </w:tcPr>
          <w:p w14:paraId="7F4A579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陈耿豪</w:t>
            </w:r>
          </w:p>
        </w:tc>
        <w:tc>
          <w:tcPr>
            <w:tcW w:w="1140" w:type="pct"/>
            <w:shd w:val="clear" w:color="auto" w:fill="FFFFFF"/>
            <w:tcMar>
              <w:top w:w="0" w:type="dxa"/>
              <w:left w:w="38" w:type="dxa"/>
              <w:bottom w:w="0" w:type="dxa"/>
              <w:right w:w="38" w:type="dxa"/>
            </w:tcMar>
            <w:vAlign w:val="center"/>
          </w:tcPr>
          <w:p w14:paraId="620F935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A94A6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D918B0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E0B1C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w:t>
            </w:r>
          </w:p>
        </w:tc>
        <w:tc>
          <w:tcPr>
            <w:tcW w:w="1858" w:type="pct"/>
            <w:shd w:val="clear" w:color="auto" w:fill="FFFFFF"/>
            <w:tcMar>
              <w:top w:w="0" w:type="dxa"/>
              <w:left w:w="38" w:type="dxa"/>
              <w:bottom w:w="0" w:type="dxa"/>
              <w:right w:w="38" w:type="dxa"/>
            </w:tcMar>
            <w:vAlign w:val="center"/>
          </w:tcPr>
          <w:p w14:paraId="6B4278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杨凯然</w:t>
            </w:r>
          </w:p>
        </w:tc>
        <w:tc>
          <w:tcPr>
            <w:tcW w:w="1140" w:type="pct"/>
            <w:shd w:val="clear" w:color="auto" w:fill="FFFFFF"/>
            <w:tcMar>
              <w:top w:w="0" w:type="dxa"/>
              <w:left w:w="38" w:type="dxa"/>
              <w:bottom w:w="0" w:type="dxa"/>
              <w:right w:w="38" w:type="dxa"/>
            </w:tcMar>
            <w:vAlign w:val="center"/>
          </w:tcPr>
          <w:p w14:paraId="70220C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655589B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BA36A63"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38E3E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w:t>
            </w:r>
          </w:p>
        </w:tc>
        <w:tc>
          <w:tcPr>
            <w:tcW w:w="1858" w:type="pct"/>
            <w:shd w:val="clear" w:color="auto" w:fill="FFFFFF"/>
            <w:tcMar>
              <w:top w:w="0" w:type="dxa"/>
              <w:left w:w="38" w:type="dxa"/>
              <w:bottom w:w="0" w:type="dxa"/>
              <w:right w:w="38" w:type="dxa"/>
            </w:tcMar>
            <w:vAlign w:val="center"/>
          </w:tcPr>
          <w:p w14:paraId="32F0CFF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张杰波</w:t>
            </w:r>
          </w:p>
        </w:tc>
        <w:tc>
          <w:tcPr>
            <w:tcW w:w="1140" w:type="pct"/>
            <w:shd w:val="clear" w:color="auto" w:fill="FFFFFF"/>
            <w:tcMar>
              <w:top w:w="0" w:type="dxa"/>
              <w:left w:w="38" w:type="dxa"/>
              <w:bottom w:w="0" w:type="dxa"/>
              <w:right w:w="38" w:type="dxa"/>
            </w:tcMar>
            <w:vAlign w:val="center"/>
          </w:tcPr>
          <w:p w14:paraId="5B665D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0128F7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BCD30EE" w14:textId="77777777" w:rsidTr="00635015">
        <w:trPr>
          <w:trHeight w:val="397"/>
          <w:jc w:val="center"/>
        </w:trPr>
        <w:tc>
          <w:tcPr>
            <w:tcW w:w="619" w:type="pct"/>
            <w:shd w:val="clear" w:color="auto" w:fill="FFFFFF"/>
            <w:tcMar>
              <w:top w:w="0" w:type="dxa"/>
              <w:left w:w="38" w:type="dxa"/>
              <w:bottom w:w="0" w:type="dxa"/>
              <w:right w:w="38" w:type="dxa"/>
            </w:tcMar>
            <w:vAlign w:val="center"/>
          </w:tcPr>
          <w:p w14:paraId="67351AA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p>
        </w:tc>
        <w:tc>
          <w:tcPr>
            <w:tcW w:w="1858" w:type="pct"/>
            <w:shd w:val="clear" w:color="auto" w:fill="FFFFFF"/>
            <w:tcMar>
              <w:top w:w="0" w:type="dxa"/>
              <w:left w:w="38" w:type="dxa"/>
              <w:bottom w:w="0" w:type="dxa"/>
              <w:right w:w="38" w:type="dxa"/>
            </w:tcMar>
            <w:vAlign w:val="center"/>
          </w:tcPr>
          <w:p w14:paraId="7B4C50F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胡俊</w:t>
            </w:r>
          </w:p>
        </w:tc>
        <w:tc>
          <w:tcPr>
            <w:tcW w:w="1140" w:type="pct"/>
            <w:shd w:val="clear" w:color="auto" w:fill="FFFFFF"/>
            <w:tcMar>
              <w:top w:w="0" w:type="dxa"/>
              <w:left w:w="38" w:type="dxa"/>
              <w:bottom w:w="0" w:type="dxa"/>
              <w:right w:w="38" w:type="dxa"/>
            </w:tcMar>
            <w:vAlign w:val="center"/>
          </w:tcPr>
          <w:p w14:paraId="39CB29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207441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DF1C7F0" w14:textId="77777777" w:rsidTr="00635015">
        <w:trPr>
          <w:trHeight w:val="397"/>
          <w:jc w:val="center"/>
        </w:trPr>
        <w:tc>
          <w:tcPr>
            <w:tcW w:w="619" w:type="pct"/>
            <w:shd w:val="clear" w:color="auto" w:fill="FFFFFF"/>
            <w:tcMar>
              <w:top w:w="0" w:type="dxa"/>
              <w:left w:w="38" w:type="dxa"/>
              <w:bottom w:w="0" w:type="dxa"/>
              <w:right w:w="38" w:type="dxa"/>
            </w:tcMar>
            <w:vAlign w:val="center"/>
          </w:tcPr>
          <w:p w14:paraId="79DAE1D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w:t>
            </w:r>
          </w:p>
        </w:tc>
        <w:tc>
          <w:tcPr>
            <w:tcW w:w="1858" w:type="pct"/>
            <w:shd w:val="clear" w:color="auto" w:fill="FFFFFF"/>
            <w:tcMar>
              <w:top w:w="0" w:type="dxa"/>
              <w:left w:w="38" w:type="dxa"/>
              <w:bottom w:w="0" w:type="dxa"/>
              <w:right w:w="38" w:type="dxa"/>
            </w:tcMar>
            <w:vAlign w:val="center"/>
          </w:tcPr>
          <w:p w14:paraId="5D17DF7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王佳</w:t>
            </w:r>
          </w:p>
        </w:tc>
        <w:tc>
          <w:tcPr>
            <w:tcW w:w="1140" w:type="pct"/>
            <w:shd w:val="clear" w:color="auto" w:fill="FFFFFF"/>
            <w:tcMar>
              <w:top w:w="0" w:type="dxa"/>
              <w:left w:w="38" w:type="dxa"/>
              <w:bottom w:w="0" w:type="dxa"/>
              <w:right w:w="38" w:type="dxa"/>
            </w:tcMar>
            <w:vAlign w:val="center"/>
          </w:tcPr>
          <w:p w14:paraId="77E475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127217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BA6F27" w:rsidRPr="00DA3766" w14:paraId="40E10EAA" w14:textId="77777777" w:rsidTr="00635015">
        <w:trPr>
          <w:trHeight w:val="397"/>
          <w:jc w:val="center"/>
        </w:trPr>
        <w:tc>
          <w:tcPr>
            <w:tcW w:w="619" w:type="pct"/>
            <w:shd w:val="clear" w:color="auto" w:fill="FFFFFF"/>
            <w:tcMar>
              <w:top w:w="0" w:type="dxa"/>
              <w:left w:w="38" w:type="dxa"/>
              <w:bottom w:w="0" w:type="dxa"/>
              <w:right w:w="38" w:type="dxa"/>
            </w:tcMar>
            <w:vAlign w:val="center"/>
          </w:tcPr>
          <w:p w14:paraId="57EE6E2A" w14:textId="358C154A"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w:t>
            </w:r>
          </w:p>
        </w:tc>
        <w:tc>
          <w:tcPr>
            <w:tcW w:w="1858" w:type="pct"/>
            <w:shd w:val="clear" w:color="auto" w:fill="FFFFFF"/>
            <w:tcMar>
              <w:top w:w="0" w:type="dxa"/>
              <w:left w:w="38" w:type="dxa"/>
              <w:bottom w:w="0" w:type="dxa"/>
              <w:right w:w="38" w:type="dxa"/>
            </w:tcMar>
            <w:vAlign w:val="center"/>
          </w:tcPr>
          <w:p w14:paraId="71051686" w14:textId="40D75731"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杨裕雄</w:t>
            </w:r>
          </w:p>
        </w:tc>
        <w:tc>
          <w:tcPr>
            <w:tcW w:w="1140" w:type="pct"/>
            <w:shd w:val="clear" w:color="auto" w:fill="FFFFFF"/>
            <w:tcMar>
              <w:top w:w="0" w:type="dxa"/>
              <w:left w:w="38" w:type="dxa"/>
              <w:bottom w:w="0" w:type="dxa"/>
              <w:right w:w="38" w:type="dxa"/>
            </w:tcMar>
            <w:vAlign w:val="center"/>
          </w:tcPr>
          <w:p w14:paraId="6B3E07A4" w14:textId="331559B9"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383" w:type="pct"/>
            <w:shd w:val="clear" w:color="auto" w:fill="FFFFFF"/>
            <w:tcMar>
              <w:top w:w="0" w:type="dxa"/>
              <w:left w:w="38" w:type="dxa"/>
              <w:bottom w:w="0" w:type="dxa"/>
              <w:right w:w="38" w:type="dxa"/>
            </w:tcMar>
            <w:vAlign w:val="center"/>
          </w:tcPr>
          <w:p w14:paraId="45B80D3F" w14:textId="0A5F00EF"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4A41D32" w14:textId="77777777" w:rsidTr="00635015">
        <w:trPr>
          <w:trHeight w:val="397"/>
          <w:jc w:val="center"/>
        </w:trPr>
        <w:tc>
          <w:tcPr>
            <w:tcW w:w="2477" w:type="pct"/>
            <w:gridSpan w:val="2"/>
            <w:shd w:val="clear" w:color="auto" w:fill="FFFFFF"/>
            <w:tcMar>
              <w:top w:w="0" w:type="dxa"/>
              <w:left w:w="38" w:type="dxa"/>
              <w:bottom w:w="0" w:type="dxa"/>
              <w:right w:w="38" w:type="dxa"/>
            </w:tcMar>
            <w:vAlign w:val="center"/>
          </w:tcPr>
          <w:p w14:paraId="7F90210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color w:val="000000"/>
                <w:sz w:val="21"/>
                <w:szCs w:val="21"/>
                <w:lang w:bidi="ar"/>
              </w:rPr>
              <w:t>合计</w:t>
            </w:r>
          </w:p>
        </w:tc>
        <w:tc>
          <w:tcPr>
            <w:tcW w:w="1140" w:type="pct"/>
            <w:shd w:val="clear" w:color="auto" w:fill="FFFFFF"/>
            <w:tcMar>
              <w:top w:w="0" w:type="dxa"/>
              <w:left w:w="38" w:type="dxa"/>
              <w:bottom w:w="0" w:type="dxa"/>
              <w:right w:w="38" w:type="dxa"/>
            </w:tcMar>
            <w:vAlign w:val="center"/>
          </w:tcPr>
          <w:p w14:paraId="5750A18D" w14:textId="0698B85E"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10</w:t>
            </w:r>
            <w:r w:rsidR="00151A26">
              <w:rPr>
                <w:rFonts w:ascii="Times New Roman" w:hAnsi="Times New Roman" w:cs="Times New Roman" w:hint="eastAsia"/>
                <w:b/>
                <w:bCs/>
                <w:snapToGrid w:val="0"/>
                <w:sz w:val="21"/>
                <w:szCs w:val="21"/>
              </w:rPr>
              <w:t>7</w:t>
            </w:r>
          </w:p>
        </w:tc>
        <w:tc>
          <w:tcPr>
            <w:tcW w:w="1383" w:type="pct"/>
            <w:shd w:val="clear" w:color="auto" w:fill="FFFFFF"/>
            <w:tcMar>
              <w:top w:w="0" w:type="dxa"/>
              <w:left w:w="38" w:type="dxa"/>
              <w:bottom w:w="0" w:type="dxa"/>
              <w:right w:w="38" w:type="dxa"/>
            </w:tcMar>
            <w:vAlign w:val="center"/>
          </w:tcPr>
          <w:p w14:paraId="4B52701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color w:val="000000"/>
                <w:sz w:val="21"/>
                <w:szCs w:val="21"/>
                <w:lang w:bidi="ar"/>
              </w:rPr>
              <w:t>-</w:t>
            </w:r>
          </w:p>
        </w:tc>
      </w:tr>
    </w:tbl>
    <w:p w14:paraId="20C5B1CD" w14:textId="77777777" w:rsidR="00445CAC" w:rsidRPr="00DA3766" w:rsidRDefault="00445CAC" w:rsidP="00445CAC">
      <w:pPr>
        <w:pStyle w:val="005"/>
        <w:spacing w:beforeLines="0" w:before="0" w:afterLines="0" w:after="0" w:line="240" w:lineRule="auto"/>
        <w:ind w:firstLine="420"/>
        <w:rPr>
          <w:sz w:val="21"/>
          <w:szCs w:val="20"/>
        </w:rPr>
      </w:pPr>
      <w:r w:rsidRPr="00DA3766">
        <w:rPr>
          <w:sz w:val="21"/>
          <w:szCs w:val="20"/>
        </w:rPr>
        <w:t>注：标的公司上述股东当中，自然人股东杨裕雄未参与本次交易。</w:t>
      </w:r>
    </w:p>
    <w:p w14:paraId="55225C05" w14:textId="0B5B52E4" w:rsidR="00A661C3" w:rsidRPr="00DA3766" w:rsidRDefault="00A661C3" w:rsidP="00C93B0F">
      <w:pPr>
        <w:pStyle w:val="005"/>
        <w:spacing w:before="120" w:after="120"/>
        <w:ind w:firstLine="480"/>
      </w:pPr>
      <w:r w:rsidRPr="00DA3766">
        <w:t>因此，标的公司穿透后的股东人数合计</w:t>
      </w:r>
      <w:r w:rsidRPr="00DA3766">
        <w:t>10</w:t>
      </w:r>
      <w:r w:rsidR="00445CAC" w:rsidRPr="00DA3766">
        <w:t>7</w:t>
      </w:r>
      <w:r w:rsidR="00445CAC" w:rsidRPr="00DA3766">
        <w:t>人，参与本次交易的交易对手穿透后的股东人数合计</w:t>
      </w:r>
      <w:r w:rsidR="00445CAC" w:rsidRPr="00DA3766">
        <w:t>106</w:t>
      </w:r>
      <w:r w:rsidR="00445CAC" w:rsidRPr="00DA3766">
        <w:t>人，均未超过</w:t>
      </w:r>
      <w:r w:rsidR="00445CAC" w:rsidRPr="00DA3766">
        <w:t>200</w:t>
      </w:r>
      <w:r w:rsidR="00445CAC" w:rsidRPr="00DA3766">
        <w:t>人</w:t>
      </w:r>
      <w:r w:rsidRPr="00DA3766">
        <w:t>。本次交易符合《证券法》发行对象不超过</w:t>
      </w:r>
      <w:r w:rsidRPr="00DA3766">
        <w:t>200</w:t>
      </w:r>
      <w:r w:rsidRPr="00DA3766">
        <w:t>名的相关规定，标的资产符合《非上市公众公司监管指引第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人的未上市股份有限公司申请行政许可有关问题的审核指引》的相关规定。</w:t>
      </w:r>
      <w:bookmarkEnd w:id="202"/>
    </w:p>
    <w:p w14:paraId="68015F00" w14:textId="1F5E6602" w:rsidR="00E22816" w:rsidRPr="00DA3766" w:rsidRDefault="00E22816" w:rsidP="00C93B0F">
      <w:pPr>
        <w:pStyle w:val="005"/>
        <w:spacing w:before="120" w:after="120"/>
        <w:ind w:firstLine="480"/>
      </w:pPr>
      <w:r w:rsidRPr="00DA3766">
        <w:t>上述内容已在《重组报告书》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补充披露。</w:t>
      </w:r>
    </w:p>
    <w:p w14:paraId="0622B7E0" w14:textId="6A080E20" w:rsidR="00E93DA8" w:rsidRPr="00DA3766" w:rsidRDefault="00A661C3" w:rsidP="00A661C3">
      <w:pPr>
        <w:pStyle w:val="002"/>
        <w:spacing w:before="120" w:after="120"/>
        <w:ind w:firstLine="482"/>
      </w:pPr>
      <w:r w:rsidRPr="00DA3766">
        <w:t>三、</w:t>
      </w:r>
      <w:bookmarkStart w:id="203" w:name="_Hlk219329755"/>
      <w:r w:rsidRPr="00DA3766">
        <w:t>结合相关法律法规及合伙企业具体协议条款，补充披露针对广发信德科文存续期短于锁定期的情形拟采取的具体措施及有效性</w:t>
      </w:r>
      <w:bookmarkEnd w:id="203"/>
    </w:p>
    <w:p w14:paraId="45B88C58" w14:textId="77777777" w:rsidR="002372DE" w:rsidRPr="00DA3766" w:rsidRDefault="002372DE" w:rsidP="00C93B0F">
      <w:pPr>
        <w:pStyle w:val="005"/>
        <w:spacing w:before="120" w:after="120"/>
        <w:ind w:firstLine="480"/>
      </w:pPr>
      <w:bookmarkStart w:id="204" w:name="_Hlk219329737"/>
      <w:r w:rsidRPr="00DA3766">
        <w:t>根据广发信德科文的营业执照、合伙协议及工商档案，其存续期及合伙协议等就合伙协议续期的具体规定如下：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484"/>
        <w:gridCol w:w="5978"/>
      </w:tblGrid>
      <w:tr w:rsidR="002372DE" w:rsidRPr="00DA3766" w14:paraId="7F062FEC" w14:textId="77777777" w:rsidTr="00635015">
        <w:trPr>
          <w:trHeight w:val="397"/>
          <w:jc w:val="center"/>
        </w:trPr>
        <w:tc>
          <w:tcPr>
            <w:tcW w:w="1468" w:type="pct"/>
            <w:shd w:val="clear" w:color="auto" w:fill="FFFFFF"/>
            <w:tcMar>
              <w:top w:w="0" w:type="dxa"/>
              <w:left w:w="75" w:type="dxa"/>
              <w:bottom w:w="0" w:type="dxa"/>
              <w:right w:w="75" w:type="dxa"/>
            </w:tcMar>
            <w:vAlign w:val="center"/>
          </w:tcPr>
          <w:p w14:paraId="53ECF744" w14:textId="77777777" w:rsidR="002372DE" w:rsidRPr="00DA3766" w:rsidRDefault="002372DE" w:rsidP="007F36AF">
            <w:pPr>
              <w:pStyle w:val="005"/>
              <w:keepNext/>
              <w:adjustRightInd w:val="0"/>
              <w:snapToGrid w:val="0"/>
              <w:spacing w:beforeLines="0" w:before="0" w:afterLines="0" w:after="0" w:line="240" w:lineRule="auto"/>
              <w:ind w:firstLineChars="0" w:firstLine="0"/>
              <w:jc w:val="center"/>
              <w:rPr>
                <w:b/>
                <w:bCs/>
                <w:sz w:val="21"/>
                <w:szCs w:val="21"/>
              </w:rPr>
            </w:pPr>
            <w:r w:rsidRPr="00DA3766">
              <w:rPr>
                <w:b/>
                <w:bCs/>
                <w:sz w:val="21"/>
                <w:szCs w:val="21"/>
              </w:rPr>
              <w:lastRenderedPageBreak/>
              <w:t>项目</w:t>
            </w:r>
          </w:p>
        </w:tc>
        <w:tc>
          <w:tcPr>
            <w:tcW w:w="3532" w:type="pct"/>
            <w:shd w:val="clear" w:color="auto" w:fill="FFFFFF"/>
            <w:tcMar>
              <w:top w:w="0" w:type="dxa"/>
              <w:left w:w="75" w:type="dxa"/>
              <w:bottom w:w="0" w:type="dxa"/>
              <w:right w:w="75" w:type="dxa"/>
            </w:tcMar>
            <w:vAlign w:val="center"/>
          </w:tcPr>
          <w:p w14:paraId="44D6C9BD" w14:textId="77777777" w:rsidR="002372DE" w:rsidRPr="00DA3766" w:rsidRDefault="002372DE" w:rsidP="007F36AF">
            <w:pPr>
              <w:pStyle w:val="005"/>
              <w:keepNext/>
              <w:adjustRightInd w:val="0"/>
              <w:snapToGrid w:val="0"/>
              <w:spacing w:beforeLines="0" w:before="0" w:afterLines="0" w:after="0" w:line="240" w:lineRule="auto"/>
              <w:ind w:firstLineChars="0" w:firstLine="0"/>
              <w:jc w:val="center"/>
              <w:rPr>
                <w:b/>
                <w:bCs/>
                <w:sz w:val="21"/>
                <w:szCs w:val="21"/>
              </w:rPr>
            </w:pPr>
            <w:r w:rsidRPr="00DA3766">
              <w:rPr>
                <w:b/>
                <w:bCs/>
                <w:sz w:val="21"/>
                <w:szCs w:val="21"/>
              </w:rPr>
              <w:t>情况</w:t>
            </w:r>
          </w:p>
        </w:tc>
      </w:tr>
      <w:tr w:rsidR="002372DE" w:rsidRPr="00DA3766" w14:paraId="2F387EB7" w14:textId="77777777" w:rsidTr="00635015">
        <w:trPr>
          <w:trHeight w:val="397"/>
          <w:jc w:val="center"/>
        </w:trPr>
        <w:tc>
          <w:tcPr>
            <w:tcW w:w="1468" w:type="pct"/>
            <w:shd w:val="clear" w:color="auto" w:fill="FFFFFF"/>
            <w:tcMar>
              <w:top w:w="0" w:type="dxa"/>
              <w:left w:w="75" w:type="dxa"/>
              <w:bottom w:w="0" w:type="dxa"/>
              <w:right w:w="75" w:type="dxa"/>
            </w:tcMar>
            <w:vAlign w:val="center"/>
          </w:tcPr>
          <w:p w14:paraId="2B696FE4"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主体存续期</w:t>
            </w:r>
          </w:p>
        </w:tc>
        <w:tc>
          <w:tcPr>
            <w:tcW w:w="3532" w:type="pct"/>
            <w:shd w:val="clear" w:color="auto" w:fill="FFFFFF"/>
            <w:tcMar>
              <w:top w:w="0" w:type="dxa"/>
              <w:left w:w="75" w:type="dxa"/>
              <w:bottom w:w="0" w:type="dxa"/>
              <w:right w:w="75" w:type="dxa"/>
            </w:tcMar>
            <w:vAlign w:val="center"/>
          </w:tcPr>
          <w:p w14:paraId="06F63AC0"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2016.06.07-2026.06.07</w:t>
            </w:r>
          </w:p>
        </w:tc>
      </w:tr>
      <w:tr w:rsidR="002372DE" w:rsidRPr="00DA3766" w14:paraId="4112F1DF" w14:textId="77777777" w:rsidTr="00635015">
        <w:trPr>
          <w:trHeight w:val="397"/>
          <w:jc w:val="center"/>
        </w:trPr>
        <w:tc>
          <w:tcPr>
            <w:tcW w:w="1468" w:type="pct"/>
            <w:shd w:val="clear" w:color="auto" w:fill="FFFFFF"/>
            <w:tcMar>
              <w:top w:w="0" w:type="dxa"/>
              <w:left w:w="75" w:type="dxa"/>
              <w:bottom w:w="0" w:type="dxa"/>
              <w:right w:w="75" w:type="dxa"/>
            </w:tcMar>
            <w:vAlign w:val="center"/>
          </w:tcPr>
          <w:p w14:paraId="2561F757"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合伙企业续期的具体规定</w:t>
            </w:r>
          </w:p>
        </w:tc>
        <w:tc>
          <w:tcPr>
            <w:tcW w:w="3532" w:type="pct"/>
            <w:shd w:val="clear" w:color="auto" w:fill="FFFFFF"/>
            <w:tcMar>
              <w:top w:w="0" w:type="dxa"/>
              <w:left w:w="75" w:type="dxa"/>
              <w:bottom w:w="0" w:type="dxa"/>
              <w:right w:w="75" w:type="dxa"/>
            </w:tcMar>
            <w:vAlign w:val="center"/>
          </w:tcPr>
          <w:p w14:paraId="3A5A9BAC" w14:textId="6062E7C2"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若届时合伙企业所持已投资企业部分或全部股份依照证券监管机构或证券交易所的规定不能转让的，合伙企业经营期限可延长至最后一期限售股份解除限售后三个月，以使合伙企业的清算符合法律法规规定并有利于合伙人利益的最优实现。合伙企业在退出期和延长期不可开展投资活动</w:t>
            </w:r>
            <w:r w:rsidR="007B0B46" w:rsidRPr="00DA3766">
              <w:rPr>
                <w:sz w:val="21"/>
                <w:szCs w:val="21"/>
              </w:rPr>
              <w:t>。</w:t>
            </w:r>
          </w:p>
        </w:tc>
      </w:tr>
    </w:tbl>
    <w:p w14:paraId="0ED5D06E" w14:textId="77777777" w:rsidR="002372DE" w:rsidRPr="00DA3766" w:rsidRDefault="002372DE" w:rsidP="00C93B0F">
      <w:pPr>
        <w:pStyle w:val="005"/>
        <w:spacing w:before="120" w:after="120"/>
        <w:ind w:firstLine="480"/>
      </w:pPr>
      <w:r w:rsidRPr="00DA3766">
        <w:t>根据《购买资产协议》及其补充协议，广发信德科文通过本次交易取得的上市公司新增股份自本次发行股份结束之日起</w:t>
      </w:r>
      <w:r w:rsidRPr="00DA3766">
        <w:t>6</w:t>
      </w:r>
      <w:r w:rsidRPr="00DA3766">
        <w:t>个月内不得转让、上市交易。广发信德科文存续期预计无法覆盖锁定期，为保证其存续期覆盖锁定期，广发信德科文及其执行事务合伙人广发信德投资管理有限公司已出具相关承诺，具体如下：</w:t>
      </w:r>
    </w:p>
    <w:p w14:paraId="51FEBB7D" w14:textId="5E8F9FB3" w:rsidR="00A661C3" w:rsidRPr="00DA3766" w:rsidRDefault="002372DE" w:rsidP="00C93B0F">
      <w:pPr>
        <w:pStyle w:val="005"/>
        <w:spacing w:before="120" w:after="120"/>
        <w:ind w:firstLine="480"/>
      </w:pPr>
      <w:r w:rsidRPr="00DA3766">
        <w:t>（一）广发信德科文就私募基金存续期展期事宜出具了如下承诺：</w:t>
      </w:r>
    </w:p>
    <w:p w14:paraId="346B9602" w14:textId="77777777" w:rsidR="00A661C3" w:rsidRPr="00DA3766" w:rsidRDefault="00A661C3" w:rsidP="00C93B0F">
      <w:pPr>
        <w:pStyle w:val="005"/>
        <w:spacing w:before="120" w:after="120"/>
        <w:ind w:firstLine="480"/>
      </w:pPr>
      <w:r w:rsidRPr="00DA3766">
        <w:rPr>
          <w:rFonts w:ascii="宋体" w:hAnsi="宋体"/>
        </w:rPr>
        <w:t>“</w:t>
      </w:r>
      <w:r w:rsidRPr="00DA3766">
        <w:t>1</w:t>
      </w:r>
      <w:r w:rsidRPr="00DA3766">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14:paraId="1E669E46" w14:textId="77777777" w:rsidR="00A661C3" w:rsidRPr="00DA3766" w:rsidRDefault="00A661C3" w:rsidP="00C93B0F">
      <w:pPr>
        <w:pStyle w:val="005"/>
        <w:spacing w:before="120" w:after="120"/>
        <w:ind w:firstLine="480"/>
      </w:pPr>
      <w:r w:rsidRPr="00DA3766">
        <w:t>2</w:t>
      </w:r>
      <w:r w:rsidRPr="00DA3766">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r w:rsidRPr="00DA3766">
        <w:rPr>
          <w:rFonts w:ascii="宋体" w:hAnsi="宋体"/>
        </w:rPr>
        <w:t>”</w:t>
      </w:r>
    </w:p>
    <w:p w14:paraId="61D2AB36" w14:textId="04C83832" w:rsidR="00A661C3" w:rsidRPr="00DA3766" w:rsidRDefault="002372DE" w:rsidP="00C93B0F">
      <w:pPr>
        <w:pStyle w:val="005"/>
        <w:spacing w:before="120" w:after="120"/>
        <w:ind w:firstLine="480"/>
      </w:pPr>
      <w:r w:rsidRPr="00DA3766">
        <w:t>（二）广发信德科文的执行事务合伙人及基金管理人广发信德投资管理有限公司就私募基金存续期展期事宜出具了如下承诺：</w:t>
      </w:r>
    </w:p>
    <w:p w14:paraId="69FF10E7" w14:textId="77777777" w:rsidR="00A661C3" w:rsidRPr="00DA3766" w:rsidRDefault="00A661C3" w:rsidP="00C93B0F">
      <w:pPr>
        <w:pStyle w:val="005"/>
        <w:spacing w:before="120" w:after="120"/>
        <w:ind w:firstLine="480"/>
      </w:pPr>
      <w:r w:rsidRPr="00DA3766">
        <w:rPr>
          <w:rFonts w:ascii="宋体" w:hAnsi="宋体"/>
        </w:rPr>
        <w:t>“</w:t>
      </w:r>
      <w:r w:rsidRPr="00DA3766">
        <w:t>1</w:t>
      </w:r>
      <w:r w:rsidRPr="00DA3766">
        <w:t>、首先尽最大可能与投资者协商，完成对广发信德科文的展期或再次展期，包括但不限于通过与异议合伙人协商受让或寻求第三方受让异议合伙人所持合伙企业财产份额等方式，尽力促成广发信德科文的展期，以符合本次交易完成及股份发行上市后锁定期的要求。</w:t>
      </w:r>
    </w:p>
    <w:p w14:paraId="583D08F2" w14:textId="44952B26" w:rsidR="00A661C3" w:rsidRPr="00DA3766" w:rsidRDefault="00A661C3" w:rsidP="00C93B0F">
      <w:pPr>
        <w:pStyle w:val="005"/>
        <w:spacing w:before="120" w:after="120"/>
        <w:ind w:firstLine="480"/>
      </w:pPr>
      <w:r w:rsidRPr="00DA3766">
        <w:t>2</w:t>
      </w:r>
      <w:r w:rsidRPr="00DA3766">
        <w:t>、如广发信德科文不可展期，或展期后，广发信德科文存续期届满，导致广发信德科文作为天亿马股东，不能够满足广发信德科文存续至本次交易完成及股份发行上市后锁定期的要求，承诺方承诺，不对广发信德科文持有的天亿马股</w:t>
      </w:r>
      <w:r w:rsidRPr="00DA3766">
        <w:lastRenderedPageBreak/>
        <w:t>份进行处置或清算，上述处置或清算行为将在本次交易的股份发行上市、锁定期限依法结束且按照减持规则等相关法律法规规定的要求全部退出天亿马后进行。</w:t>
      </w:r>
      <w:r w:rsidRPr="00DA3766">
        <w:rPr>
          <w:rFonts w:ascii="宋体" w:hAnsi="宋体"/>
        </w:rPr>
        <w:t>”</w:t>
      </w:r>
    </w:p>
    <w:p w14:paraId="026F86EA" w14:textId="10207C9B" w:rsidR="00A661C3" w:rsidRPr="00DA3766" w:rsidRDefault="002372DE" w:rsidP="00C93B0F">
      <w:pPr>
        <w:pStyle w:val="005"/>
        <w:spacing w:before="120" w:after="120"/>
        <w:ind w:firstLine="480"/>
      </w:pPr>
      <w:r w:rsidRPr="00DA3766">
        <w:t>综上</w:t>
      </w:r>
      <w:r w:rsidR="00A661C3" w:rsidRPr="00DA3766">
        <w:t>，广发信德科文及其基金管理人广发信德投资管理有限公司已就私募基金存续期满足本次交易锁定期事宜出具了相关承诺，确保锁定期能够有效履行。</w:t>
      </w:r>
    </w:p>
    <w:bookmarkEnd w:id="204"/>
    <w:p w14:paraId="073352A1" w14:textId="6D2683D7" w:rsidR="00E22816" w:rsidRPr="00DA3766" w:rsidRDefault="00E22816" w:rsidP="00C93B0F">
      <w:pPr>
        <w:pStyle w:val="005"/>
        <w:spacing w:before="120" w:after="120"/>
        <w:ind w:firstLine="480"/>
      </w:pPr>
      <w:r w:rsidRPr="00DA3766">
        <w:t>上述内容已在《重组报告书》</w:t>
      </w:r>
      <w:r w:rsidRPr="00DA3766">
        <w:rPr>
          <w:rFonts w:ascii="宋体" w:hAnsi="宋体"/>
        </w:rPr>
        <w:t>“</w:t>
      </w:r>
      <w:r w:rsidRPr="00DA3766">
        <w:t>第</w:t>
      </w:r>
      <w:r w:rsidR="002B58E7" w:rsidRPr="00DA3766">
        <w:t>八</w:t>
      </w:r>
      <w:r w:rsidRPr="00DA3766">
        <w:t>节</w:t>
      </w:r>
      <w:r w:rsidRPr="00DA3766">
        <w:t xml:space="preserve"> </w:t>
      </w:r>
      <w:r w:rsidR="002B58E7" w:rsidRPr="00DA3766">
        <w:t>本次交易的合规性分析</w:t>
      </w:r>
      <w:r w:rsidRPr="00DA3766">
        <w:rPr>
          <w:rFonts w:ascii="宋体" w:hAnsi="宋体"/>
        </w:rPr>
        <w:t>”</w:t>
      </w:r>
      <w:r w:rsidRPr="00DA3766">
        <w:t>之</w:t>
      </w:r>
      <w:r w:rsidRPr="00DA3766">
        <w:rPr>
          <w:rFonts w:ascii="宋体" w:hAnsi="宋体"/>
        </w:rPr>
        <w:t>“</w:t>
      </w:r>
      <w:r w:rsidR="002B58E7" w:rsidRPr="00DA3766">
        <w:t>八、本次交易符合《重组管理办法》第四十七条的规定</w:t>
      </w:r>
      <w:r w:rsidRPr="00DA3766">
        <w:rPr>
          <w:rFonts w:ascii="宋体" w:hAnsi="宋体"/>
        </w:rPr>
        <w:t>”</w:t>
      </w:r>
      <w:r w:rsidRPr="00DA3766">
        <w:t>补充披露。</w:t>
      </w:r>
    </w:p>
    <w:p w14:paraId="49A8D25C" w14:textId="30FDC9C5" w:rsidR="00A661C3" w:rsidRPr="00DA3766" w:rsidRDefault="00A661C3" w:rsidP="00A661C3">
      <w:pPr>
        <w:pStyle w:val="002"/>
        <w:spacing w:before="120" w:after="120"/>
        <w:ind w:firstLine="482"/>
      </w:pPr>
      <w:r w:rsidRPr="00DA3766">
        <w:t>四、</w:t>
      </w:r>
      <w:bookmarkStart w:id="205" w:name="_Hlk219329783"/>
      <w:r w:rsidRPr="00DA3766">
        <w:t>详细列示相关交易对方的持有标的资产权益的具体情况和持续持有时间，本次获得股份的具体情况及锁定期，相关锁定期安排是否符合《重组办法》第四十七条的规定</w:t>
      </w:r>
      <w:bookmarkEnd w:id="205"/>
      <w:r w:rsidRPr="00DA3766">
        <w:t>。</w:t>
      </w:r>
    </w:p>
    <w:p w14:paraId="0FA756EE" w14:textId="70DA3E3E" w:rsidR="00A661C3" w:rsidRPr="00DA3766" w:rsidRDefault="00A661C3" w:rsidP="00A661C3">
      <w:pPr>
        <w:pStyle w:val="003"/>
        <w:spacing w:before="120" w:after="120"/>
        <w:ind w:firstLine="482"/>
      </w:pPr>
      <w:bookmarkStart w:id="206" w:name="_Hlk219329823"/>
      <w:r w:rsidRPr="00DA3766">
        <w:t>（一）相关交易对方的持有标的资产权益的具体情况和持续持有时间，本次获得股份的具体情况及锁定期</w:t>
      </w:r>
    </w:p>
    <w:p w14:paraId="50D68B26" w14:textId="0E6B2B3A" w:rsidR="00A661C3" w:rsidRPr="00DA3766" w:rsidRDefault="002372DE" w:rsidP="00C93B0F">
      <w:pPr>
        <w:pStyle w:val="005"/>
        <w:spacing w:before="120" w:after="120"/>
        <w:ind w:firstLine="480"/>
      </w:pPr>
      <w:r w:rsidRPr="00DA3766">
        <w:t>本次交易的交易对方持有标的资产权益的具体情况和持续持有时间、获得股份的具体情况及锁定期安排如下：</w:t>
      </w:r>
    </w:p>
    <w:tbl>
      <w:tblPr>
        <w:tblW w:w="501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67"/>
        <w:gridCol w:w="1337"/>
        <w:gridCol w:w="1604"/>
        <w:gridCol w:w="1273"/>
        <w:gridCol w:w="1596"/>
        <w:gridCol w:w="2040"/>
      </w:tblGrid>
      <w:tr w:rsidR="002372DE" w:rsidRPr="00DA3766" w14:paraId="7D7E01B9" w14:textId="77777777" w:rsidTr="00635015">
        <w:trPr>
          <w:trHeight w:val="397"/>
          <w:tblHeader/>
          <w:jc w:val="center"/>
        </w:trPr>
        <w:tc>
          <w:tcPr>
            <w:tcW w:w="337" w:type="pct"/>
            <w:shd w:val="clear" w:color="auto" w:fill="FFFFFF"/>
            <w:tcMar>
              <w:top w:w="0" w:type="dxa"/>
              <w:left w:w="38" w:type="dxa"/>
              <w:bottom w:w="0" w:type="dxa"/>
              <w:right w:w="38" w:type="dxa"/>
            </w:tcMar>
            <w:vAlign w:val="center"/>
          </w:tcPr>
          <w:p w14:paraId="1B1D09B8"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序号</w:t>
            </w:r>
          </w:p>
        </w:tc>
        <w:tc>
          <w:tcPr>
            <w:tcW w:w="794" w:type="pct"/>
            <w:shd w:val="clear" w:color="auto" w:fill="FFFFFF"/>
            <w:tcMar>
              <w:top w:w="0" w:type="dxa"/>
              <w:left w:w="38" w:type="dxa"/>
              <w:bottom w:w="0" w:type="dxa"/>
              <w:right w:w="38" w:type="dxa"/>
            </w:tcMar>
            <w:vAlign w:val="center"/>
          </w:tcPr>
          <w:p w14:paraId="440A95E2"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股东名称</w:t>
            </w:r>
          </w:p>
        </w:tc>
        <w:tc>
          <w:tcPr>
            <w:tcW w:w="953" w:type="pct"/>
            <w:shd w:val="clear" w:color="auto" w:fill="FFFFFF"/>
            <w:tcMar>
              <w:top w:w="0" w:type="dxa"/>
              <w:left w:w="38" w:type="dxa"/>
              <w:bottom w:w="0" w:type="dxa"/>
              <w:right w:w="38" w:type="dxa"/>
            </w:tcMar>
            <w:vAlign w:val="center"/>
          </w:tcPr>
          <w:p w14:paraId="6524E839"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持有标的资产权益的具体情况</w:t>
            </w:r>
          </w:p>
        </w:tc>
        <w:tc>
          <w:tcPr>
            <w:tcW w:w="756" w:type="pct"/>
            <w:shd w:val="clear" w:color="auto" w:fill="FFFFFF"/>
            <w:tcMar>
              <w:top w:w="0" w:type="dxa"/>
              <w:left w:w="38" w:type="dxa"/>
              <w:bottom w:w="0" w:type="dxa"/>
              <w:right w:w="38" w:type="dxa"/>
            </w:tcMar>
            <w:vAlign w:val="center"/>
          </w:tcPr>
          <w:p w14:paraId="53EDCCD7"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初始取得权益时间</w:t>
            </w:r>
          </w:p>
        </w:tc>
        <w:tc>
          <w:tcPr>
            <w:tcW w:w="948" w:type="pct"/>
            <w:shd w:val="clear" w:color="auto" w:fill="FFFFFF"/>
            <w:tcMar>
              <w:top w:w="0" w:type="dxa"/>
              <w:left w:w="38" w:type="dxa"/>
              <w:bottom w:w="0" w:type="dxa"/>
              <w:right w:w="38" w:type="dxa"/>
            </w:tcMar>
            <w:vAlign w:val="center"/>
          </w:tcPr>
          <w:p w14:paraId="64D830CA"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本次获得股份的具体情况（万股）</w:t>
            </w:r>
          </w:p>
        </w:tc>
        <w:tc>
          <w:tcPr>
            <w:tcW w:w="1212" w:type="pct"/>
            <w:shd w:val="clear" w:color="auto" w:fill="FFFFFF"/>
            <w:tcMar>
              <w:top w:w="0" w:type="dxa"/>
              <w:left w:w="38" w:type="dxa"/>
              <w:bottom w:w="0" w:type="dxa"/>
              <w:right w:w="38" w:type="dxa"/>
            </w:tcMar>
            <w:vAlign w:val="center"/>
          </w:tcPr>
          <w:p w14:paraId="54D4A9AC"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本次交易锁定期</w:t>
            </w:r>
          </w:p>
        </w:tc>
      </w:tr>
      <w:tr w:rsidR="002372DE" w:rsidRPr="00DA3766" w14:paraId="7B476AB8"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615190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794" w:type="pct"/>
            <w:shd w:val="clear" w:color="auto" w:fill="FFFFFF"/>
            <w:tcMar>
              <w:top w:w="0" w:type="dxa"/>
              <w:left w:w="38" w:type="dxa"/>
              <w:bottom w:w="0" w:type="dxa"/>
              <w:right w:w="38" w:type="dxa"/>
            </w:tcMar>
            <w:vAlign w:val="center"/>
          </w:tcPr>
          <w:p w14:paraId="526E277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陈耿豪</w:t>
            </w:r>
          </w:p>
        </w:tc>
        <w:tc>
          <w:tcPr>
            <w:tcW w:w="953" w:type="pct"/>
            <w:shd w:val="clear" w:color="auto" w:fill="FFFFFF"/>
            <w:tcMar>
              <w:top w:w="0" w:type="dxa"/>
              <w:left w:w="38" w:type="dxa"/>
              <w:bottom w:w="0" w:type="dxa"/>
              <w:right w:w="38" w:type="dxa"/>
            </w:tcMar>
            <w:vAlign w:val="center"/>
          </w:tcPr>
          <w:p w14:paraId="66EBE43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22.4316%</w:t>
            </w:r>
            <w:r w:rsidRPr="00DA3766">
              <w:rPr>
                <w:rFonts w:ascii="Times New Roman" w:hAnsi="Times New Roman" w:cs="Times New Roman"/>
                <w:snapToGrid w:val="0"/>
                <w:color w:val="000000"/>
                <w:sz w:val="21"/>
                <w:szCs w:val="21"/>
              </w:rPr>
              <w:t>股权</w:t>
            </w:r>
          </w:p>
        </w:tc>
        <w:tc>
          <w:tcPr>
            <w:tcW w:w="756" w:type="pct"/>
            <w:shd w:val="clear" w:color="auto" w:fill="FFFFFF"/>
            <w:tcMar>
              <w:top w:w="0" w:type="dxa"/>
              <w:left w:w="38" w:type="dxa"/>
              <w:bottom w:w="0" w:type="dxa"/>
              <w:right w:w="38" w:type="dxa"/>
            </w:tcMar>
            <w:vAlign w:val="center"/>
          </w:tcPr>
          <w:p w14:paraId="029F7E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2015.10.26</w:t>
            </w:r>
          </w:p>
        </w:tc>
        <w:tc>
          <w:tcPr>
            <w:tcW w:w="948" w:type="pct"/>
            <w:shd w:val="clear" w:color="auto" w:fill="FFFFFF"/>
            <w:tcMar>
              <w:top w:w="0" w:type="dxa"/>
              <w:left w:w="38" w:type="dxa"/>
              <w:bottom w:w="0" w:type="dxa"/>
              <w:right w:w="38" w:type="dxa"/>
            </w:tcMar>
            <w:vAlign w:val="center"/>
          </w:tcPr>
          <w:p w14:paraId="3BC5EBB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434.00</w:t>
            </w:r>
          </w:p>
        </w:tc>
        <w:tc>
          <w:tcPr>
            <w:tcW w:w="1212" w:type="pct"/>
            <w:shd w:val="clear" w:color="auto" w:fill="FFFFFF"/>
            <w:tcMar>
              <w:top w:w="0" w:type="dxa"/>
              <w:left w:w="38" w:type="dxa"/>
              <w:bottom w:w="0" w:type="dxa"/>
              <w:right w:w="38" w:type="dxa"/>
            </w:tcMar>
            <w:vAlign w:val="center"/>
          </w:tcPr>
          <w:p w14:paraId="32F1A4A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498252C2" w14:textId="77777777" w:rsidTr="00635015">
        <w:trPr>
          <w:trHeight w:val="397"/>
          <w:jc w:val="center"/>
        </w:trPr>
        <w:tc>
          <w:tcPr>
            <w:tcW w:w="337" w:type="pct"/>
            <w:shd w:val="clear" w:color="auto" w:fill="FFFFFF"/>
            <w:tcMar>
              <w:top w:w="0" w:type="dxa"/>
              <w:left w:w="38" w:type="dxa"/>
              <w:bottom w:w="0" w:type="dxa"/>
              <w:right w:w="38" w:type="dxa"/>
            </w:tcMar>
            <w:vAlign w:val="center"/>
          </w:tcPr>
          <w:p w14:paraId="7DD607E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794" w:type="pct"/>
            <w:shd w:val="clear" w:color="auto" w:fill="FFFFFF"/>
            <w:tcMar>
              <w:top w:w="0" w:type="dxa"/>
              <w:left w:w="38" w:type="dxa"/>
              <w:bottom w:w="0" w:type="dxa"/>
              <w:right w:w="38" w:type="dxa"/>
            </w:tcMar>
            <w:vAlign w:val="center"/>
          </w:tcPr>
          <w:p w14:paraId="16FB35A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杨凯然</w:t>
            </w:r>
          </w:p>
        </w:tc>
        <w:tc>
          <w:tcPr>
            <w:tcW w:w="953" w:type="pct"/>
            <w:shd w:val="clear" w:color="auto" w:fill="FFFFFF"/>
            <w:tcMar>
              <w:top w:w="0" w:type="dxa"/>
              <w:left w:w="38" w:type="dxa"/>
              <w:bottom w:w="0" w:type="dxa"/>
              <w:right w:w="38" w:type="dxa"/>
            </w:tcMar>
            <w:vAlign w:val="center"/>
          </w:tcPr>
          <w:p w14:paraId="3E468C8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4.3499%</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33891139" w14:textId="263B112B"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2016.03.07</w:t>
            </w:r>
            <w:r w:rsidR="00D241A0" w:rsidRPr="00DA3766">
              <w:rPr>
                <w:rFonts w:ascii="Times New Roman" w:hAnsi="Times New Roman" w:cs="Times New Roman"/>
                <w:snapToGrid w:val="0"/>
                <w:color w:val="000000"/>
                <w:spacing w:val="-3"/>
                <w:sz w:val="21"/>
                <w:szCs w:val="21"/>
              </w:rPr>
              <w:t>（通过乐摇</w:t>
            </w:r>
            <w:r w:rsidRPr="00DA3766">
              <w:rPr>
                <w:rFonts w:ascii="Times New Roman" w:hAnsi="Times New Roman" w:cs="Times New Roman"/>
                <w:snapToGrid w:val="0"/>
                <w:color w:val="000000"/>
                <w:spacing w:val="-3"/>
                <w:sz w:val="21"/>
                <w:szCs w:val="21"/>
              </w:rPr>
              <w:t>间接持有）</w:t>
            </w:r>
          </w:p>
        </w:tc>
        <w:tc>
          <w:tcPr>
            <w:tcW w:w="948" w:type="pct"/>
            <w:shd w:val="clear" w:color="auto" w:fill="FFFFFF"/>
            <w:tcMar>
              <w:top w:w="0" w:type="dxa"/>
              <w:left w:w="38" w:type="dxa"/>
              <w:bottom w:w="0" w:type="dxa"/>
              <w:right w:w="38" w:type="dxa"/>
            </w:tcMar>
            <w:vAlign w:val="center"/>
          </w:tcPr>
          <w:p w14:paraId="2C6681D0"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232.56</w:t>
            </w:r>
          </w:p>
        </w:tc>
        <w:tc>
          <w:tcPr>
            <w:tcW w:w="1212" w:type="pct"/>
            <w:shd w:val="clear" w:color="auto" w:fill="FFFFFF"/>
            <w:tcMar>
              <w:top w:w="0" w:type="dxa"/>
              <w:left w:w="38" w:type="dxa"/>
              <w:bottom w:w="0" w:type="dxa"/>
              <w:right w:w="38" w:type="dxa"/>
            </w:tcMar>
            <w:vAlign w:val="center"/>
          </w:tcPr>
          <w:p w14:paraId="738ED4B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69698A5A" w14:textId="77777777" w:rsidTr="00635015">
        <w:trPr>
          <w:trHeight w:val="397"/>
          <w:jc w:val="center"/>
        </w:trPr>
        <w:tc>
          <w:tcPr>
            <w:tcW w:w="337" w:type="pct"/>
            <w:shd w:val="clear" w:color="auto" w:fill="FFFFFF"/>
            <w:tcMar>
              <w:top w:w="0" w:type="dxa"/>
              <w:left w:w="38" w:type="dxa"/>
              <w:bottom w:w="0" w:type="dxa"/>
              <w:right w:w="38" w:type="dxa"/>
            </w:tcMar>
            <w:vAlign w:val="center"/>
          </w:tcPr>
          <w:p w14:paraId="27ADA8D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w:t>
            </w:r>
          </w:p>
        </w:tc>
        <w:tc>
          <w:tcPr>
            <w:tcW w:w="794" w:type="pct"/>
            <w:shd w:val="clear" w:color="auto" w:fill="FFFFFF"/>
            <w:tcMar>
              <w:top w:w="0" w:type="dxa"/>
              <w:left w:w="38" w:type="dxa"/>
              <w:bottom w:w="0" w:type="dxa"/>
              <w:right w:w="38" w:type="dxa"/>
            </w:tcMar>
            <w:vAlign w:val="center"/>
          </w:tcPr>
          <w:p w14:paraId="4C32AA6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张杰波</w:t>
            </w:r>
          </w:p>
        </w:tc>
        <w:tc>
          <w:tcPr>
            <w:tcW w:w="953" w:type="pct"/>
            <w:shd w:val="clear" w:color="auto" w:fill="FFFFFF"/>
            <w:tcMar>
              <w:top w:w="0" w:type="dxa"/>
              <w:left w:w="38" w:type="dxa"/>
              <w:bottom w:w="0" w:type="dxa"/>
              <w:right w:w="38" w:type="dxa"/>
            </w:tcMar>
            <w:vAlign w:val="center"/>
          </w:tcPr>
          <w:p w14:paraId="4EBF0B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4.0062%</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121BAEB0" w14:textId="43C1FE64"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2017.06.21</w:t>
            </w:r>
            <w:r w:rsidR="00D241A0" w:rsidRPr="00DA3766">
              <w:rPr>
                <w:rFonts w:ascii="Times New Roman" w:hAnsi="Times New Roman" w:cs="Times New Roman"/>
                <w:spacing w:val="-3"/>
                <w:sz w:val="21"/>
                <w:szCs w:val="21"/>
              </w:rPr>
              <w:t>（通过乐熙熙</w:t>
            </w:r>
            <w:r w:rsidRPr="00DA3766">
              <w:rPr>
                <w:rFonts w:ascii="Times New Roman" w:hAnsi="Times New Roman" w:cs="Times New Roman"/>
                <w:spacing w:val="-3"/>
                <w:sz w:val="21"/>
                <w:szCs w:val="21"/>
              </w:rPr>
              <w:t>间接持有）</w:t>
            </w:r>
          </w:p>
        </w:tc>
        <w:tc>
          <w:tcPr>
            <w:tcW w:w="948" w:type="pct"/>
            <w:shd w:val="clear" w:color="auto" w:fill="FFFFFF"/>
            <w:tcMar>
              <w:top w:w="0" w:type="dxa"/>
              <w:left w:w="38" w:type="dxa"/>
              <w:bottom w:w="0" w:type="dxa"/>
              <w:right w:w="38" w:type="dxa"/>
            </w:tcMar>
            <w:vAlign w:val="center"/>
          </w:tcPr>
          <w:p w14:paraId="4B094F68"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214.19</w:t>
            </w:r>
          </w:p>
        </w:tc>
        <w:tc>
          <w:tcPr>
            <w:tcW w:w="1212" w:type="pct"/>
            <w:shd w:val="clear" w:color="auto" w:fill="FFFFFF"/>
            <w:tcMar>
              <w:top w:w="0" w:type="dxa"/>
              <w:left w:w="38" w:type="dxa"/>
              <w:bottom w:w="0" w:type="dxa"/>
              <w:right w:w="38" w:type="dxa"/>
            </w:tcMar>
            <w:vAlign w:val="center"/>
          </w:tcPr>
          <w:p w14:paraId="3F382ED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AFC0378" w14:textId="77777777" w:rsidTr="00635015">
        <w:trPr>
          <w:trHeight w:val="397"/>
          <w:jc w:val="center"/>
        </w:trPr>
        <w:tc>
          <w:tcPr>
            <w:tcW w:w="337" w:type="pct"/>
            <w:shd w:val="clear" w:color="auto" w:fill="FFFFFF"/>
            <w:tcMar>
              <w:top w:w="0" w:type="dxa"/>
              <w:left w:w="38" w:type="dxa"/>
              <w:bottom w:w="0" w:type="dxa"/>
              <w:right w:w="38" w:type="dxa"/>
            </w:tcMar>
            <w:vAlign w:val="center"/>
          </w:tcPr>
          <w:p w14:paraId="10ED8AE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w:t>
            </w:r>
          </w:p>
        </w:tc>
        <w:tc>
          <w:tcPr>
            <w:tcW w:w="794" w:type="pct"/>
            <w:shd w:val="clear" w:color="auto" w:fill="FFFFFF"/>
            <w:tcMar>
              <w:top w:w="0" w:type="dxa"/>
              <w:left w:w="38" w:type="dxa"/>
              <w:bottom w:w="0" w:type="dxa"/>
              <w:right w:w="38" w:type="dxa"/>
            </w:tcMar>
            <w:vAlign w:val="center"/>
          </w:tcPr>
          <w:p w14:paraId="03F631C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胡俊</w:t>
            </w:r>
          </w:p>
        </w:tc>
        <w:tc>
          <w:tcPr>
            <w:tcW w:w="953" w:type="pct"/>
            <w:shd w:val="clear" w:color="auto" w:fill="FFFFFF"/>
            <w:tcMar>
              <w:top w:w="0" w:type="dxa"/>
              <w:left w:w="38" w:type="dxa"/>
              <w:bottom w:w="0" w:type="dxa"/>
              <w:right w:w="38" w:type="dxa"/>
            </w:tcMar>
            <w:vAlign w:val="center"/>
          </w:tcPr>
          <w:p w14:paraId="16DFAC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1.7657%</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1DEF5FF5" w14:textId="721896F8"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2019.01.15</w:t>
            </w:r>
            <w:r w:rsidR="00D241A0" w:rsidRPr="00DA3766">
              <w:rPr>
                <w:rFonts w:ascii="Times New Roman" w:hAnsi="Times New Roman" w:cs="Times New Roman"/>
                <w:spacing w:val="-3"/>
                <w:sz w:val="21"/>
                <w:szCs w:val="21"/>
              </w:rPr>
              <w:t>（通过乐熙熙</w:t>
            </w:r>
            <w:r w:rsidRPr="00DA3766">
              <w:rPr>
                <w:rFonts w:ascii="Times New Roman" w:hAnsi="Times New Roman" w:cs="Times New Roman"/>
                <w:spacing w:val="-3"/>
                <w:sz w:val="21"/>
                <w:szCs w:val="21"/>
              </w:rPr>
              <w:t>间接持有）</w:t>
            </w:r>
          </w:p>
        </w:tc>
        <w:tc>
          <w:tcPr>
            <w:tcW w:w="948" w:type="pct"/>
            <w:shd w:val="clear" w:color="auto" w:fill="FFFFFF"/>
            <w:tcMar>
              <w:top w:w="0" w:type="dxa"/>
              <w:left w:w="38" w:type="dxa"/>
              <w:bottom w:w="0" w:type="dxa"/>
              <w:right w:w="38" w:type="dxa"/>
            </w:tcMar>
            <w:vAlign w:val="center"/>
          </w:tcPr>
          <w:p w14:paraId="0340F2F4"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94.40</w:t>
            </w:r>
          </w:p>
        </w:tc>
        <w:tc>
          <w:tcPr>
            <w:tcW w:w="1212" w:type="pct"/>
            <w:shd w:val="clear" w:color="auto" w:fill="FFFFFF"/>
            <w:tcMar>
              <w:top w:w="0" w:type="dxa"/>
              <w:left w:w="38" w:type="dxa"/>
              <w:bottom w:w="0" w:type="dxa"/>
              <w:right w:w="38" w:type="dxa"/>
            </w:tcMar>
            <w:vAlign w:val="center"/>
          </w:tcPr>
          <w:p w14:paraId="6DB52FEA"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400D003" w14:textId="77777777" w:rsidTr="00635015">
        <w:trPr>
          <w:trHeight w:val="397"/>
          <w:jc w:val="center"/>
        </w:trPr>
        <w:tc>
          <w:tcPr>
            <w:tcW w:w="337" w:type="pct"/>
            <w:shd w:val="clear" w:color="auto" w:fill="FFFFFF"/>
            <w:tcMar>
              <w:top w:w="0" w:type="dxa"/>
              <w:left w:w="38" w:type="dxa"/>
              <w:bottom w:w="0" w:type="dxa"/>
              <w:right w:w="38" w:type="dxa"/>
            </w:tcMar>
            <w:vAlign w:val="center"/>
          </w:tcPr>
          <w:p w14:paraId="111DECE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5</w:t>
            </w:r>
          </w:p>
        </w:tc>
        <w:tc>
          <w:tcPr>
            <w:tcW w:w="794" w:type="pct"/>
            <w:shd w:val="clear" w:color="auto" w:fill="FFFFFF"/>
            <w:tcMar>
              <w:top w:w="0" w:type="dxa"/>
              <w:left w:w="38" w:type="dxa"/>
              <w:bottom w:w="0" w:type="dxa"/>
              <w:right w:w="38" w:type="dxa"/>
            </w:tcMar>
            <w:vAlign w:val="center"/>
          </w:tcPr>
          <w:p w14:paraId="44156F3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王佳</w:t>
            </w:r>
          </w:p>
        </w:tc>
        <w:tc>
          <w:tcPr>
            <w:tcW w:w="953" w:type="pct"/>
            <w:shd w:val="clear" w:color="auto" w:fill="FFFFFF"/>
            <w:tcMar>
              <w:top w:w="0" w:type="dxa"/>
              <w:left w:w="38" w:type="dxa"/>
              <w:bottom w:w="0" w:type="dxa"/>
              <w:right w:w="38" w:type="dxa"/>
            </w:tcMar>
            <w:vAlign w:val="center"/>
          </w:tcPr>
          <w:p w14:paraId="05589E6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1.5833%</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33C072FC" w14:textId="0976E201"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2021.12.14</w:t>
            </w:r>
            <w:r w:rsidR="00D241A0" w:rsidRPr="00DA3766">
              <w:rPr>
                <w:rFonts w:ascii="Times New Roman" w:hAnsi="Times New Roman" w:cs="Times New Roman"/>
                <w:spacing w:val="-3"/>
                <w:sz w:val="21"/>
                <w:szCs w:val="21"/>
              </w:rPr>
              <w:t>（通过乐腾腾</w:t>
            </w:r>
            <w:r w:rsidRPr="00DA3766">
              <w:rPr>
                <w:rFonts w:ascii="Times New Roman" w:hAnsi="Times New Roman" w:cs="Times New Roman"/>
                <w:spacing w:val="-3"/>
                <w:sz w:val="21"/>
                <w:szCs w:val="21"/>
              </w:rPr>
              <w:t>间接持有）</w:t>
            </w:r>
          </w:p>
        </w:tc>
        <w:tc>
          <w:tcPr>
            <w:tcW w:w="948" w:type="pct"/>
            <w:shd w:val="clear" w:color="auto" w:fill="FFFFFF"/>
            <w:tcMar>
              <w:top w:w="0" w:type="dxa"/>
              <w:left w:w="38" w:type="dxa"/>
              <w:bottom w:w="0" w:type="dxa"/>
              <w:right w:w="38" w:type="dxa"/>
            </w:tcMar>
            <w:vAlign w:val="center"/>
          </w:tcPr>
          <w:p w14:paraId="79080A88"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84.65</w:t>
            </w:r>
          </w:p>
        </w:tc>
        <w:tc>
          <w:tcPr>
            <w:tcW w:w="1212" w:type="pct"/>
            <w:shd w:val="clear" w:color="auto" w:fill="FFFFFF"/>
            <w:tcMar>
              <w:top w:w="0" w:type="dxa"/>
              <w:left w:w="38" w:type="dxa"/>
              <w:bottom w:w="0" w:type="dxa"/>
              <w:right w:w="38" w:type="dxa"/>
            </w:tcMar>
            <w:vAlign w:val="center"/>
          </w:tcPr>
          <w:p w14:paraId="4488ED34"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40303B9" w14:textId="77777777" w:rsidTr="00635015">
        <w:trPr>
          <w:trHeight w:val="397"/>
          <w:jc w:val="center"/>
        </w:trPr>
        <w:tc>
          <w:tcPr>
            <w:tcW w:w="337" w:type="pct"/>
            <w:shd w:val="clear" w:color="auto" w:fill="FFFFFF"/>
            <w:tcMar>
              <w:top w:w="0" w:type="dxa"/>
              <w:left w:w="38" w:type="dxa"/>
              <w:bottom w:w="0" w:type="dxa"/>
              <w:right w:w="38" w:type="dxa"/>
            </w:tcMar>
            <w:vAlign w:val="center"/>
          </w:tcPr>
          <w:p w14:paraId="3E38E1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6</w:t>
            </w:r>
          </w:p>
        </w:tc>
        <w:tc>
          <w:tcPr>
            <w:tcW w:w="794" w:type="pct"/>
            <w:shd w:val="clear" w:color="auto" w:fill="FFFFFF"/>
            <w:tcMar>
              <w:top w:w="0" w:type="dxa"/>
              <w:left w:w="38" w:type="dxa"/>
              <w:bottom w:w="0" w:type="dxa"/>
              <w:right w:w="38" w:type="dxa"/>
            </w:tcMar>
            <w:vAlign w:val="center"/>
          </w:tcPr>
          <w:p w14:paraId="271E810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林芝利新</w:t>
            </w:r>
          </w:p>
        </w:tc>
        <w:tc>
          <w:tcPr>
            <w:tcW w:w="953" w:type="pct"/>
            <w:shd w:val="clear" w:color="auto" w:fill="FFFFFF"/>
            <w:tcMar>
              <w:top w:w="0" w:type="dxa"/>
              <w:left w:w="38" w:type="dxa"/>
              <w:bottom w:w="0" w:type="dxa"/>
              <w:right w:w="38" w:type="dxa"/>
            </w:tcMar>
            <w:vAlign w:val="center"/>
          </w:tcPr>
          <w:p w14:paraId="584879B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lastRenderedPageBreak/>
              <w:t>5.0811%</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6F72B76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lastRenderedPageBreak/>
              <w:t>2020.01.15</w:t>
            </w:r>
          </w:p>
        </w:tc>
        <w:tc>
          <w:tcPr>
            <w:tcW w:w="948" w:type="pct"/>
            <w:shd w:val="clear" w:color="auto" w:fill="FFFFFF"/>
            <w:tcMar>
              <w:top w:w="0" w:type="dxa"/>
              <w:left w:w="38" w:type="dxa"/>
              <w:bottom w:w="0" w:type="dxa"/>
              <w:right w:w="38" w:type="dxa"/>
            </w:tcMar>
            <w:vAlign w:val="center"/>
          </w:tcPr>
          <w:p w14:paraId="1EF2B44D"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111.65</w:t>
            </w:r>
          </w:p>
        </w:tc>
        <w:tc>
          <w:tcPr>
            <w:tcW w:w="1212" w:type="pct"/>
            <w:shd w:val="clear" w:color="auto" w:fill="FFFFFF"/>
            <w:tcMar>
              <w:top w:w="0" w:type="dxa"/>
              <w:left w:w="38" w:type="dxa"/>
              <w:bottom w:w="0" w:type="dxa"/>
              <w:right w:w="38" w:type="dxa"/>
            </w:tcMar>
            <w:vAlign w:val="center"/>
          </w:tcPr>
          <w:p w14:paraId="5FFBA55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w:t>
            </w:r>
          </w:p>
        </w:tc>
      </w:tr>
      <w:tr w:rsidR="002372DE" w:rsidRPr="00DA3766" w14:paraId="1FAA5371" w14:textId="77777777" w:rsidTr="00635015">
        <w:trPr>
          <w:trHeight w:val="397"/>
          <w:jc w:val="center"/>
        </w:trPr>
        <w:tc>
          <w:tcPr>
            <w:tcW w:w="337" w:type="pct"/>
            <w:shd w:val="clear" w:color="auto" w:fill="FFFFFF"/>
            <w:tcMar>
              <w:top w:w="0" w:type="dxa"/>
              <w:left w:w="38" w:type="dxa"/>
              <w:bottom w:w="0" w:type="dxa"/>
              <w:right w:w="38" w:type="dxa"/>
            </w:tcMar>
            <w:vAlign w:val="center"/>
          </w:tcPr>
          <w:p w14:paraId="12B2B97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w:t>
            </w:r>
          </w:p>
        </w:tc>
        <w:tc>
          <w:tcPr>
            <w:tcW w:w="794" w:type="pct"/>
            <w:shd w:val="clear" w:color="auto" w:fill="FFFFFF"/>
            <w:tcMar>
              <w:top w:w="0" w:type="dxa"/>
              <w:left w:w="38" w:type="dxa"/>
              <w:bottom w:w="0" w:type="dxa"/>
              <w:right w:w="38" w:type="dxa"/>
            </w:tcMar>
            <w:vAlign w:val="center"/>
          </w:tcPr>
          <w:p w14:paraId="6D82856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南通成为常青</w:t>
            </w:r>
          </w:p>
        </w:tc>
        <w:tc>
          <w:tcPr>
            <w:tcW w:w="953" w:type="pct"/>
            <w:shd w:val="clear" w:color="auto" w:fill="FFFFFF"/>
            <w:tcMar>
              <w:top w:w="0" w:type="dxa"/>
              <w:left w:w="38" w:type="dxa"/>
              <w:bottom w:w="0" w:type="dxa"/>
              <w:right w:w="38" w:type="dxa"/>
            </w:tcMar>
            <w:vAlign w:val="center"/>
          </w:tcPr>
          <w:p w14:paraId="434421C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19.0635%</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27D077A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2017.07.24</w:t>
            </w:r>
          </w:p>
        </w:tc>
        <w:tc>
          <w:tcPr>
            <w:tcW w:w="948" w:type="pct"/>
            <w:shd w:val="clear" w:color="auto" w:fill="FFFFFF"/>
            <w:tcMar>
              <w:top w:w="0" w:type="dxa"/>
              <w:left w:w="38" w:type="dxa"/>
              <w:bottom w:w="0" w:type="dxa"/>
              <w:right w:w="38" w:type="dxa"/>
            </w:tcMar>
            <w:vAlign w:val="center"/>
          </w:tcPr>
          <w:p w14:paraId="038C2462"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279.26</w:t>
            </w:r>
          </w:p>
        </w:tc>
        <w:tc>
          <w:tcPr>
            <w:tcW w:w="1212" w:type="pct"/>
            <w:shd w:val="clear" w:color="auto" w:fill="FFFFFF"/>
            <w:tcMar>
              <w:top w:w="0" w:type="dxa"/>
              <w:left w:w="38" w:type="dxa"/>
              <w:bottom w:w="0" w:type="dxa"/>
              <w:right w:w="38" w:type="dxa"/>
            </w:tcMar>
            <w:vAlign w:val="center"/>
          </w:tcPr>
          <w:p w14:paraId="325C72B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6B92833A"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44FD1E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w:t>
            </w:r>
          </w:p>
        </w:tc>
        <w:tc>
          <w:tcPr>
            <w:tcW w:w="794" w:type="pct"/>
            <w:shd w:val="clear" w:color="auto" w:fill="FFFFFF"/>
            <w:tcMar>
              <w:top w:w="0" w:type="dxa"/>
              <w:left w:w="38" w:type="dxa"/>
              <w:bottom w:w="0" w:type="dxa"/>
              <w:right w:w="38" w:type="dxa"/>
            </w:tcMar>
            <w:vAlign w:val="center"/>
          </w:tcPr>
          <w:p w14:paraId="6535033A"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广发信德科文</w:t>
            </w:r>
          </w:p>
        </w:tc>
        <w:tc>
          <w:tcPr>
            <w:tcW w:w="953" w:type="pct"/>
            <w:shd w:val="clear" w:color="auto" w:fill="FFFFFF"/>
            <w:tcMar>
              <w:top w:w="0" w:type="dxa"/>
              <w:left w:w="38" w:type="dxa"/>
              <w:bottom w:w="0" w:type="dxa"/>
              <w:right w:w="38" w:type="dxa"/>
            </w:tcMar>
            <w:vAlign w:val="center"/>
          </w:tcPr>
          <w:p w14:paraId="3DC9C6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13.3268%</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00D5B9F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2017.03.15</w:t>
            </w:r>
          </w:p>
        </w:tc>
        <w:tc>
          <w:tcPr>
            <w:tcW w:w="948" w:type="pct"/>
            <w:shd w:val="clear" w:color="auto" w:fill="FFFFFF"/>
            <w:tcMar>
              <w:top w:w="0" w:type="dxa"/>
              <w:left w:w="38" w:type="dxa"/>
              <w:bottom w:w="0" w:type="dxa"/>
              <w:right w:w="38" w:type="dxa"/>
            </w:tcMar>
            <w:vAlign w:val="center"/>
          </w:tcPr>
          <w:p w14:paraId="224B603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195.22</w:t>
            </w:r>
          </w:p>
        </w:tc>
        <w:tc>
          <w:tcPr>
            <w:tcW w:w="1212" w:type="pct"/>
            <w:shd w:val="clear" w:color="auto" w:fill="FFFFFF"/>
            <w:tcMar>
              <w:top w:w="0" w:type="dxa"/>
              <w:left w:w="38" w:type="dxa"/>
              <w:bottom w:w="0" w:type="dxa"/>
              <w:right w:w="38" w:type="dxa"/>
            </w:tcMar>
            <w:vAlign w:val="center"/>
          </w:tcPr>
          <w:p w14:paraId="40B7F08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7AB081A1"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EC142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9</w:t>
            </w:r>
          </w:p>
        </w:tc>
        <w:tc>
          <w:tcPr>
            <w:tcW w:w="794" w:type="pct"/>
            <w:shd w:val="clear" w:color="auto" w:fill="FFFFFF"/>
            <w:tcMar>
              <w:top w:w="0" w:type="dxa"/>
              <w:left w:w="38" w:type="dxa"/>
              <w:bottom w:w="0" w:type="dxa"/>
              <w:right w:w="38" w:type="dxa"/>
            </w:tcMar>
            <w:vAlign w:val="center"/>
          </w:tcPr>
          <w:p w14:paraId="1ABD8DC3" w14:textId="77777777" w:rsidR="00635015"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苏州市</w:t>
            </w:r>
          </w:p>
          <w:p w14:paraId="070FE1D7" w14:textId="74F41FD8"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德同合心</w:t>
            </w:r>
          </w:p>
        </w:tc>
        <w:tc>
          <w:tcPr>
            <w:tcW w:w="953" w:type="pct"/>
            <w:shd w:val="clear" w:color="auto" w:fill="FFFFFF"/>
            <w:tcMar>
              <w:top w:w="0" w:type="dxa"/>
              <w:left w:w="38" w:type="dxa"/>
              <w:bottom w:w="0" w:type="dxa"/>
              <w:right w:w="38" w:type="dxa"/>
            </w:tcMar>
            <w:vAlign w:val="center"/>
          </w:tcPr>
          <w:p w14:paraId="0757A4F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5.9710%</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4861340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48" w:type="pct"/>
            <w:shd w:val="clear" w:color="auto" w:fill="FFFFFF"/>
            <w:tcMar>
              <w:top w:w="0" w:type="dxa"/>
              <w:left w:w="38" w:type="dxa"/>
              <w:bottom w:w="0" w:type="dxa"/>
              <w:right w:w="38" w:type="dxa"/>
            </w:tcMar>
            <w:vAlign w:val="center"/>
          </w:tcPr>
          <w:p w14:paraId="5415101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87.47</w:t>
            </w:r>
          </w:p>
        </w:tc>
        <w:tc>
          <w:tcPr>
            <w:tcW w:w="1212" w:type="pct"/>
            <w:shd w:val="clear" w:color="auto" w:fill="FFFFFF"/>
            <w:tcMar>
              <w:top w:w="0" w:type="dxa"/>
              <w:left w:w="38" w:type="dxa"/>
              <w:bottom w:w="0" w:type="dxa"/>
              <w:right w:w="38" w:type="dxa"/>
            </w:tcMar>
            <w:vAlign w:val="center"/>
          </w:tcPr>
          <w:p w14:paraId="4717E4C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52FB368B"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069E76F"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10</w:t>
            </w:r>
          </w:p>
        </w:tc>
        <w:tc>
          <w:tcPr>
            <w:tcW w:w="794" w:type="pct"/>
            <w:shd w:val="clear" w:color="auto" w:fill="FFFFFF"/>
            <w:tcMar>
              <w:top w:w="0" w:type="dxa"/>
              <w:left w:w="38" w:type="dxa"/>
              <w:bottom w:w="0" w:type="dxa"/>
              <w:right w:w="38" w:type="dxa"/>
            </w:tcMar>
            <w:vAlign w:val="center"/>
          </w:tcPr>
          <w:p w14:paraId="59E0878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乐陶陶</w:t>
            </w:r>
          </w:p>
        </w:tc>
        <w:tc>
          <w:tcPr>
            <w:tcW w:w="953" w:type="pct"/>
            <w:shd w:val="clear" w:color="auto" w:fill="FFFFFF"/>
            <w:tcMar>
              <w:top w:w="0" w:type="dxa"/>
              <w:left w:w="38" w:type="dxa"/>
              <w:bottom w:w="0" w:type="dxa"/>
              <w:right w:w="38" w:type="dxa"/>
            </w:tcMar>
            <w:vAlign w:val="center"/>
          </w:tcPr>
          <w:p w14:paraId="15BC501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sz w:val="21"/>
                <w:szCs w:val="21"/>
              </w:rPr>
              <w:t>5.9697</w:t>
            </w:r>
            <w:r w:rsidRPr="00DA3766">
              <w:rPr>
                <w:rFonts w:ascii="Times New Roman" w:hAnsi="Times New Roman" w:cs="Times New Roman"/>
                <w:snapToGrid w:val="0"/>
                <w:color w:val="000000"/>
                <w:sz w:val="21"/>
                <w:szCs w:val="21"/>
              </w:rPr>
              <w:t>%</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74583F9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2020.09.14</w:t>
            </w:r>
          </w:p>
        </w:tc>
        <w:tc>
          <w:tcPr>
            <w:tcW w:w="948" w:type="pct"/>
            <w:shd w:val="clear" w:color="auto" w:fill="FFFFFF"/>
            <w:tcMar>
              <w:top w:w="0" w:type="dxa"/>
              <w:left w:w="38" w:type="dxa"/>
              <w:bottom w:w="0" w:type="dxa"/>
              <w:right w:w="38" w:type="dxa"/>
            </w:tcMar>
            <w:vAlign w:val="center"/>
          </w:tcPr>
          <w:p w14:paraId="788D6703"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87.45</w:t>
            </w:r>
          </w:p>
        </w:tc>
        <w:tc>
          <w:tcPr>
            <w:tcW w:w="1212" w:type="pct"/>
            <w:shd w:val="clear" w:color="auto" w:fill="FFFFFF"/>
            <w:tcMar>
              <w:top w:w="0" w:type="dxa"/>
              <w:left w:w="38" w:type="dxa"/>
              <w:bottom w:w="0" w:type="dxa"/>
              <w:right w:w="38" w:type="dxa"/>
            </w:tcMar>
            <w:vAlign w:val="center"/>
          </w:tcPr>
          <w:p w14:paraId="63B5DD6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1AC880C3" w14:textId="77777777" w:rsidTr="00635015">
        <w:trPr>
          <w:trHeight w:val="397"/>
          <w:jc w:val="center"/>
        </w:trPr>
        <w:tc>
          <w:tcPr>
            <w:tcW w:w="337" w:type="pct"/>
            <w:shd w:val="clear" w:color="auto" w:fill="FFFFFF"/>
            <w:tcMar>
              <w:top w:w="0" w:type="dxa"/>
              <w:left w:w="38" w:type="dxa"/>
              <w:bottom w:w="0" w:type="dxa"/>
              <w:right w:w="38" w:type="dxa"/>
            </w:tcMar>
            <w:vAlign w:val="center"/>
          </w:tcPr>
          <w:p w14:paraId="0A685DF2"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11</w:t>
            </w:r>
          </w:p>
        </w:tc>
        <w:tc>
          <w:tcPr>
            <w:tcW w:w="794" w:type="pct"/>
            <w:shd w:val="clear" w:color="auto" w:fill="FFFFFF"/>
            <w:tcMar>
              <w:top w:w="0" w:type="dxa"/>
              <w:left w:w="38" w:type="dxa"/>
              <w:bottom w:w="0" w:type="dxa"/>
              <w:right w:w="38" w:type="dxa"/>
            </w:tcMar>
            <w:vAlign w:val="center"/>
          </w:tcPr>
          <w:p w14:paraId="60E8D28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璀璨远见</w:t>
            </w:r>
          </w:p>
        </w:tc>
        <w:tc>
          <w:tcPr>
            <w:tcW w:w="953" w:type="pct"/>
            <w:shd w:val="clear" w:color="auto" w:fill="FFFFFF"/>
            <w:tcMar>
              <w:top w:w="0" w:type="dxa"/>
              <w:left w:w="38" w:type="dxa"/>
              <w:bottom w:w="0" w:type="dxa"/>
              <w:right w:w="38" w:type="dxa"/>
            </w:tcMar>
            <w:vAlign w:val="center"/>
          </w:tcPr>
          <w:p w14:paraId="5EE12EB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2.8180%</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7FC988E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48" w:type="pct"/>
            <w:shd w:val="clear" w:color="auto" w:fill="FFFFFF"/>
            <w:tcMar>
              <w:top w:w="0" w:type="dxa"/>
              <w:left w:w="38" w:type="dxa"/>
              <w:bottom w:w="0" w:type="dxa"/>
              <w:right w:w="38" w:type="dxa"/>
            </w:tcMar>
            <w:vAlign w:val="center"/>
          </w:tcPr>
          <w:p w14:paraId="7196EE9F"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49.76</w:t>
            </w:r>
          </w:p>
        </w:tc>
        <w:tc>
          <w:tcPr>
            <w:tcW w:w="1212" w:type="pct"/>
            <w:shd w:val="clear" w:color="auto" w:fill="FFFFFF"/>
            <w:tcMar>
              <w:top w:w="0" w:type="dxa"/>
              <w:left w:w="38" w:type="dxa"/>
              <w:bottom w:w="0" w:type="dxa"/>
              <w:right w:w="38" w:type="dxa"/>
            </w:tcMar>
            <w:vAlign w:val="center"/>
          </w:tcPr>
          <w:p w14:paraId="464D33C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36</w:t>
            </w:r>
            <w:r w:rsidRPr="00DA3766">
              <w:rPr>
                <w:rFonts w:ascii="Times New Roman" w:hAnsi="Times New Roman" w:cs="Times New Roman"/>
                <w:snapToGrid w:val="0"/>
                <w:color w:val="000000"/>
                <w:sz w:val="21"/>
                <w:szCs w:val="21"/>
              </w:rPr>
              <w:t>个月（根据所持股份持有时间）</w:t>
            </w:r>
          </w:p>
        </w:tc>
      </w:tr>
      <w:tr w:rsidR="002372DE" w:rsidRPr="00DA3766" w14:paraId="1A93C089" w14:textId="77777777" w:rsidTr="00635015">
        <w:trPr>
          <w:trHeight w:val="397"/>
          <w:jc w:val="center"/>
        </w:trPr>
        <w:tc>
          <w:tcPr>
            <w:tcW w:w="337" w:type="pct"/>
            <w:shd w:val="clear" w:color="auto" w:fill="FFFFFF"/>
            <w:tcMar>
              <w:top w:w="0" w:type="dxa"/>
              <w:left w:w="38" w:type="dxa"/>
              <w:bottom w:w="0" w:type="dxa"/>
              <w:right w:w="38" w:type="dxa"/>
            </w:tcMar>
            <w:vAlign w:val="center"/>
          </w:tcPr>
          <w:p w14:paraId="19006B0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p>
        </w:tc>
        <w:tc>
          <w:tcPr>
            <w:tcW w:w="794" w:type="pct"/>
            <w:shd w:val="clear" w:color="auto" w:fill="FFFFFF"/>
            <w:tcMar>
              <w:top w:w="0" w:type="dxa"/>
              <w:left w:w="38" w:type="dxa"/>
              <w:bottom w:w="0" w:type="dxa"/>
              <w:right w:w="38" w:type="dxa"/>
            </w:tcMar>
            <w:vAlign w:val="center"/>
          </w:tcPr>
          <w:p w14:paraId="4017534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乐熙熙</w:t>
            </w:r>
          </w:p>
        </w:tc>
        <w:tc>
          <w:tcPr>
            <w:tcW w:w="953" w:type="pct"/>
            <w:shd w:val="clear" w:color="auto" w:fill="FFFFFF"/>
            <w:tcMar>
              <w:top w:w="0" w:type="dxa"/>
              <w:left w:w="38" w:type="dxa"/>
              <w:bottom w:w="0" w:type="dxa"/>
              <w:right w:w="38" w:type="dxa"/>
            </w:tcMar>
            <w:vAlign w:val="center"/>
          </w:tcPr>
          <w:p w14:paraId="59E35D5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2.5122%</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02804DB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2017.07.19</w:t>
            </w:r>
          </w:p>
        </w:tc>
        <w:tc>
          <w:tcPr>
            <w:tcW w:w="948" w:type="pct"/>
            <w:shd w:val="clear" w:color="auto" w:fill="FFFFFF"/>
            <w:tcMar>
              <w:top w:w="0" w:type="dxa"/>
              <w:left w:w="38" w:type="dxa"/>
              <w:bottom w:w="0" w:type="dxa"/>
              <w:right w:w="38" w:type="dxa"/>
            </w:tcMar>
            <w:vAlign w:val="center"/>
          </w:tcPr>
          <w:p w14:paraId="0F33068F"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77.99</w:t>
            </w:r>
          </w:p>
        </w:tc>
        <w:tc>
          <w:tcPr>
            <w:tcW w:w="1212" w:type="pct"/>
            <w:shd w:val="clear" w:color="auto" w:fill="FFFFFF"/>
            <w:tcMar>
              <w:top w:w="0" w:type="dxa"/>
              <w:left w:w="38" w:type="dxa"/>
              <w:bottom w:w="0" w:type="dxa"/>
              <w:right w:w="38" w:type="dxa"/>
            </w:tcMar>
            <w:vAlign w:val="center"/>
          </w:tcPr>
          <w:p w14:paraId="338F469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F0F2339" w14:textId="77777777" w:rsidTr="00635015">
        <w:trPr>
          <w:trHeight w:val="397"/>
          <w:jc w:val="center"/>
        </w:trPr>
        <w:tc>
          <w:tcPr>
            <w:tcW w:w="337" w:type="pct"/>
            <w:shd w:val="clear" w:color="auto" w:fill="FFFFFF"/>
            <w:tcMar>
              <w:top w:w="0" w:type="dxa"/>
              <w:left w:w="38" w:type="dxa"/>
              <w:bottom w:w="0" w:type="dxa"/>
              <w:right w:w="38" w:type="dxa"/>
            </w:tcMar>
            <w:vAlign w:val="center"/>
          </w:tcPr>
          <w:p w14:paraId="314E0BA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w:t>
            </w:r>
          </w:p>
        </w:tc>
        <w:tc>
          <w:tcPr>
            <w:tcW w:w="794" w:type="pct"/>
            <w:shd w:val="clear" w:color="auto" w:fill="FFFFFF"/>
            <w:tcMar>
              <w:top w:w="0" w:type="dxa"/>
              <w:left w:w="38" w:type="dxa"/>
              <w:bottom w:w="0" w:type="dxa"/>
              <w:right w:w="38" w:type="dxa"/>
            </w:tcMar>
            <w:vAlign w:val="center"/>
          </w:tcPr>
          <w:p w14:paraId="1A21F53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乐腾腾</w:t>
            </w:r>
          </w:p>
        </w:tc>
        <w:tc>
          <w:tcPr>
            <w:tcW w:w="953" w:type="pct"/>
            <w:shd w:val="clear" w:color="auto" w:fill="FFFFFF"/>
            <w:tcMar>
              <w:top w:w="0" w:type="dxa"/>
              <w:left w:w="38" w:type="dxa"/>
              <w:bottom w:w="0" w:type="dxa"/>
              <w:right w:w="38" w:type="dxa"/>
            </w:tcMar>
            <w:vAlign w:val="center"/>
          </w:tcPr>
          <w:p w14:paraId="23C9EA6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2.2656%</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1431F83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2021.08.05</w:t>
            </w:r>
          </w:p>
        </w:tc>
        <w:tc>
          <w:tcPr>
            <w:tcW w:w="948" w:type="pct"/>
            <w:shd w:val="clear" w:color="auto" w:fill="FFFFFF"/>
            <w:tcMar>
              <w:top w:w="0" w:type="dxa"/>
              <w:left w:w="38" w:type="dxa"/>
              <w:bottom w:w="0" w:type="dxa"/>
              <w:right w:w="38" w:type="dxa"/>
            </w:tcMar>
            <w:vAlign w:val="center"/>
          </w:tcPr>
          <w:p w14:paraId="5C0D03F1"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70.34</w:t>
            </w:r>
          </w:p>
        </w:tc>
        <w:tc>
          <w:tcPr>
            <w:tcW w:w="1212" w:type="pct"/>
            <w:shd w:val="clear" w:color="auto" w:fill="FFFFFF"/>
            <w:tcMar>
              <w:top w:w="0" w:type="dxa"/>
              <w:left w:w="38" w:type="dxa"/>
              <w:bottom w:w="0" w:type="dxa"/>
              <w:right w:w="38" w:type="dxa"/>
            </w:tcMar>
            <w:vAlign w:val="center"/>
          </w:tcPr>
          <w:p w14:paraId="7A5D0ED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15A6941B"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2C728B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14</w:t>
            </w:r>
          </w:p>
        </w:tc>
        <w:tc>
          <w:tcPr>
            <w:tcW w:w="794" w:type="pct"/>
            <w:shd w:val="clear" w:color="auto" w:fill="FFFFFF"/>
            <w:tcMar>
              <w:top w:w="0" w:type="dxa"/>
              <w:left w:w="38" w:type="dxa"/>
              <w:bottom w:w="0" w:type="dxa"/>
              <w:right w:w="38" w:type="dxa"/>
            </w:tcMar>
            <w:vAlign w:val="center"/>
          </w:tcPr>
          <w:p w14:paraId="0D7284C6"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深圳市前海千意智合三期</w:t>
            </w:r>
          </w:p>
        </w:tc>
        <w:tc>
          <w:tcPr>
            <w:tcW w:w="953" w:type="pct"/>
            <w:shd w:val="clear" w:color="auto" w:fill="FFFFFF"/>
            <w:tcMar>
              <w:top w:w="0" w:type="dxa"/>
              <w:left w:w="38" w:type="dxa"/>
              <w:bottom w:w="0" w:type="dxa"/>
              <w:right w:w="38" w:type="dxa"/>
            </w:tcMar>
            <w:vAlign w:val="center"/>
          </w:tcPr>
          <w:p w14:paraId="7D5C568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2.1312%</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5A71490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48" w:type="pct"/>
            <w:shd w:val="clear" w:color="auto" w:fill="FFFFFF"/>
            <w:tcMar>
              <w:top w:w="0" w:type="dxa"/>
              <w:left w:w="38" w:type="dxa"/>
              <w:bottom w:w="0" w:type="dxa"/>
              <w:right w:w="38" w:type="dxa"/>
            </w:tcMar>
            <w:vAlign w:val="center"/>
          </w:tcPr>
          <w:p w14:paraId="470B30F0"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31.22</w:t>
            </w:r>
          </w:p>
        </w:tc>
        <w:tc>
          <w:tcPr>
            <w:tcW w:w="1212" w:type="pct"/>
            <w:shd w:val="clear" w:color="auto" w:fill="FFFFFF"/>
            <w:tcMar>
              <w:top w:w="0" w:type="dxa"/>
              <w:left w:w="38" w:type="dxa"/>
              <w:bottom w:w="0" w:type="dxa"/>
              <w:right w:w="38" w:type="dxa"/>
            </w:tcMar>
            <w:vAlign w:val="center"/>
          </w:tcPr>
          <w:p w14:paraId="136145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5D76F0B5" w14:textId="77777777" w:rsidTr="00635015">
        <w:trPr>
          <w:trHeight w:val="397"/>
          <w:jc w:val="center"/>
        </w:trPr>
        <w:tc>
          <w:tcPr>
            <w:tcW w:w="337" w:type="pct"/>
            <w:shd w:val="clear" w:color="auto" w:fill="FFFFFF"/>
            <w:tcMar>
              <w:top w:w="0" w:type="dxa"/>
              <w:left w:w="38" w:type="dxa"/>
              <w:bottom w:w="0" w:type="dxa"/>
              <w:right w:w="38" w:type="dxa"/>
            </w:tcMar>
            <w:vAlign w:val="center"/>
          </w:tcPr>
          <w:p w14:paraId="328C865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w:t>
            </w:r>
          </w:p>
        </w:tc>
        <w:tc>
          <w:tcPr>
            <w:tcW w:w="794" w:type="pct"/>
            <w:shd w:val="clear" w:color="auto" w:fill="FFFFFF"/>
            <w:tcMar>
              <w:top w:w="0" w:type="dxa"/>
              <w:left w:w="38" w:type="dxa"/>
              <w:bottom w:w="0" w:type="dxa"/>
              <w:right w:w="38" w:type="dxa"/>
            </w:tcMar>
            <w:vAlign w:val="center"/>
          </w:tcPr>
          <w:p w14:paraId="540B33E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乐哈哈</w:t>
            </w:r>
          </w:p>
        </w:tc>
        <w:tc>
          <w:tcPr>
            <w:tcW w:w="953" w:type="pct"/>
            <w:shd w:val="clear" w:color="auto" w:fill="FFFFFF"/>
            <w:tcMar>
              <w:top w:w="0" w:type="dxa"/>
              <w:left w:w="38" w:type="dxa"/>
              <w:bottom w:w="0" w:type="dxa"/>
              <w:right w:w="38" w:type="dxa"/>
            </w:tcMar>
            <w:vAlign w:val="center"/>
          </w:tcPr>
          <w:p w14:paraId="4CD27BB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1.3809%</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41E0AC5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2017.09.26</w:t>
            </w:r>
          </w:p>
        </w:tc>
        <w:tc>
          <w:tcPr>
            <w:tcW w:w="948" w:type="pct"/>
            <w:shd w:val="clear" w:color="auto" w:fill="FFFFFF"/>
            <w:tcMar>
              <w:top w:w="0" w:type="dxa"/>
              <w:left w:w="38" w:type="dxa"/>
              <w:bottom w:w="0" w:type="dxa"/>
              <w:right w:w="38" w:type="dxa"/>
            </w:tcMar>
            <w:vAlign w:val="center"/>
          </w:tcPr>
          <w:p w14:paraId="63405A6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42.87</w:t>
            </w:r>
          </w:p>
        </w:tc>
        <w:tc>
          <w:tcPr>
            <w:tcW w:w="1212" w:type="pct"/>
            <w:shd w:val="clear" w:color="auto" w:fill="FFFFFF"/>
            <w:tcMar>
              <w:top w:w="0" w:type="dxa"/>
              <w:left w:w="38" w:type="dxa"/>
              <w:bottom w:w="0" w:type="dxa"/>
              <w:right w:w="38" w:type="dxa"/>
            </w:tcMar>
            <w:vAlign w:val="center"/>
          </w:tcPr>
          <w:p w14:paraId="36D9D2C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0C181B7E" w14:textId="77777777" w:rsidTr="00635015">
        <w:trPr>
          <w:trHeight w:val="397"/>
          <w:jc w:val="center"/>
        </w:trPr>
        <w:tc>
          <w:tcPr>
            <w:tcW w:w="337" w:type="pct"/>
            <w:shd w:val="clear" w:color="auto" w:fill="FFFFFF"/>
            <w:tcMar>
              <w:top w:w="0" w:type="dxa"/>
              <w:left w:w="38" w:type="dxa"/>
              <w:bottom w:w="0" w:type="dxa"/>
              <w:right w:w="38" w:type="dxa"/>
            </w:tcMar>
            <w:vAlign w:val="center"/>
          </w:tcPr>
          <w:p w14:paraId="36FD2B3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16</w:t>
            </w:r>
          </w:p>
        </w:tc>
        <w:tc>
          <w:tcPr>
            <w:tcW w:w="794" w:type="pct"/>
            <w:shd w:val="clear" w:color="auto" w:fill="FFFFFF"/>
            <w:tcMar>
              <w:top w:w="0" w:type="dxa"/>
              <w:left w:w="38" w:type="dxa"/>
              <w:bottom w:w="0" w:type="dxa"/>
              <w:right w:w="38" w:type="dxa"/>
            </w:tcMar>
            <w:vAlign w:val="center"/>
          </w:tcPr>
          <w:p w14:paraId="2970BB0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广发信德二期</w:t>
            </w:r>
          </w:p>
        </w:tc>
        <w:tc>
          <w:tcPr>
            <w:tcW w:w="953" w:type="pct"/>
            <w:shd w:val="clear" w:color="auto" w:fill="FFFFFF"/>
            <w:tcMar>
              <w:top w:w="0" w:type="dxa"/>
              <w:left w:w="38" w:type="dxa"/>
              <w:bottom w:w="0" w:type="dxa"/>
              <w:right w:w="38" w:type="dxa"/>
            </w:tcMar>
            <w:vAlign w:val="center"/>
          </w:tcPr>
          <w:p w14:paraId="64C486C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1.2457%</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6274B00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2020.04.24</w:t>
            </w:r>
          </w:p>
        </w:tc>
        <w:tc>
          <w:tcPr>
            <w:tcW w:w="948" w:type="pct"/>
            <w:shd w:val="clear" w:color="auto" w:fill="FFFFFF"/>
            <w:tcMar>
              <w:top w:w="0" w:type="dxa"/>
              <w:left w:w="38" w:type="dxa"/>
              <w:bottom w:w="0" w:type="dxa"/>
              <w:right w:w="38" w:type="dxa"/>
            </w:tcMar>
            <w:vAlign w:val="center"/>
          </w:tcPr>
          <w:p w14:paraId="3191EDE9"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27.37</w:t>
            </w:r>
          </w:p>
        </w:tc>
        <w:tc>
          <w:tcPr>
            <w:tcW w:w="1212" w:type="pct"/>
            <w:shd w:val="clear" w:color="auto" w:fill="FFFFFF"/>
            <w:tcMar>
              <w:top w:w="0" w:type="dxa"/>
              <w:left w:w="38" w:type="dxa"/>
              <w:bottom w:w="0" w:type="dxa"/>
              <w:right w:w="38" w:type="dxa"/>
            </w:tcMar>
            <w:vAlign w:val="center"/>
          </w:tcPr>
          <w:p w14:paraId="4660D6A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46F2BF8C" w14:textId="77777777" w:rsidTr="00635015">
        <w:trPr>
          <w:trHeight w:val="397"/>
          <w:jc w:val="center"/>
        </w:trPr>
        <w:tc>
          <w:tcPr>
            <w:tcW w:w="337" w:type="pct"/>
            <w:shd w:val="clear" w:color="auto" w:fill="FFFFFF"/>
            <w:tcMar>
              <w:top w:w="0" w:type="dxa"/>
              <w:left w:w="38" w:type="dxa"/>
              <w:bottom w:w="0" w:type="dxa"/>
              <w:right w:w="38" w:type="dxa"/>
            </w:tcMar>
            <w:vAlign w:val="center"/>
          </w:tcPr>
          <w:p w14:paraId="13E35B3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w:t>
            </w:r>
          </w:p>
        </w:tc>
        <w:tc>
          <w:tcPr>
            <w:tcW w:w="794" w:type="pct"/>
            <w:shd w:val="clear" w:color="auto" w:fill="FFFFFF"/>
            <w:tcMar>
              <w:top w:w="0" w:type="dxa"/>
              <w:left w:w="38" w:type="dxa"/>
              <w:bottom w:w="0" w:type="dxa"/>
              <w:right w:w="38" w:type="dxa"/>
            </w:tcMar>
            <w:vAlign w:val="center"/>
          </w:tcPr>
          <w:p w14:paraId="142DEC9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璀璨德商</w:t>
            </w:r>
          </w:p>
        </w:tc>
        <w:tc>
          <w:tcPr>
            <w:tcW w:w="953" w:type="pct"/>
            <w:shd w:val="clear" w:color="auto" w:fill="FFFFFF"/>
            <w:tcMar>
              <w:top w:w="0" w:type="dxa"/>
              <w:left w:w="38" w:type="dxa"/>
              <w:bottom w:w="0" w:type="dxa"/>
              <w:right w:w="38" w:type="dxa"/>
            </w:tcMar>
            <w:vAlign w:val="center"/>
          </w:tcPr>
          <w:p w14:paraId="40D9765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0.8899%</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719E485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48" w:type="pct"/>
            <w:shd w:val="clear" w:color="auto" w:fill="FFFFFF"/>
            <w:tcMar>
              <w:top w:w="0" w:type="dxa"/>
              <w:left w:w="38" w:type="dxa"/>
              <w:bottom w:w="0" w:type="dxa"/>
              <w:right w:w="38" w:type="dxa"/>
            </w:tcMar>
            <w:vAlign w:val="center"/>
          </w:tcPr>
          <w:p w14:paraId="60491B4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15.72</w:t>
            </w:r>
          </w:p>
        </w:tc>
        <w:tc>
          <w:tcPr>
            <w:tcW w:w="1212" w:type="pct"/>
            <w:shd w:val="clear" w:color="auto" w:fill="FFFFFF"/>
            <w:tcMar>
              <w:top w:w="0" w:type="dxa"/>
              <w:left w:w="38" w:type="dxa"/>
              <w:bottom w:w="0" w:type="dxa"/>
              <w:right w:w="38" w:type="dxa"/>
            </w:tcMar>
            <w:vAlign w:val="center"/>
          </w:tcPr>
          <w:p w14:paraId="6FA924B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36</w:t>
            </w:r>
            <w:r w:rsidRPr="00DA3766">
              <w:rPr>
                <w:rFonts w:ascii="Times New Roman" w:hAnsi="Times New Roman" w:cs="Times New Roman"/>
                <w:snapToGrid w:val="0"/>
                <w:color w:val="000000"/>
                <w:sz w:val="21"/>
                <w:szCs w:val="21"/>
              </w:rPr>
              <w:t>个月（根据所持股份持有时间）</w:t>
            </w:r>
          </w:p>
        </w:tc>
      </w:tr>
      <w:tr w:rsidR="002372DE" w:rsidRPr="00DA3766" w14:paraId="5693F78E" w14:textId="77777777" w:rsidTr="00635015">
        <w:trPr>
          <w:trHeight w:val="397"/>
          <w:jc w:val="center"/>
        </w:trPr>
        <w:tc>
          <w:tcPr>
            <w:tcW w:w="337" w:type="pct"/>
            <w:shd w:val="clear" w:color="auto" w:fill="FFFFFF"/>
            <w:tcMar>
              <w:top w:w="0" w:type="dxa"/>
              <w:left w:w="38" w:type="dxa"/>
              <w:bottom w:w="0" w:type="dxa"/>
              <w:right w:w="38" w:type="dxa"/>
            </w:tcMar>
            <w:vAlign w:val="center"/>
          </w:tcPr>
          <w:p w14:paraId="69AB3EE4"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18</w:t>
            </w:r>
          </w:p>
        </w:tc>
        <w:tc>
          <w:tcPr>
            <w:tcW w:w="794" w:type="pct"/>
            <w:shd w:val="clear" w:color="auto" w:fill="FFFFFF"/>
            <w:tcMar>
              <w:top w:w="0" w:type="dxa"/>
              <w:left w:w="38" w:type="dxa"/>
              <w:bottom w:w="0" w:type="dxa"/>
              <w:right w:w="38" w:type="dxa"/>
            </w:tcMar>
            <w:vAlign w:val="center"/>
          </w:tcPr>
          <w:p w14:paraId="73C912B0" w14:textId="77777777" w:rsidR="00635015"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广州信德</w:t>
            </w:r>
          </w:p>
          <w:p w14:paraId="69989348" w14:textId="03DEF083"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创业营</w:t>
            </w:r>
          </w:p>
        </w:tc>
        <w:tc>
          <w:tcPr>
            <w:tcW w:w="953" w:type="pct"/>
            <w:shd w:val="clear" w:color="auto" w:fill="FFFFFF"/>
            <w:tcMar>
              <w:top w:w="0" w:type="dxa"/>
              <w:left w:w="38" w:type="dxa"/>
              <w:bottom w:w="0" w:type="dxa"/>
              <w:right w:w="38" w:type="dxa"/>
            </w:tcMar>
            <w:vAlign w:val="center"/>
          </w:tcPr>
          <w:p w14:paraId="1D5724E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0.8701%</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33303D9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48" w:type="pct"/>
            <w:shd w:val="clear" w:color="auto" w:fill="FFFFFF"/>
            <w:tcMar>
              <w:top w:w="0" w:type="dxa"/>
              <w:left w:w="38" w:type="dxa"/>
              <w:bottom w:w="0" w:type="dxa"/>
              <w:right w:w="38" w:type="dxa"/>
            </w:tcMar>
            <w:vAlign w:val="center"/>
          </w:tcPr>
          <w:p w14:paraId="5CB69042"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19.12</w:t>
            </w:r>
          </w:p>
        </w:tc>
        <w:tc>
          <w:tcPr>
            <w:tcW w:w="1212" w:type="pct"/>
            <w:shd w:val="clear" w:color="auto" w:fill="FFFFFF"/>
            <w:tcMar>
              <w:top w:w="0" w:type="dxa"/>
              <w:left w:w="38" w:type="dxa"/>
              <w:bottom w:w="0" w:type="dxa"/>
              <w:right w:w="38" w:type="dxa"/>
            </w:tcMar>
            <w:vAlign w:val="center"/>
          </w:tcPr>
          <w:p w14:paraId="62C910B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04F4CEFC" w14:textId="77777777" w:rsidTr="00635015">
        <w:trPr>
          <w:trHeight w:val="397"/>
          <w:jc w:val="center"/>
        </w:trPr>
        <w:tc>
          <w:tcPr>
            <w:tcW w:w="337" w:type="pct"/>
            <w:shd w:val="clear" w:color="auto" w:fill="FFFFFF"/>
            <w:tcMar>
              <w:top w:w="0" w:type="dxa"/>
              <w:left w:w="38" w:type="dxa"/>
              <w:bottom w:w="0" w:type="dxa"/>
              <w:right w:w="38" w:type="dxa"/>
            </w:tcMar>
            <w:vAlign w:val="center"/>
          </w:tcPr>
          <w:p w14:paraId="058CD4B6"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w:t>
            </w:r>
          </w:p>
        </w:tc>
        <w:tc>
          <w:tcPr>
            <w:tcW w:w="794" w:type="pct"/>
            <w:shd w:val="clear" w:color="auto" w:fill="FFFFFF"/>
            <w:tcMar>
              <w:top w:w="0" w:type="dxa"/>
              <w:left w:w="38" w:type="dxa"/>
              <w:bottom w:w="0" w:type="dxa"/>
              <w:right w:w="38" w:type="dxa"/>
            </w:tcMar>
            <w:vAlign w:val="center"/>
          </w:tcPr>
          <w:p w14:paraId="06C9009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乐摇</w:t>
            </w:r>
          </w:p>
        </w:tc>
        <w:tc>
          <w:tcPr>
            <w:tcW w:w="953" w:type="pct"/>
            <w:shd w:val="clear" w:color="auto" w:fill="FFFFFF"/>
            <w:tcMar>
              <w:top w:w="0" w:type="dxa"/>
              <w:left w:w="38" w:type="dxa"/>
              <w:bottom w:w="0" w:type="dxa"/>
              <w:right w:w="38" w:type="dxa"/>
            </w:tcMar>
            <w:vAlign w:val="center"/>
          </w:tcPr>
          <w:p w14:paraId="68287CB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0.4475%</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74456C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2016.05.03</w:t>
            </w:r>
          </w:p>
        </w:tc>
        <w:tc>
          <w:tcPr>
            <w:tcW w:w="948" w:type="pct"/>
            <w:shd w:val="clear" w:color="auto" w:fill="FFFFFF"/>
            <w:tcMar>
              <w:top w:w="0" w:type="dxa"/>
              <w:left w:w="38" w:type="dxa"/>
              <w:bottom w:w="0" w:type="dxa"/>
              <w:right w:w="38" w:type="dxa"/>
            </w:tcMar>
            <w:vAlign w:val="center"/>
          </w:tcPr>
          <w:p w14:paraId="266D77A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13.89</w:t>
            </w:r>
          </w:p>
        </w:tc>
        <w:tc>
          <w:tcPr>
            <w:tcW w:w="1212" w:type="pct"/>
            <w:shd w:val="clear" w:color="auto" w:fill="FFFFFF"/>
            <w:tcMar>
              <w:top w:w="0" w:type="dxa"/>
              <w:left w:w="38" w:type="dxa"/>
              <w:bottom w:w="0" w:type="dxa"/>
              <w:right w:w="38" w:type="dxa"/>
            </w:tcMar>
            <w:vAlign w:val="center"/>
          </w:tcPr>
          <w:p w14:paraId="5095268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0DE6F8A6" w14:textId="77777777" w:rsidTr="00635015">
        <w:trPr>
          <w:trHeight w:val="397"/>
          <w:jc w:val="center"/>
        </w:trPr>
        <w:tc>
          <w:tcPr>
            <w:tcW w:w="337" w:type="pct"/>
            <w:shd w:val="clear" w:color="auto" w:fill="FFFFFF"/>
            <w:tcMar>
              <w:top w:w="0" w:type="dxa"/>
              <w:left w:w="38" w:type="dxa"/>
              <w:bottom w:w="0" w:type="dxa"/>
              <w:right w:w="38" w:type="dxa"/>
            </w:tcMar>
            <w:vAlign w:val="center"/>
          </w:tcPr>
          <w:p w14:paraId="3EB5524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20</w:t>
            </w:r>
          </w:p>
        </w:tc>
        <w:tc>
          <w:tcPr>
            <w:tcW w:w="794" w:type="pct"/>
            <w:shd w:val="clear" w:color="auto" w:fill="FFFFFF"/>
            <w:tcMar>
              <w:top w:w="0" w:type="dxa"/>
              <w:left w:w="38" w:type="dxa"/>
              <w:bottom w:w="0" w:type="dxa"/>
              <w:right w:w="38" w:type="dxa"/>
            </w:tcMar>
            <w:vAlign w:val="center"/>
          </w:tcPr>
          <w:p w14:paraId="4D21E7C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珠海康远</w:t>
            </w:r>
          </w:p>
        </w:tc>
        <w:tc>
          <w:tcPr>
            <w:tcW w:w="953" w:type="pct"/>
            <w:shd w:val="clear" w:color="auto" w:fill="FFFFFF"/>
            <w:tcMar>
              <w:top w:w="0" w:type="dxa"/>
              <w:left w:w="38" w:type="dxa"/>
              <w:bottom w:w="0" w:type="dxa"/>
              <w:right w:w="38" w:type="dxa"/>
            </w:tcMar>
            <w:vAlign w:val="center"/>
          </w:tcPr>
          <w:p w14:paraId="28C668E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0.4233%</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5EB45AE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2017.03.15</w:t>
            </w:r>
          </w:p>
        </w:tc>
        <w:tc>
          <w:tcPr>
            <w:tcW w:w="948" w:type="pct"/>
            <w:shd w:val="clear" w:color="auto" w:fill="FFFFFF"/>
            <w:tcMar>
              <w:top w:w="0" w:type="dxa"/>
              <w:left w:w="38" w:type="dxa"/>
              <w:bottom w:w="0" w:type="dxa"/>
              <w:right w:w="38" w:type="dxa"/>
            </w:tcMar>
            <w:vAlign w:val="center"/>
          </w:tcPr>
          <w:p w14:paraId="48107E6D"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6.70</w:t>
            </w:r>
          </w:p>
        </w:tc>
        <w:tc>
          <w:tcPr>
            <w:tcW w:w="1212" w:type="pct"/>
            <w:shd w:val="clear" w:color="auto" w:fill="FFFFFF"/>
            <w:tcMar>
              <w:top w:w="0" w:type="dxa"/>
              <w:left w:w="38" w:type="dxa"/>
              <w:bottom w:w="0" w:type="dxa"/>
              <w:right w:w="38" w:type="dxa"/>
            </w:tcMar>
            <w:vAlign w:val="center"/>
          </w:tcPr>
          <w:p w14:paraId="3BCEF7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p>
        </w:tc>
      </w:tr>
      <w:tr w:rsidR="002372DE" w:rsidRPr="00DA3766" w14:paraId="33B33F4A" w14:textId="77777777" w:rsidTr="00635015">
        <w:trPr>
          <w:trHeight w:val="397"/>
          <w:jc w:val="center"/>
        </w:trPr>
        <w:tc>
          <w:tcPr>
            <w:tcW w:w="337" w:type="pct"/>
            <w:shd w:val="clear" w:color="auto" w:fill="FFFFFF"/>
            <w:tcMar>
              <w:top w:w="0" w:type="dxa"/>
              <w:left w:w="38" w:type="dxa"/>
              <w:bottom w:w="0" w:type="dxa"/>
              <w:right w:w="38" w:type="dxa"/>
            </w:tcMar>
            <w:vAlign w:val="center"/>
          </w:tcPr>
          <w:p w14:paraId="70DDA18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21</w:t>
            </w:r>
          </w:p>
        </w:tc>
        <w:tc>
          <w:tcPr>
            <w:tcW w:w="794" w:type="pct"/>
            <w:shd w:val="clear" w:color="auto" w:fill="FFFFFF"/>
            <w:tcMar>
              <w:top w:w="0" w:type="dxa"/>
              <w:left w:w="38" w:type="dxa"/>
              <w:bottom w:w="0" w:type="dxa"/>
              <w:right w:w="38" w:type="dxa"/>
            </w:tcMar>
            <w:vAlign w:val="center"/>
          </w:tcPr>
          <w:p w14:paraId="018A1B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上海德盾</w:t>
            </w:r>
          </w:p>
        </w:tc>
        <w:tc>
          <w:tcPr>
            <w:tcW w:w="953" w:type="pct"/>
            <w:shd w:val="clear" w:color="auto" w:fill="FFFFFF"/>
            <w:tcMar>
              <w:top w:w="0" w:type="dxa"/>
              <w:left w:w="38" w:type="dxa"/>
              <w:bottom w:w="0" w:type="dxa"/>
              <w:right w:w="38" w:type="dxa"/>
            </w:tcMar>
            <w:vAlign w:val="center"/>
          </w:tcPr>
          <w:p w14:paraId="2A3C69F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0.0300%</w:t>
            </w:r>
            <w:r w:rsidRPr="00DA3766">
              <w:rPr>
                <w:rFonts w:ascii="Times New Roman" w:hAnsi="Times New Roman" w:cs="Times New Roman"/>
                <w:snapToGrid w:val="0"/>
                <w:sz w:val="21"/>
                <w:szCs w:val="21"/>
              </w:rPr>
              <w:t>股权</w:t>
            </w:r>
          </w:p>
        </w:tc>
        <w:tc>
          <w:tcPr>
            <w:tcW w:w="756" w:type="pct"/>
            <w:shd w:val="clear" w:color="auto" w:fill="FFFFFF"/>
            <w:tcMar>
              <w:top w:w="0" w:type="dxa"/>
              <w:left w:w="38" w:type="dxa"/>
              <w:bottom w:w="0" w:type="dxa"/>
              <w:right w:w="38" w:type="dxa"/>
            </w:tcMar>
            <w:vAlign w:val="center"/>
          </w:tcPr>
          <w:p w14:paraId="6AB9CA9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48" w:type="pct"/>
            <w:shd w:val="clear" w:color="auto" w:fill="FFFFFF"/>
            <w:tcMar>
              <w:top w:w="0" w:type="dxa"/>
              <w:left w:w="38" w:type="dxa"/>
              <w:bottom w:w="0" w:type="dxa"/>
              <w:right w:w="38" w:type="dxa"/>
            </w:tcMar>
            <w:vAlign w:val="center"/>
          </w:tcPr>
          <w:p w14:paraId="749E38D1"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0.44</w:t>
            </w:r>
          </w:p>
        </w:tc>
        <w:tc>
          <w:tcPr>
            <w:tcW w:w="1212" w:type="pct"/>
            <w:shd w:val="clear" w:color="auto" w:fill="FFFFFF"/>
            <w:tcMar>
              <w:top w:w="0" w:type="dxa"/>
              <w:left w:w="38" w:type="dxa"/>
              <w:bottom w:w="0" w:type="dxa"/>
              <w:right w:w="38" w:type="dxa"/>
            </w:tcMar>
            <w:vAlign w:val="center"/>
          </w:tcPr>
          <w:p w14:paraId="74F69B5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p>
        </w:tc>
      </w:tr>
    </w:tbl>
    <w:p w14:paraId="5F15C7DF" w14:textId="4CAF6CCD" w:rsidR="00A661C3" w:rsidRPr="00DA3766" w:rsidRDefault="00B07D82" w:rsidP="00B07D82">
      <w:pPr>
        <w:pStyle w:val="003"/>
        <w:spacing w:before="120" w:after="120"/>
        <w:ind w:firstLine="482"/>
      </w:pPr>
      <w:r w:rsidRPr="00DA3766">
        <w:t>（二）相关锁定期安排符合《重组办法》第四十七条的规定</w:t>
      </w:r>
    </w:p>
    <w:p w14:paraId="15E380A2" w14:textId="38E9A056" w:rsidR="00B07D82" w:rsidRPr="00DA3766" w:rsidRDefault="00B07D82" w:rsidP="00C93B0F">
      <w:pPr>
        <w:pStyle w:val="005"/>
        <w:spacing w:before="120" w:after="120"/>
        <w:ind w:firstLine="480"/>
      </w:pPr>
      <w:r w:rsidRPr="00DA3766">
        <w:t>根据《</w:t>
      </w:r>
      <w:r w:rsidR="00681648" w:rsidRPr="00DA3766">
        <w:t>重组管理办法</w:t>
      </w:r>
      <w:r w:rsidRPr="00DA3766">
        <w:t>》第四十七条，</w:t>
      </w:r>
      <w:r w:rsidRPr="00DA3766">
        <w:rPr>
          <w:rFonts w:ascii="宋体" w:hAnsi="宋体"/>
        </w:rPr>
        <w:t>“</w:t>
      </w:r>
      <w:r w:rsidRPr="00DA3766">
        <w:t>特定对象以资产认购而取得的上市公</w:t>
      </w:r>
      <w:r w:rsidRPr="00DA3766">
        <w:lastRenderedPageBreak/>
        <w:t>司股份，自股份发行结束之日起十二个月内不得转让；属于下列情形之一的，三十六个月内不得转让：（一）特定对象为上市公司控股股东、实际控制人或者其控制的关联人；（二）特定对象通过认购本次重组发行的股份取得上市公司的实际控制权；（三）特定对象取得本次重组发行的股份时，对其用于认购股份的资产持续拥有权益的时间不足十二个月。</w:t>
      </w:r>
    </w:p>
    <w:p w14:paraId="53CA9573" w14:textId="77777777" w:rsidR="00B07D82" w:rsidRPr="00DA3766" w:rsidRDefault="00B07D82" w:rsidP="00C93B0F">
      <w:pPr>
        <w:pStyle w:val="005"/>
        <w:spacing w:before="120" w:after="120"/>
        <w:ind w:firstLine="480"/>
      </w:pPr>
      <w:r w:rsidRPr="00DA3766">
        <w:t>属于该办法第十三条第一款规定的交易情形的，上市公司原控股股东、原实际控制人及其控制的关联人，以及在交易过程中从该等主体直接或间接受让该上市公司股份的特定对象在本次交易完成后三十六个月内不得转让其在该上市公司中拥有权益的股份；除收购人及其控制的关联人以外的特定对象以资产认购而取得的上市公司股份自股份发行结束之日起二十四个月内不得转让。</w:t>
      </w:r>
    </w:p>
    <w:p w14:paraId="1DD44B60" w14:textId="77777777" w:rsidR="00B07D82" w:rsidRPr="00DA3766" w:rsidRDefault="00B07D82" w:rsidP="00C93B0F">
      <w:pPr>
        <w:pStyle w:val="005"/>
        <w:spacing w:before="120" w:after="120"/>
        <w:ind w:firstLine="480"/>
      </w:pPr>
      <w:r w:rsidRPr="00DA3766">
        <w:t>特定对象为私募投资基金的，适用第一款、第二款的规定，但有下列情形的除外：（一）上市公司关于本次重大资产重组的董事会决议公告时，私募投资基金对其用于认购股份的资产持续拥有权益的时间已满四十八个月，且不存在第一款第（一）项、第（二）项情形的，以资产认购而取得的上市公司股份自股份发行结束之日起六个月内不得转让；（二）属于本办法第十三条第一款规定的交易情形的，上市公司关于本次重大资产重组的董事会决议公告时，私募投资基金对其用于认购股份的资产持续拥有权益的时间已满四十八个月，且为除收购人及其控制的关联人以外的特定对象的，以资产认购而取得的上市公司股份自股份发行结束之日起十二个月内不得转让。</w:t>
      </w:r>
      <w:r w:rsidRPr="00DA3766">
        <w:rPr>
          <w:rFonts w:ascii="宋体" w:hAnsi="宋体"/>
        </w:rPr>
        <w:t>”</w:t>
      </w:r>
    </w:p>
    <w:p w14:paraId="03ED5697" w14:textId="77777777" w:rsidR="002372DE" w:rsidRPr="00DA3766" w:rsidRDefault="002372DE" w:rsidP="00C93B0F">
      <w:pPr>
        <w:pStyle w:val="005"/>
        <w:spacing w:before="120" w:after="120"/>
        <w:ind w:firstLine="480"/>
      </w:pPr>
      <w:r w:rsidRPr="00DA3766">
        <w:t>本次交易中发行股份及支付现金购买资产的交易对方均非上市公司控股股东、实际控制人或者其控制的关联人，交易对方亦未通过认购本次重组发行的股份取得上市公司的实际控制权，且交易对方所持标的公司股权拥有权益的时间均已超过十二个月，不属于《重组管理办法》第四十七条第一款所列需锁定三十六个月的情形。本次交易不构成重组上市，不适用《重组管理办法》第四十七条第二款规定。</w:t>
      </w:r>
    </w:p>
    <w:p w14:paraId="0E2D17F1" w14:textId="431FA211" w:rsidR="002372DE" w:rsidRPr="00DA3766" w:rsidRDefault="002372DE" w:rsidP="00C93B0F">
      <w:pPr>
        <w:pStyle w:val="005"/>
        <w:spacing w:before="120" w:after="120"/>
        <w:ind w:firstLine="480"/>
      </w:pPr>
      <w:r w:rsidRPr="00DA3766">
        <w:t>本次交易的交易对方中南通成为常青、广发信德科文、苏州市德同合心、深圳市前海千意智合三期、广发信德二期、广州信德创业营、璀璨远见及璀璨德商属于私募基金，锁定期安排根据《重组管理办法》第四十七条第三款规定按照私募基金用于认购股份的资产持续拥有权益的时间是否满</w:t>
      </w:r>
      <w:r w:rsidRPr="00DA3766">
        <w:t>48</w:t>
      </w:r>
      <w:r w:rsidRPr="00DA3766">
        <w:t>个月进行确定，其余</w:t>
      </w:r>
      <w:r w:rsidRPr="00DA3766">
        <w:lastRenderedPageBreak/>
        <w:t>非私募基金交易对方在本次交易中获得的上市公司股份自本次发行股份结束之日起</w:t>
      </w:r>
      <w:r w:rsidRPr="00DA3766">
        <w:t>12</w:t>
      </w:r>
      <w:r w:rsidRPr="00DA3766">
        <w:t>个月内不得转让、上市交易。此外，陈耿豪、杨凯然、张杰波、胡俊、王佳、乐陶陶、乐熙熙、乐腾腾、乐哈哈、乐摇作为本次交易的业绩承诺方，在满足上述锁定期要求的情况下，通过本次发行取得的上市公司股份按照《业绩承诺补偿协议书》进行分期解锁。</w:t>
      </w:r>
    </w:p>
    <w:p w14:paraId="426E6BC2" w14:textId="75B8E70B" w:rsidR="002372DE" w:rsidRPr="00DA3766" w:rsidRDefault="002372DE" w:rsidP="00C93B0F">
      <w:pPr>
        <w:pStyle w:val="005"/>
        <w:spacing w:before="120" w:after="120"/>
        <w:ind w:firstLine="480"/>
      </w:pPr>
      <w:r w:rsidRPr="00DA3766">
        <w:t>本次交易的交易对方具体锁定期安排见</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Pr="00DA3766">
        <w:rPr>
          <w:rFonts w:ascii="宋体" w:hAnsi="宋体"/>
        </w:rPr>
        <w:t>“</w:t>
      </w:r>
      <w:r w:rsidRPr="00DA3766">
        <w:t>一、发行股份及支付现金购买资产</w:t>
      </w:r>
      <w:r w:rsidRPr="00DA3766">
        <w:rPr>
          <w:rFonts w:ascii="宋体" w:hAnsi="宋体"/>
        </w:rPr>
        <w:t>”</w:t>
      </w:r>
      <w:r w:rsidRPr="00DA3766">
        <w:t>之</w:t>
      </w:r>
      <w:r w:rsidRPr="00DA3766">
        <w:rPr>
          <w:rFonts w:ascii="宋体" w:hAnsi="宋体"/>
        </w:rPr>
        <w:t>“</w:t>
      </w:r>
      <w:r w:rsidRPr="00DA3766">
        <w:t>锁定期安排</w:t>
      </w:r>
      <w:r w:rsidRPr="00DA3766">
        <w:rPr>
          <w:rFonts w:ascii="宋体" w:hAnsi="宋体"/>
        </w:rPr>
        <w:t>”</w:t>
      </w:r>
      <w:r w:rsidRPr="00DA3766">
        <w:t>相关内容。</w:t>
      </w:r>
    </w:p>
    <w:p w14:paraId="4CB3698B" w14:textId="51848F1A" w:rsidR="002372DE" w:rsidRPr="00DA3766" w:rsidRDefault="002372DE" w:rsidP="00C93B0F">
      <w:pPr>
        <w:pStyle w:val="005"/>
        <w:spacing w:before="120" w:after="120"/>
        <w:ind w:firstLine="480"/>
      </w:pPr>
      <w:r w:rsidRPr="00DA3766">
        <w:t>各交易对方均根据法律法规要求出具了《关于股份锁定期的承诺函》，具体内容详见</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六、本次交易相关方作出的重要承诺</w:t>
      </w:r>
      <w:r w:rsidRPr="00DA3766">
        <w:rPr>
          <w:rFonts w:ascii="宋体" w:hAnsi="宋体"/>
        </w:rPr>
        <w:t>”</w:t>
      </w:r>
      <w:r w:rsidRPr="00DA3766">
        <w:t>之</w:t>
      </w:r>
      <w:r w:rsidRPr="00DA3766">
        <w:rPr>
          <w:rFonts w:ascii="宋体" w:hAnsi="宋体"/>
        </w:rPr>
        <w:t>“</w:t>
      </w:r>
      <w:r w:rsidRPr="00DA3766">
        <w:t>（三）交易对方及其董事、监事、高级管理人员作出的重要承诺</w:t>
      </w:r>
      <w:r w:rsidRPr="00DA3766">
        <w:rPr>
          <w:rFonts w:ascii="宋体" w:hAnsi="宋体"/>
        </w:rPr>
        <w:t>”</w:t>
      </w:r>
      <w:r w:rsidRPr="00DA3766">
        <w:t>。</w:t>
      </w:r>
    </w:p>
    <w:p w14:paraId="581464FB" w14:textId="7131C7A6" w:rsidR="002372DE" w:rsidRPr="00DA3766" w:rsidRDefault="00176D50" w:rsidP="00C93B0F">
      <w:pPr>
        <w:pStyle w:val="005"/>
        <w:spacing w:before="120" w:after="120"/>
        <w:ind w:firstLine="480"/>
      </w:pPr>
      <w:r w:rsidRPr="00DA3766">
        <w:t>综上所述</w:t>
      </w:r>
      <w:r w:rsidR="002372DE" w:rsidRPr="00DA3766">
        <w:t>，本次交易的相关交易对方对于本次交易完成后所获得的股份均出具了锁定承诺，相关锁定期安排符合《重组办法》第四十七条的规定。</w:t>
      </w:r>
      <w:bookmarkEnd w:id="206"/>
    </w:p>
    <w:p w14:paraId="5F00F65B" w14:textId="77777777" w:rsidR="002B58E7" w:rsidRPr="00DA3766" w:rsidRDefault="002B58E7" w:rsidP="00C93B0F">
      <w:pPr>
        <w:pStyle w:val="005"/>
        <w:spacing w:before="120" w:after="120"/>
        <w:ind w:firstLine="480"/>
      </w:pPr>
      <w:r w:rsidRPr="00DA3766">
        <w:t>上述内容已在</w:t>
      </w:r>
      <w:bookmarkStart w:id="207" w:name="_Hlk219373200"/>
      <w:r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八、本次交易符合《重组管理办法》第四十七条的规定</w:t>
      </w:r>
      <w:r w:rsidRPr="00DA3766">
        <w:rPr>
          <w:rFonts w:ascii="宋体" w:hAnsi="宋体"/>
        </w:rPr>
        <w:t>”</w:t>
      </w:r>
      <w:bookmarkEnd w:id="207"/>
      <w:r w:rsidRPr="00DA3766">
        <w:t>补充披露。</w:t>
      </w:r>
    </w:p>
    <w:p w14:paraId="19759228" w14:textId="64824E77" w:rsidR="00B07D82" w:rsidRPr="00DA3766" w:rsidRDefault="00B07D82" w:rsidP="00B07D82">
      <w:pPr>
        <w:pStyle w:val="002"/>
        <w:spacing w:before="120" w:after="120"/>
        <w:ind w:firstLine="482"/>
      </w:pPr>
      <w:r w:rsidRPr="00DA3766">
        <w:t>五、</w:t>
      </w:r>
      <w:bookmarkStart w:id="208" w:name="_Hlk219330169"/>
      <w:r w:rsidRPr="00DA3766">
        <w:t>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w:t>
      </w:r>
      <w:bookmarkEnd w:id="208"/>
    </w:p>
    <w:p w14:paraId="3BF6B9FC" w14:textId="77777777" w:rsidR="002372DE" w:rsidRPr="00DA3766" w:rsidRDefault="002372DE" w:rsidP="002372DE">
      <w:pPr>
        <w:pStyle w:val="003"/>
        <w:spacing w:before="120" w:after="120"/>
        <w:ind w:firstLine="482"/>
      </w:pPr>
      <w:bookmarkStart w:id="209" w:name="_Hlk219330216"/>
      <w:r w:rsidRPr="00DA3766">
        <w:t>（一）股权转让前后杨凯然、张杰波、胡俊、王佳的具体持股情况</w:t>
      </w:r>
    </w:p>
    <w:p w14:paraId="11B5C350" w14:textId="77777777" w:rsidR="00B07D82" w:rsidRPr="00DA3766" w:rsidRDefault="00B07D82" w:rsidP="00C93B0F">
      <w:pPr>
        <w:pStyle w:val="005"/>
        <w:spacing w:before="120" w:after="120"/>
        <w:ind w:firstLine="480"/>
      </w:pPr>
      <w:r w:rsidRPr="00DA3766">
        <w:t>2025</w:t>
      </w:r>
      <w:r w:rsidRPr="00DA3766">
        <w:t>年</w:t>
      </w:r>
      <w:r w:rsidRPr="00DA3766">
        <w:t>6</w:t>
      </w:r>
      <w:r w:rsidRPr="00DA3766">
        <w:t>月</w:t>
      </w:r>
      <w:r w:rsidRPr="00DA3766">
        <w:t>16</w:t>
      </w:r>
      <w:r w:rsidRPr="00DA3766">
        <w:t>日，杨凯然分别与乐哈哈、乐腾腾、乐熙熙、乐洋洋、乐摇签署《股份转让合同》，约定乐哈哈、乐腾腾、乐熙熙、乐洋洋、乐摇分别将其持有的星云开物</w:t>
      </w:r>
      <w:r w:rsidRPr="00DA3766">
        <w:t>32,216</w:t>
      </w:r>
      <w:r w:rsidRPr="00DA3766">
        <w:t>股、</w:t>
      </w:r>
      <w:r w:rsidRPr="00DA3766">
        <w:t>61,196</w:t>
      </w:r>
      <w:r w:rsidRPr="00DA3766">
        <w:t>股、</w:t>
      </w:r>
      <w:r w:rsidRPr="00DA3766">
        <w:t>24,747</w:t>
      </w:r>
      <w:r w:rsidRPr="00DA3766">
        <w:t>股、</w:t>
      </w:r>
      <w:r w:rsidRPr="00DA3766">
        <w:t>151,652</w:t>
      </w:r>
      <w:r w:rsidRPr="00DA3766">
        <w:t>股、</w:t>
      </w:r>
      <w:r w:rsidRPr="00DA3766">
        <w:t>213,430</w:t>
      </w:r>
      <w:r w:rsidRPr="00DA3766">
        <w:t>股转让给杨凯然；张杰波分别与乐哈哈、乐摇签署《股份转让合同》，约定乐哈哈、乐摇分别将其持有的星云开物</w:t>
      </w:r>
      <w:r w:rsidRPr="00DA3766">
        <w:t>154,414</w:t>
      </w:r>
      <w:r w:rsidRPr="00DA3766">
        <w:t>股、</w:t>
      </w:r>
      <w:r w:rsidRPr="00DA3766">
        <w:t>290,640</w:t>
      </w:r>
      <w:r w:rsidRPr="00DA3766">
        <w:t>股转让给张杰波；王佳分别与乐腾腾、乐洋洋签署《股份转让合同》，约定乐腾腾、乐洋洋分别将其持有的星云开物</w:t>
      </w:r>
      <w:r w:rsidRPr="00DA3766">
        <w:t>118,268</w:t>
      </w:r>
      <w:r w:rsidRPr="00DA3766">
        <w:t>股、</w:t>
      </w:r>
      <w:r w:rsidRPr="00DA3766">
        <w:t>57,627</w:t>
      </w:r>
      <w:r w:rsidRPr="00DA3766">
        <w:t>股转让给王佳；胡俊分别与乐熙熙、乐洋洋签署《股份转让合同》，约定乐熙熙、乐洋洋分别将其持有的星云开物</w:t>
      </w:r>
      <w:r w:rsidRPr="00DA3766">
        <w:t>96,155</w:t>
      </w:r>
      <w:r w:rsidRPr="00DA3766">
        <w:t>股、</w:t>
      </w:r>
      <w:r w:rsidRPr="00DA3766">
        <w:t>99,999</w:t>
      </w:r>
      <w:r w:rsidRPr="00DA3766">
        <w:lastRenderedPageBreak/>
        <w:t>股转让给胡俊。</w:t>
      </w:r>
    </w:p>
    <w:p w14:paraId="0D8A90B3" w14:textId="31AC56EA" w:rsidR="00B07D82" w:rsidRPr="00DA3766" w:rsidRDefault="00B07D82" w:rsidP="00C93B0F">
      <w:pPr>
        <w:pStyle w:val="005"/>
        <w:spacing w:before="120" w:after="120"/>
        <w:ind w:firstLine="480"/>
      </w:pPr>
      <w:r w:rsidRPr="00DA3766">
        <w:t>本次转让为杨凯然、张杰波、胡俊、王佳四名</w:t>
      </w:r>
      <w:r w:rsidR="00006151" w:rsidRPr="00DA3766">
        <w:t>标的公司</w:t>
      </w:r>
      <w:r w:rsidRPr="00DA3766">
        <w:t>管理层将其原通过员工持股平台间接持有的星云开物股权转换为由其各自直接持股。本次股权转让前后杨凯然、张杰波、胡俊、王佳对标的资产的具体持股情况如下：</w:t>
      </w:r>
    </w:p>
    <w:tbl>
      <w:tblPr>
        <w:tblW w:w="502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20"/>
        <w:gridCol w:w="1037"/>
        <w:gridCol w:w="969"/>
        <w:gridCol w:w="1156"/>
        <w:gridCol w:w="1037"/>
        <w:gridCol w:w="1402"/>
        <w:gridCol w:w="1278"/>
        <w:gridCol w:w="829"/>
      </w:tblGrid>
      <w:tr w:rsidR="00B07D82" w:rsidRPr="00DA3766" w14:paraId="771DF342"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1808BA32"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名称</w:t>
            </w:r>
          </w:p>
        </w:tc>
        <w:tc>
          <w:tcPr>
            <w:tcW w:w="3322" w:type="pct"/>
            <w:gridSpan w:val="5"/>
            <w:shd w:val="clear" w:color="auto" w:fill="FFFFFF"/>
            <w:tcMar>
              <w:top w:w="0" w:type="dxa"/>
              <w:left w:w="38" w:type="dxa"/>
              <w:bottom w:w="0" w:type="dxa"/>
              <w:right w:w="38" w:type="dxa"/>
            </w:tcMar>
            <w:vAlign w:val="center"/>
          </w:tcPr>
          <w:p w14:paraId="21DBD925"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转让前</w:t>
            </w:r>
          </w:p>
        </w:tc>
        <w:tc>
          <w:tcPr>
            <w:tcW w:w="1250" w:type="pct"/>
            <w:gridSpan w:val="2"/>
            <w:shd w:val="clear" w:color="auto" w:fill="FFFFFF"/>
            <w:tcMar>
              <w:top w:w="0" w:type="dxa"/>
              <w:left w:w="38" w:type="dxa"/>
              <w:bottom w:w="0" w:type="dxa"/>
              <w:right w:w="38" w:type="dxa"/>
            </w:tcMar>
            <w:vAlign w:val="center"/>
          </w:tcPr>
          <w:p w14:paraId="0A263723"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转让后</w:t>
            </w:r>
          </w:p>
        </w:tc>
      </w:tr>
      <w:tr w:rsidR="00B07D82" w:rsidRPr="00DA3766" w14:paraId="7BC3263A"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530A17F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45477691"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间接持股平台</w:t>
            </w:r>
          </w:p>
        </w:tc>
        <w:tc>
          <w:tcPr>
            <w:tcW w:w="575" w:type="pct"/>
            <w:shd w:val="clear" w:color="auto" w:fill="FFFFFF"/>
            <w:tcMar>
              <w:top w:w="0" w:type="dxa"/>
              <w:left w:w="38" w:type="dxa"/>
              <w:bottom w:w="0" w:type="dxa"/>
              <w:right w:w="38" w:type="dxa"/>
            </w:tcMar>
            <w:vAlign w:val="center"/>
          </w:tcPr>
          <w:p w14:paraId="619C65D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持有平台股份比例</w:t>
            </w:r>
          </w:p>
        </w:tc>
        <w:tc>
          <w:tcPr>
            <w:tcW w:w="686" w:type="pct"/>
            <w:shd w:val="clear" w:color="auto" w:fill="FFFFFF"/>
            <w:tcMar>
              <w:top w:w="0" w:type="dxa"/>
              <w:left w:w="38" w:type="dxa"/>
              <w:bottom w:w="0" w:type="dxa"/>
              <w:right w:w="38" w:type="dxa"/>
            </w:tcMar>
            <w:vAlign w:val="center"/>
          </w:tcPr>
          <w:p w14:paraId="47FC397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持股平台对标的资产的持股比例</w:t>
            </w:r>
          </w:p>
        </w:tc>
        <w:tc>
          <w:tcPr>
            <w:tcW w:w="615" w:type="pct"/>
            <w:shd w:val="clear" w:color="auto" w:fill="FFFFFF"/>
            <w:tcMar>
              <w:top w:w="0" w:type="dxa"/>
              <w:left w:w="38" w:type="dxa"/>
              <w:bottom w:w="0" w:type="dxa"/>
              <w:right w:w="38" w:type="dxa"/>
            </w:tcMar>
            <w:vAlign w:val="center"/>
          </w:tcPr>
          <w:p w14:paraId="323602F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间接持有标的资产比例</w:t>
            </w:r>
          </w:p>
        </w:tc>
        <w:tc>
          <w:tcPr>
            <w:tcW w:w="832" w:type="pct"/>
            <w:shd w:val="clear" w:color="auto" w:fill="FFFFFF"/>
            <w:tcMar>
              <w:top w:w="0" w:type="dxa"/>
              <w:left w:w="38" w:type="dxa"/>
              <w:bottom w:w="0" w:type="dxa"/>
              <w:right w:w="38" w:type="dxa"/>
            </w:tcMar>
            <w:vAlign w:val="center"/>
          </w:tcPr>
          <w:p w14:paraId="5D1DA5E9"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合计间接持有标的资产比例</w:t>
            </w:r>
          </w:p>
        </w:tc>
        <w:tc>
          <w:tcPr>
            <w:tcW w:w="758" w:type="pct"/>
            <w:shd w:val="clear" w:color="auto" w:fill="FFFFFF"/>
            <w:tcMar>
              <w:top w:w="0" w:type="dxa"/>
              <w:left w:w="38" w:type="dxa"/>
              <w:bottom w:w="0" w:type="dxa"/>
              <w:right w:w="38" w:type="dxa"/>
            </w:tcMar>
            <w:vAlign w:val="center"/>
          </w:tcPr>
          <w:p w14:paraId="2D80BE05" w14:textId="6BD12AEF" w:rsidR="00B07D82" w:rsidRPr="00DA3766" w:rsidRDefault="00B07D82" w:rsidP="007F36AF">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直接持股数量（万股）</w:t>
            </w:r>
          </w:p>
        </w:tc>
        <w:tc>
          <w:tcPr>
            <w:tcW w:w="492" w:type="pct"/>
            <w:shd w:val="clear" w:color="auto" w:fill="FFFFFF"/>
            <w:tcMar>
              <w:top w:w="0" w:type="dxa"/>
              <w:left w:w="38" w:type="dxa"/>
              <w:bottom w:w="0" w:type="dxa"/>
              <w:right w:w="38" w:type="dxa"/>
            </w:tcMar>
            <w:vAlign w:val="center"/>
          </w:tcPr>
          <w:p w14:paraId="3F069D09"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直接持股比例</w:t>
            </w:r>
          </w:p>
        </w:tc>
      </w:tr>
      <w:tr w:rsidR="00B07D82" w:rsidRPr="00DA3766" w14:paraId="1DC16D60"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089E759C"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杨凯然</w:t>
            </w:r>
          </w:p>
        </w:tc>
        <w:tc>
          <w:tcPr>
            <w:tcW w:w="615" w:type="pct"/>
            <w:shd w:val="clear" w:color="auto" w:fill="FFFFFF"/>
            <w:tcMar>
              <w:top w:w="0" w:type="dxa"/>
              <w:left w:w="38" w:type="dxa"/>
              <w:bottom w:w="0" w:type="dxa"/>
              <w:right w:w="38" w:type="dxa"/>
            </w:tcMar>
            <w:vAlign w:val="center"/>
          </w:tcPr>
          <w:p w14:paraId="4212A2EF" w14:textId="7609200A"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乐哈哈</w:t>
            </w:r>
          </w:p>
        </w:tc>
        <w:tc>
          <w:tcPr>
            <w:tcW w:w="575" w:type="pct"/>
            <w:shd w:val="clear" w:color="auto" w:fill="FFFFFF"/>
            <w:tcMar>
              <w:top w:w="0" w:type="dxa"/>
              <w:left w:w="38" w:type="dxa"/>
              <w:bottom w:w="0" w:type="dxa"/>
              <w:right w:w="38" w:type="dxa"/>
            </w:tcMar>
            <w:vAlign w:val="center"/>
          </w:tcPr>
          <w:p w14:paraId="60018CAE"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9.4743%</w:t>
            </w:r>
          </w:p>
        </w:tc>
        <w:tc>
          <w:tcPr>
            <w:tcW w:w="686" w:type="pct"/>
            <w:shd w:val="clear" w:color="auto" w:fill="FFFFFF"/>
            <w:tcMar>
              <w:top w:w="0" w:type="dxa"/>
              <w:left w:w="38" w:type="dxa"/>
              <w:bottom w:w="0" w:type="dxa"/>
              <w:right w:w="38" w:type="dxa"/>
            </w:tcMar>
            <w:vAlign w:val="center"/>
          </w:tcPr>
          <w:p w14:paraId="367ED19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3.0609%</w:t>
            </w:r>
          </w:p>
        </w:tc>
        <w:tc>
          <w:tcPr>
            <w:tcW w:w="615" w:type="pct"/>
            <w:shd w:val="clear" w:color="auto" w:fill="FFFFFF"/>
            <w:tcMar>
              <w:top w:w="0" w:type="dxa"/>
              <w:left w:w="38" w:type="dxa"/>
              <w:bottom w:w="0" w:type="dxa"/>
              <w:right w:w="38" w:type="dxa"/>
            </w:tcMar>
            <w:vAlign w:val="center"/>
          </w:tcPr>
          <w:p w14:paraId="3A3B7AA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0.2900%</w:t>
            </w:r>
          </w:p>
        </w:tc>
        <w:tc>
          <w:tcPr>
            <w:tcW w:w="832" w:type="pct"/>
            <w:vMerge w:val="restart"/>
            <w:shd w:val="clear" w:color="auto" w:fill="FFFFFF"/>
            <w:tcMar>
              <w:top w:w="0" w:type="dxa"/>
              <w:left w:w="38" w:type="dxa"/>
              <w:bottom w:w="0" w:type="dxa"/>
              <w:right w:w="38" w:type="dxa"/>
            </w:tcMar>
            <w:vAlign w:val="center"/>
          </w:tcPr>
          <w:p w14:paraId="16DD289F" w14:textId="571F26A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4.350</w:t>
            </w:r>
            <w:r w:rsidR="002F1DBF" w:rsidRPr="00DA3766">
              <w:rPr>
                <w:rFonts w:ascii="Times New Roman" w:hAnsi="Times New Roman" w:cs="Times New Roman"/>
                <w:snapToGrid w:val="0"/>
                <w:sz w:val="21"/>
                <w:szCs w:val="21"/>
              </w:rPr>
              <w:t>0</w:t>
            </w:r>
            <w:r w:rsidRPr="00DA3766">
              <w:rPr>
                <w:rFonts w:ascii="Times New Roman" w:hAnsi="Times New Roman" w:cs="Times New Roman"/>
                <w:snapToGrid w:val="0"/>
                <w:sz w:val="21"/>
                <w:szCs w:val="21"/>
              </w:rPr>
              <w:t>%</w:t>
            </w:r>
          </w:p>
        </w:tc>
        <w:tc>
          <w:tcPr>
            <w:tcW w:w="758" w:type="pct"/>
            <w:vMerge w:val="restart"/>
            <w:shd w:val="clear" w:color="auto" w:fill="FFFFFF"/>
            <w:tcMar>
              <w:top w:w="0" w:type="dxa"/>
              <w:left w:w="38" w:type="dxa"/>
              <w:bottom w:w="0" w:type="dxa"/>
              <w:right w:w="38" w:type="dxa"/>
            </w:tcMar>
            <w:vAlign w:val="center"/>
          </w:tcPr>
          <w:p w14:paraId="3D6C07F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48.3241</w:t>
            </w:r>
          </w:p>
        </w:tc>
        <w:tc>
          <w:tcPr>
            <w:tcW w:w="492" w:type="pct"/>
            <w:vMerge w:val="restart"/>
            <w:shd w:val="clear" w:color="auto" w:fill="FFFFFF"/>
            <w:tcMar>
              <w:top w:w="0" w:type="dxa"/>
              <w:left w:w="38" w:type="dxa"/>
              <w:bottom w:w="0" w:type="dxa"/>
              <w:right w:w="38" w:type="dxa"/>
            </w:tcMar>
            <w:vAlign w:val="center"/>
          </w:tcPr>
          <w:p w14:paraId="747A9560"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4.3500%</w:t>
            </w:r>
          </w:p>
        </w:tc>
      </w:tr>
      <w:tr w:rsidR="00B07D82" w:rsidRPr="00DA3766" w14:paraId="29C3C8AB"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208DCC2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7ADCAFB4"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乐腾腾</w:t>
            </w:r>
          </w:p>
        </w:tc>
        <w:tc>
          <w:tcPr>
            <w:tcW w:w="575" w:type="pct"/>
            <w:shd w:val="clear" w:color="auto" w:fill="FFFFFF"/>
            <w:tcMar>
              <w:top w:w="0" w:type="dxa"/>
              <w:left w:w="38" w:type="dxa"/>
              <w:bottom w:w="0" w:type="dxa"/>
              <w:right w:w="38" w:type="dxa"/>
            </w:tcMar>
            <w:vAlign w:val="center"/>
          </w:tcPr>
          <w:p w14:paraId="7F4D828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14.1937%</w:t>
            </w:r>
          </w:p>
        </w:tc>
        <w:tc>
          <w:tcPr>
            <w:tcW w:w="686" w:type="pct"/>
            <w:shd w:val="clear" w:color="auto" w:fill="FFFFFF"/>
            <w:tcMar>
              <w:top w:w="0" w:type="dxa"/>
              <w:left w:w="38" w:type="dxa"/>
              <w:bottom w:w="0" w:type="dxa"/>
              <w:right w:w="38" w:type="dxa"/>
            </w:tcMar>
            <w:vAlign w:val="center"/>
          </w:tcPr>
          <w:p w14:paraId="5B96464B"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3.8810%</w:t>
            </w:r>
          </w:p>
        </w:tc>
        <w:tc>
          <w:tcPr>
            <w:tcW w:w="615" w:type="pct"/>
            <w:shd w:val="clear" w:color="auto" w:fill="FFFFFF"/>
            <w:tcMar>
              <w:top w:w="0" w:type="dxa"/>
              <w:left w:w="38" w:type="dxa"/>
              <w:bottom w:w="0" w:type="dxa"/>
              <w:right w:w="38" w:type="dxa"/>
            </w:tcMar>
            <w:vAlign w:val="center"/>
          </w:tcPr>
          <w:p w14:paraId="2F139AD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0.5509%</w:t>
            </w:r>
          </w:p>
        </w:tc>
        <w:tc>
          <w:tcPr>
            <w:tcW w:w="832" w:type="pct"/>
            <w:vMerge/>
            <w:shd w:val="clear" w:color="auto" w:fill="FFFFFF"/>
            <w:tcMar>
              <w:top w:w="0" w:type="dxa"/>
              <w:left w:w="38" w:type="dxa"/>
              <w:bottom w:w="0" w:type="dxa"/>
              <w:right w:w="38" w:type="dxa"/>
            </w:tcMar>
            <w:vAlign w:val="center"/>
          </w:tcPr>
          <w:p w14:paraId="1E27092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5A973D70"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771CDFD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7D8408AB"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56F61D5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3ACF740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乐摇</w:t>
            </w:r>
          </w:p>
        </w:tc>
        <w:tc>
          <w:tcPr>
            <w:tcW w:w="575" w:type="pct"/>
            <w:shd w:val="clear" w:color="auto" w:fill="FFFFFF"/>
            <w:tcMar>
              <w:top w:w="0" w:type="dxa"/>
              <w:left w:w="38" w:type="dxa"/>
              <w:bottom w:w="0" w:type="dxa"/>
              <w:right w:w="38" w:type="dxa"/>
            </w:tcMar>
            <w:vAlign w:val="center"/>
          </w:tcPr>
          <w:p w14:paraId="43A42FCD" w14:textId="611ABACB"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38.5407</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0CCAA8D6"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4.9849%</w:t>
            </w:r>
          </w:p>
        </w:tc>
        <w:tc>
          <w:tcPr>
            <w:tcW w:w="615" w:type="pct"/>
            <w:shd w:val="clear" w:color="auto" w:fill="FFFFFF"/>
            <w:tcMar>
              <w:top w:w="0" w:type="dxa"/>
              <w:left w:w="38" w:type="dxa"/>
              <w:bottom w:w="0" w:type="dxa"/>
              <w:right w:w="38" w:type="dxa"/>
            </w:tcMar>
            <w:vAlign w:val="center"/>
          </w:tcPr>
          <w:p w14:paraId="55BBD9A8" w14:textId="597CEDB0"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1.9212</w:t>
            </w:r>
            <w:r w:rsidR="00B07D82"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2299D98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033BAFB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23CFFF5B"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02892E1F"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2F03C01D"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3DEDDA3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乐熙熙</w:t>
            </w:r>
          </w:p>
        </w:tc>
        <w:tc>
          <w:tcPr>
            <w:tcW w:w="575" w:type="pct"/>
            <w:shd w:val="clear" w:color="auto" w:fill="FFFFFF"/>
            <w:tcMar>
              <w:top w:w="0" w:type="dxa"/>
              <w:left w:w="38" w:type="dxa"/>
              <w:bottom w:w="0" w:type="dxa"/>
              <w:right w:w="38" w:type="dxa"/>
            </w:tcMar>
            <w:vAlign w:val="center"/>
          </w:tcPr>
          <w:p w14:paraId="68DA8830" w14:textId="28B76104"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6.1870</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22A7897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3.6005%</w:t>
            </w:r>
          </w:p>
        </w:tc>
        <w:tc>
          <w:tcPr>
            <w:tcW w:w="615" w:type="pct"/>
            <w:shd w:val="clear" w:color="auto" w:fill="FFFFFF"/>
            <w:tcMar>
              <w:top w:w="0" w:type="dxa"/>
              <w:left w:w="38" w:type="dxa"/>
              <w:bottom w:w="0" w:type="dxa"/>
              <w:right w:w="38" w:type="dxa"/>
            </w:tcMar>
            <w:vAlign w:val="center"/>
          </w:tcPr>
          <w:p w14:paraId="10511630" w14:textId="1E119565"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w:t>
            </w:r>
            <w:r w:rsidR="00072431" w:rsidRPr="00DA3766">
              <w:rPr>
                <w:rFonts w:ascii="Times New Roman" w:hAnsi="Times New Roman" w:cs="Times New Roman"/>
                <w:snapToGrid w:val="0"/>
                <w:sz w:val="21"/>
                <w:szCs w:val="21"/>
              </w:rPr>
              <w:t>2228</w:t>
            </w:r>
            <w:r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11CCEA4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7D43B00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28C401E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672B4E57"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3306D63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854DB9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5A790100" w14:textId="239D0D59"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49.0357</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6F285256"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78EB9850" w14:textId="5B15D803"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1.3651</w:t>
            </w:r>
            <w:r w:rsidR="00B07D82"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013F24A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6E6D202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6B779F6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315A804C"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63A3D8C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张杰波</w:t>
            </w:r>
          </w:p>
        </w:tc>
        <w:tc>
          <w:tcPr>
            <w:tcW w:w="615" w:type="pct"/>
            <w:shd w:val="clear" w:color="auto" w:fill="FFFFFF"/>
            <w:tcMar>
              <w:top w:w="0" w:type="dxa"/>
              <w:left w:w="38" w:type="dxa"/>
              <w:bottom w:w="0" w:type="dxa"/>
              <w:right w:w="38" w:type="dxa"/>
            </w:tcMar>
            <w:vAlign w:val="center"/>
          </w:tcPr>
          <w:p w14:paraId="1FBF1F16"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乐摇</w:t>
            </w:r>
          </w:p>
        </w:tc>
        <w:tc>
          <w:tcPr>
            <w:tcW w:w="575" w:type="pct"/>
            <w:shd w:val="clear" w:color="auto" w:fill="FFFFFF"/>
            <w:tcMar>
              <w:top w:w="0" w:type="dxa"/>
              <w:left w:w="38" w:type="dxa"/>
              <w:bottom w:w="0" w:type="dxa"/>
              <w:right w:w="38" w:type="dxa"/>
            </w:tcMar>
            <w:vAlign w:val="center"/>
          </w:tcPr>
          <w:p w14:paraId="0218409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52.4826%</w:t>
            </w:r>
          </w:p>
        </w:tc>
        <w:tc>
          <w:tcPr>
            <w:tcW w:w="686" w:type="pct"/>
            <w:shd w:val="clear" w:color="auto" w:fill="FFFFFF"/>
            <w:tcMar>
              <w:top w:w="0" w:type="dxa"/>
              <w:left w:w="38" w:type="dxa"/>
              <w:bottom w:w="0" w:type="dxa"/>
              <w:right w:w="38" w:type="dxa"/>
            </w:tcMar>
            <w:vAlign w:val="center"/>
          </w:tcPr>
          <w:p w14:paraId="7772EA7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4.9849%</w:t>
            </w:r>
          </w:p>
        </w:tc>
        <w:tc>
          <w:tcPr>
            <w:tcW w:w="615" w:type="pct"/>
            <w:shd w:val="clear" w:color="auto" w:fill="FFFFFF"/>
            <w:tcMar>
              <w:top w:w="0" w:type="dxa"/>
              <w:left w:w="38" w:type="dxa"/>
              <w:bottom w:w="0" w:type="dxa"/>
              <w:right w:w="38" w:type="dxa"/>
            </w:tcMar>
            <w:vAlign w:val="center"/>
          </w:tcPr>
          <w:p w14:paraId="0E9AFDD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2.6162%</w:t>
            </w:r>
          </w:p>
        </w:tc>
        <w:tc>
          <w:tcPr>
            <w:tcW w:w="832" w:type="pct"/>
            <w:vMerge w:val="restart"/>
            <w:shd w:val="clear" w:color="auto" w:fill="FFFFFF"/>
            <w:tcMar>
              <w:top w:w="0" w:type="dxa"/>
              <w:left w:w="38" w:type="dxa"/>
              <w:bottom w:w="0" w:type="dxa"/>
              <w:right w:w="38" w:type="dxa"/>
            </w:tcMar>
            <w:vAlign w:val="center"/>
          </w:tcPr>
          <w:p w14:paraId="6B0889F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4.0062%</w:t>
            </w:r>
          </w:p>
        </w:tc>
        <w:tc>
          <w:tcPr>
            <w:tcW w:w="758" w:type="pct"/>
            <w:vMerge w:val="restart"/>
            <w:shd w:val="clear" w:color="auto" w:fill="FFFFFF"/>
            <w:tcMar>
              <w:top w:w="0" w:type="dxa"/>
              <w:left w:w="38" w:type="dxa"/>
              <w:bottom w:w="0" w:type="dxa"/>
              <w:right w:w="38" w:type="dxa"/>
            </w:tcMar>
            <w:vAlign w:val="center"/>
          </w:tcPr>
          <w:p w14:paraId="41A12A9C"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44.5054</w:t>
            </w:r>
          </w:p>
        </w:tc>
        <w:tc>
          <w:tcPr>
            <w:tcW w:w="492" w:type="pct"/>
            <w:vMerge w:val="restart"/>
            <w:shd w:val="clear" w:color="auto" w:fill="FFFFFF"/>
            <w:tcMar>
              <w:top w:w="0" w:type="dxa"/>
              <w:left w:w="38" w:type="dxa"/>
              <w:bottom w:w="0" w:type="dxa"/>
              <w:right w:w="38" w:type="dxa"/>
            </w:tcMar>
            <w:vAlign w:val="center"/>
          </w:tcPr>
          <w:p w14:paraId="5EEC7BE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4.0062%</w:t>
            </w:r>
          </w:p>
        </w:tc>
      </w:tr>
      <w:tr w:rsidR="00B07D82" w:rsidRPr="00DA3766" w14:paraId="1F000486"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77F8B79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1BA8808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乐哈哈</w:t>
            </w:r>
          </w:p>
        </w:tc>
        <w:tc>
          <w:tcPr>
            <w:tcW w:w="575" w:type="pct"/>
            <w:shd w:val="clear" w:color="auto" w:fill="FFFFFF"/>
            <w:tcMar>
              <w:top w:w="0" w:type="dxa"/>
              <w:left w:w="38" w:type="dxa"/>
              <w:bottom w:w="0" w:type="dxa"/>
              <w:right w:w="38" w:type="dxa"/>
            </w:tcMar>
            <w:vAlign w:val="center"/>
          </w:tcPr>
          <w:p w14:paraId="2A57EFB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45.4105%</w:t>
            </w:r>
          </w:p>
        </w:tc>
        <w:tc>
          <w:tcPr>
            <w:tcW w:w="686" w:type="pct"/>
            <w:shd w:val="clear" w:color="auto" w:fill="FFFFFF"/>
            <w:tcMar>
              <w:top w:w="0" w:type="dxa"/>
              <w:left w:w="38" w:type="dxa"/>
              <w:bottom w:w="0" w:type="dxa"/>
              <w:right w:w="38" w:type="dxa"/>
            </w:tcMar>
            <w:vAlign w:val="center"/>
          </w:tcPr>
          <w:p w14:paraId="0A93570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3.0609%</w:t>
            </w:r>
          </w:p>
        </w:tc>
        <w:tc>
          <w:tcPr>
            <w:tcW w:w="615" w:type="pct"/>
            <w:shd w:val="clear" w:color="auto" w:fill="FFFFFF"/>
            <w:tcMar>
              <w:top w:w="0" w:type="dxa"/>
              <w:left w:w="38" w:type="dxa"/>
              <w:bottom w:w="0" w:type="dxa"/>
              <w:right w:w="38" w:type="dxa"/>
            </w:tcMar>
            <w:vAlign w:val="center"/>
          </w:tcPr>
          <w:p w14:paraId="517E9FC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1.3900%</w:t>
            </w:r>
          </w:p>
        </w:tc>
        <w:tc>
          <w:tcPr>
            <w:tcW w:w="832" w:type="pct"/>
            <w:vMerge/>
            <w:shd w:val="clear" w:color="auto" w:fill="FFFFFF"/>
            <w:tcMar>
              <w:top w:w="0" w:type="dxa"/>
              <w:left w:w="38" w:type="dxa"/>
              <w:bottom w:w="0" w:type="dxa"/>
              <w:right w:w="38" w:type="dxa"/>
            </w:tcMar>
            <w:vAlign w:val="center"/>
          </w:tcPr>
          <w:p w14:paraId="01C569C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0D776C6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398784D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443EBECF"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5EBA490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胡俊</w:t>
            </w:r>
          </w:p>
        </w:tc>
        <w:tc>
          <w:tcPr>
            <w:tcW w:w="615" w:type="pct"/>
            <w:shd w:val="clear" w:color="auto" w:fill="FFFFFF"/>
            <w:tcMar>
              <w:top w:w="0" w:type="dxa"/>
              <w:left w:w="38" w:type="dxa"/>
              <w:bottom w:w="0" w:type="dxa"/>
              <w:right w:w="38" w:type="dxa"/>
            </w:tcMar>
            <w:vAlign w:val="center"/>
          </w:tcPr>
          <w:p w14:paraId="2B9105F6"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乐熙熙</w:t>
            </w:r>
          </w:p>
        </w:tc>
        <w:tc>
          <w:tcPr>
            <w:tcW w:w="575" w:type="pct"/>
            <w:shd w:val="clear" w:color="auto" w:fill="FFFFFF"/>
            <w:tcMar>
              <w:top w:w="0" w:type="dxa"/>
              <w:left w:w="38" w:type="dxa"/>
              <w:bottom w:w="0" w:type="dxa"/>
              <w:right w:w="38" w:type="dxa"/>
            </w:tcMar>
            <w:vAlign w:val="center"/>
          </w:tcPr>
          <w:p w14:paraId="759E757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24.0400%</w:t>
            </w:r>
          </w:p>
        </w:tc>
        <w:tc>
          <w:tcPr>
            <w:tcW w:w="686" w:type="pct"/>
            <w:shd w:val="clear" w:color="auto" w:fill="FFFFFF"/>
            <w:tcMar>
              <w:top w:w="0" w:type="dxa"/>
              <w:left w:w="38" w:type="dxa"/>
              <w:bottom w:w="0" w:type="dxa"/>
              <w:right w:w="38" w:type="dxa"/>
            </w:tcMar>
            <w:vAlign w:val="center"/>
          </w:tcPr>
          <w:p w14:paraId="5B0D8B4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3.6005%</w:t>
            </w:r>
          </w:p>
        </w:tc>
        <w:tc>
          <w:tcPr>
            <w:tcW w:w="615" w:type="pct"/>
            <w:shd w:val="clear" w:color="auto" w:fill="FFFFFF"/>
            <w:tcMar>
              <w:top w:w="0" w:type="dxa"/>
              <w:left w:w="38" w:type="dxa"/>
              <w:bottom w:w="0" w:type="dxa"/>
              <w:right w:w="38" w:type="dxa"/>
            </w:tcMar>
            <w:vAlign w:val="center"/>
          </w:tcPr>
          <w:p w14:paraId="31A436D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0.8656%</w:t>
            </w:r>
          </w:p>
        </w:tc>
        <w:tc>
          <w:tcPr>
            <w:tcW w:w="832" w:type="pct"/>
            <w:vMerge w:val="restart"/>
            <w:shd w:val="clear" w:color="auto" w:fill="FFFFFF"/>
            <w:tcMar>
              <w:top w:w="0" w:type="dxa"/>
              <w:left w:w="38" w:type="dxa"/>
              <w:bottom w:w="0" w:type="dxa"/>
              <w:right w:w="38" w:type="dxa"/>
            </w:tcMar>
            <w:vAlign w:val="center"/>
          </w:tcPr>
          <w:p w14:paraId="03D7F9F3" w14:textId="36056376"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1.765</w:t>
            </w:r>
            <w:r w:rsidR="00F519FC"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w:t>
            </w:r>
          </w:p>
        </w:tc>
        <w:tc>
          <w:tcPr>
            <w:tcW w:w="758" w:type="pct"/>
            <w:vMerge w:val="restart"/>
            <w:shd w:val="clear" w:color="auto" w:fill="FFFFFF"/>
            <w:tcMar>
              <w:top w:w="0" w:type="dxa"/>
              <w:left w:w="38" w:type="dxa"/>
              <w:bottom w:w="0" w:type="dxa"/>
              <w:right w:w="38" w:type="dxa"/>
            </w:tcMar>
            <w:vAlign w:val="center"/>
          </w:tcPr>
          <w:p w14:paraId="0F9C82B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19.6154</w:t>
            </w:r>
          </w:p>
        </w:tc>
        <w:tc>
          <w:tcPr>
            <w:tcW w:w="492" w:type="pct"/>
            <w:vMerge w:val="restart"/>
            <w:shd w:val="clear" w:color="auto" w:fill="FFFFFF"/>
            <w:tcMar>
              <w:top w:w="0" w:type="dxa"/>
              <w:left w:w="38" w:type="dxa"/>
              <w:bottom w:w="0" w:type="dxa"/>
              <w:right w:w="38" w:type="dxa"/>
            </w:tcMar>
            <w:vAlign w:val="center"/>
          </w:tcPr>
          <w:p w14:paraId="024FA37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1.7657%</w:t>
            </w:r>
          </w:p>
        </w:tc>
      </w:tr>
      <w:tr w:rsidR="00B07D82" w:rsidRPr="00DA3766" w14:paraId="699B31E4"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362AD5F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45FD34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0B3A180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32.3330%</w:t>
            </w:r>
          </w:p>
        </w:tc>
        <w:tc>
          <w:tcPr>
            <w:tcW w:w="686" w:type="pct"/>
            <w:shd w:val="clear" w:color="auto" w:fill="FFFFFF"/>
            <w:tcMar>
              <w:top w:w="0" w:type="dxa"/>
              <w:left w:w="38" w:type="dxa"/>
              <w:bottom w:w="0" w:type="dxa"/>
              <w:right w:w="38" w:type="dxa"/>
            </w:tcMar>
            <w:vAlign w:val="center"/>
          </w:tcPr>
          <w:p w14:paraId="4EB7887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71FB66F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0.9002%</w:t>
            </w:r>
          </w:p>
        </w:tc>
        <w:tc>
          <w:tcPr>
            <w:tcW w:w="832" w:type="pct"/>
            <w:vMerge/>
            <w:shd w:val="clear" w:color="auto" w:fill="FFFFFF"/>
            <w:tcMar>
              <w:top w:w="0" w:type="dxa"/>
              <w:left w:w="38" w:type="dxa"/>
              <w:bottom w:w="0" w:type="dxa"/>
              <w:right w:w="38" w:type="dxa"/>
            </w:tcMar>
            <w:vAlign w:val="center"/>
          </w:tcPr>
          <w:p w14:paraId="54A9155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75A4E37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51B6B71A"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3CA6CBFA"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01D5E2A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王佳</w:t>
            </w:r>
          </w:p>
        </w:tc>
        <w:tc>
          <w:tcPr>
            <w:tcW w:w="615" w:type="pct"/>
            <w:shd w:val="clear" w:color="auto" w:fill="FFFFFF"/>
            <w:tcMar>
              <w:top w:w="0" w:type="dxa"/>
              <w:left w:w="38" w:type="dxa"/>
              <w:bottom w:w="0" w:type="dxa"/>
              <w:right w:w="38" w:type="dxa"/>
            </w:tcMar>
            <w:vAlign w:val="center"/>
          </w:tcPr>
          <w:p w14:paraId="0565E171"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乐腾腾</w:t>
            </w:r>
          </w:p>
        </w:tc>
        <w:tc>
          <w:tcPr>
            <w:tcW w:w="575" w:type="pct"/>
            <w:shd w:val="clear" w:color="auto" w:fill="FFFFFF"/>
            <w:tcMar>
              <w:top w:w="0" w:type="dxa"/>
              <w:left w:w="38" w:type="dxa"/>
              <w:bottom w:w="0" w:type="dxa"/>
              <w:right w:w="38" w:type="dxa"/>
            </w:tcMar>
            <w:vAlign w:val="center"/>
          </w:tcPr>
          <w:p w14:paraId="3086505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27.4308%</w:t>
            </w:r>
          </w:p>
        </w:tc>
        <w:tc>
          <w:tcPr>
            <w:tcW w:w="686" w:type="pct"/>
            <w:shd w:val="clear" w:color="auto" w:fill="FFFFFF"/>
            <w:tcMar>
              <w:top w:w="0" w:type="dxa"/>
              <w:left w:w="38" w:type="dxa"/>
              <w:bottom w:w="0" w:type="dxa"/>
              <w:right w:w="38" w:type="dxa"/>
            </w:tcMar>
            <w:vAlign w:val="center"/>
          </w:tcPr>
          <w:p w14:paraId="2BC420F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3.8810%</w:t>
            </w:r>
          </w:p>
        </w:tc>
        <w:tc>
          <w:tcPr>
            <w:tcW w:w="615" w:type="pct"/>
            <w:shd w:val="clear" w:color="auto" w:fill="FFFFFF"/>
            <w:tcMar>
              <w:top w:w="0" w:type="dxa"/>
              <w:left w:w="38" w:type="dxa"/>
              <w:bottom w:w="0" w:type="dxa"/>
              <w:right w:w="38" w:type="dxa"/>
            </w:tcMar>
            <w:vAlign w:val="center"/>
          </w:tcPr>
          <w:p w14:paraId="1E315D6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1.0646%</w:t>
            </w:r>
          </w:p>
        </w:tc>
        <w:tc>
          <w:tcPr>
            <w:tcW w:w="832" w:type="pct"/>
            <w:vMerge w:val="restart"/>
            <w:shd w:val="clear" w:color="auto" w:fill="FFFFFF"/>
            <w:tcMar>
              <w:top w:w="0" w:type="dxa"/>
              <w:left w:w="38" w:type="dxa"/>
              <w:bottom w:w="0" w:type="dxa"/>
              <w:right w:w="38" w:type="dxa"/>
            </w:tcMar>
            <w:vAlign w:val="center"/>
          </w:tcPr>
          <w:p w14:paraId="66D8834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1.5833%</w:t>
            </w:r>
          </w:p>
        </w:tc>
        <w:tc>
          <w:tcPr>
            <w:tcW w:w="758" w:type="pct"/>
            <w:vMerge w:val="restart"/>
            <w:shd w:val="clear" w:color="auto" w:fill="FFFFFF"/>
            <w:tcMar>
              <w:top w:w="0" w:type="dxa"/>
              <w:left w:w="38" w:type="dxa"/>
              <w:bottom w:w="0" w:type="dxa"/>
              <w:right w:w="38" w:type="dxa"/>
            </w:tcMar>
            <w:vAlign w:val="center"/>
          </w:tcPr>
          <w:p w14:paraId="1B30467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17.5895</w:t>
            </w:r>
          </w:p>
        </w:tc>
        <w:tc>
          <w:tcPr>
            <w:tcW w:w="492" w:type="pct"/>
            <w:vMerge w:val="restart"/>
            <w:shd w:val="clear" w:color="auto" w:fill="FFFFFF"/>
            <w:tcMar>
              <w:top w:w="0" w:type="dxa"/>
              <w:left w:w="38" w:type="dxa"/>
              <w:bottom w:w="0" w:type="dxa"/>
              <w:right w:w="38" w:type="dxa"/>
            </w:tcMar>
            <w:vAlign w:val="center"/>
          </w:tcPr>
          <w:p w14:paraId="260C305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1.5833%</w:t>
            </w:r>
          </w:p>
        </w:tc>
      </w:tr>
      <w:tr w:rsidR="00B07D82" w:rsidRPr="00DA3766" w14:paraId="790E07F1"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65EBF7E8"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8926110" w14:textId="07C56B08"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12A27E3A"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18.6328%</w:t>
            </w:r>
          </w:p>
        </w:tc>
        <w:tc>
          <w:tcPr>
            <w:tcW w:w="686" w:type="pct"/>
            <w:shd w:val="clear" w:color="auto" w:fill="FFFFFF"/>
            <w:tcMar>
              <w:top w:w="0" w:type="dxa"/>
              <w:left w:w="38" w:type="dxa"/>
              <w:bottom w:w="0" w:type="dxa"/>
              <w:right w:w="38" w:type="dxa"/>
            </w:tcMar>
            <w:vAlign w:val="center"/>
          </w:tcPr>
          <w:p w14:paraId="7ED1419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3CCF66B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0.5187%</w:t>
            </w:r>
          </w:p>
        </w:tc>
        <w:tc>
          <w:tcPr>
            <w:tcW w:w="832" w:type="pct"/>
            <w:vMerge/>
            <w:shd w:val="clear" w:color="auto" w:fill="FFFFFF"/>
            <w:tcMar>
              <w:top w:w="0" w:type="dxa"/>
              <w:left w:w="38" w:type="dxa"/>
              <w:bottom w:w="0" w:type="dxa"/>
              <w:right w:w="38" w:type="dxa"/>
            </w:tcMar>
            <w:vAlign w:val="center"/>
          </w:tcPr>
          <w:p w14:paraId="7BA3B744"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52BAAE8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5EC65093"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r>
    </w:tbl>
    <w:p w14:paraId="0242D81A" w14:textId="77777777" w:rsidR="002372DE" w:rsidRPr="00DA3766" w:rsidRDefault="002372DE" w:rsidP="002372DE">
      <w:pPr>
        <w:pStyle w:val="003"/>
        <w:spacing w:before="120" w:after="120"/>
        <w:ind w:firstLine="482"/>
      </w:pPr>
      <w:r w:rsidRPr="00DA3766">
        <w:t>（二）标的资产和相关持股平台的决策机制，四名交易对方通过持股平台持股与直接持股对标的资产的实际影响和相关权利义务是否存在差异</w:t>
      </w:r>
    </w:p>
    <w:p w14:paraId="59690861" w14:textId="77777777" w:rsidR="002372DE" w:rsidRPr="00DA3766" w:rsidRDefault="002372DE" w:rsidP="002372DE">
      <w:pPr>
        <w:pStyle w:val="004"/>
        <w:spacing w:before="120" w:after="120"/>
        <w:ind w:firstLine="482"/>
      </w:pPr>
      <w:r w:rsidRPr="00DA3766">
        <w:t>1</w:t>
      </w:r>
      <w:r w:rsidRPr="00DA3766">
        <w:t>、标的资产的决策机制</w:t>
      </w:r>
    </w:p>
    <w:p w14:paraId="2D734E27" w14:textId="051891E0" w:rsidR="002372DE" w:rsidRPr="00DA3766" w:rsidRDefault="00176D50" w:rsidP="00C93B0F">
      <w:pPr>
        <w:pStyle w:val="005"/>
        <w:spacing w:before="120" w:after="120"/>
        <w:ind w:firstLine="480"/>
      </w:pPr>
      <w:r w:rsidRPr="00DA3766">
        <w:t>标的资产的决策机制</w:t>
      </w:r>
      <w:r w:rsidR="002372DE" w:rsidRPr="00DA3766">
        <w:t>见本题回复之</w:t>
      </w:r>
      <w:r w:rsidR="002372DE" w:rsidRPr="00DA3766">
        <w:rPr>
          <w:rFonts w:ascii="宋体" w:hAnsi="宋体"/>
        </w:rPr>
        <w:t>“</w:t>
      </w:r>
      <w:r w:rsidR="002372DE"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002372DE" w:rsidRPr="00DA3766">
        <w:t>5%</w:t>
      </w:r>
      <w:r w:rsidR="002372DE" w:rsidRPr="00DA3766">
        <w:t>的情形，认定本次发行股份及支付现金购买资产不构成关联交易是否准确</w:t>
      </w:r>
      <w:r w:rsidR="002372DE" w:rsidRPr="00DA3766">
        <w:rPr>
          <w:rFonts w:ascii="宋体" w:hAnsi="宋体"/>
        </w:rPr>
        <w:t>”</w:t>
      </w:r>
      <w:r w:rsidR="002372DE" w:rsidRPr="00DA3766">
        <w:t>之</w:t>
      </w:r>
      <w:r w:rsidR="002372DE" w:rsidRPr="00DA3766">
        <w:rPr>
          <w:rFonts w:ascii="宋体" w:hAnsi="宋体"/>
        </w:rPr>
        <w:t>“</w:t>
      </w:r>
      <w:r w:rsidR="002372DE" w:rsidRPr="00DA3766">
        <w:t>（三）标的资产的公司治理结构及财务经营事项决策机制</w:t>
      </w:r>
      <w:r w:rsidR="002372DE" w:rsidRPr="00DA3766">
        <w:rPr>
          <w:rFonts w:ascii="宋体" w:hAnsi="宋体"/>
        </w:rPr>
        <w:t>”</w:t>
      </w:r>
      <w:r w:rsidR="002372DE" w:rsidRPr="00DA3766">
        <w:t>。</w:t>
      </w:r>
    </w:p>
    <w:p w14:paraId="3B8A01A4" w14:textId="77777777" w:rsidR="002372DE" w:rsidRPr="00DA3766" w:rsidRDefault="002372DE" w:rsidP="002372DE">
      <w:pPr>
        <w:pStyle w:val="004"/>
        <w:spacing w:before="120" w:after="120"/>
        <w:ind w:firstLine="482"/>
      </w:pPr>
      <w:r w:rsidRPr="00DA3766">
        <w:t>2</w:t>
      </w:r>
      <w:r w:rsidRPr="00DA3766">
        <w:t>、持股平台的决策机制</w:t>
      </w:r>
    </w:p>
    <w:p w14:paraId="386DB164" w14:textId="77777777" w:rsidR="002372DE" w:rsidRPr="00DA3766" w:rsidRDefault="002372DE" w:rsidP="00C93B0F">
      <w:pPr>
        <w:pStyle w:val="005"/>
        <w:spacing w:before="120" w:after="120"/>
        <w:ind w:firstLine="480"/>
      </w:pPr>
      <w:r w:rsidRPr="00DA3766">
        <w:t>根据乐熙熙、乐腾腾、乐摇、乐洋洋及乐哈哈的合伙协议，上述持股平台关于决策机制的约定内容如下：</w:t>
      </w:r>
    </w:p>
    <w:p w14:paraId="633B27BC" w14:textId="77777777" w:rsidR="002372DE" w:rsidRPr="00DA3766" w:rsidRDefault="002372DE" w:rsidP="00C93B0F">
      <w:pPr>
        <w:pStyle w:val="005"/>
        <w:spacing w:before="120" w:after="120"/>
        <w:ind w:firstLine="480"/>
      </w:pPr>
      <w:r w:rsidRPr="00DA3766">
        <w:rPr>
          <w:rFonts w:ascii="宋体" w:hAnsi="宋体"/>
        </w:rPr>
        <w:lastRenderedPageBreak/>
        <w:t>“</w:t>
      </w:r>
      <w:r w:rsidRPr="00DA3766">
        <w:t>（</w:t>
      </w:r>
      <w:r w:rsidRPr="00DA3766">
        <w:t>1</w:t>
      </w:r>
      <w:r w:rsidRPr="00DA3766">
        <w:t>）有限合伙企业由普通合合伙人执行合伙事务。</w:t>
      </w:r>
    </w:p>
    <w:p w14:paraId="6F705267" w14:textId="77777777" w:rsidR="002372DE" w:rsidRPr="00DA3766" w:rsidRDefault="002372DE" w:rsidP="00C93B0F">
      <w:pPr>
        <w:pStyle w:val="005"/>
        <w:spacing w:before="120" w:after="120"/>
        <w:ind w:firstLine="480"/>
      </w:pPr>
      <w:r w:rsidRPr="00DA3766">
        <w:t>（</w:t>
      </w:r>
      <w:r w:rsidRPr="00DA3766">
        <w:t>2</w:t>
      </w:r>
      <w:r w:rsidRPr="00DA3766">
        <w:t>）不执行合伙事务的合伙人有权监督执行事务合伙人执行合伙事务的情况。执行事务合伙人应当定期向其他合伙人报告事务执行情况以及合伙企业的经营和财务状况，其执行合伙事务所产生的收益归合伙企业，所产生的费用和亏损由合伙企业承担。</w:t>
      </w:r>
    </w:p>
    <w:p w14:paraId="431623F7" w14:textId="77777777" w:rsidR="002372DE" w:rsidRPr="00DA3766" w:rsidRDefault="002372DE" w:rsidP="00C93B0F">
      <w:pPr>
        <w:pStyle w:val="005"/>
        <w:spacing w:before="120" w:after="120"/>
        <w:ind w:firstLine="480"/>
      </w:pPr>
      <w:r w:rsidRPr="00DA3766">
        <w:t>（</w:t>
      </w:r>
      <w:r w:rsidRPr="00DA3766">
        <w:t>3</w:t>
      </w:r>
      <w:r w:rsidRPr="00DA3766">
        <w:t>）合伙企业的下列事项应当经全体合伙人一致同意：</w:t>
      </w:r>
    </w:p>
    <w:p w14:paraId="436E9FF5" w14:textId="77777777" w:rsidR="002372DE" w:rsidRPr="00DA3766" w:rsidRDefault="002372DE" w:rsidP="00C93B0F">
      <w:pPr>
        <w:pStyle w:val="005"/>
        <w:spacing w:before="120" w:after="120"/>
        <w:ind w:firstLine="480"/>
      </w:pPr>
      <w:r w:rsidRPr="00DA3766">
        <w:rPr>
          <w:rFonts w:ascii="宋体" w:hAnsi="宋体" w:cs="宋体" w:hint="eastAsia"/>
        </w:rPr>
        <w:t>①</w:t>
      </w:r>
      <w:r w:rsidRPr="00DA3766">
        <w:t>改变合伙企业的名称；</w:t>
      </w:r>
    </w:p>
    <w:p w14:paraId="05FB630F" w14:textId="77777777" w:rsidR="002372DE" w:rsidRPr="00DA3766" w:rsidRDefault="002372DE" w:rsidP="00C93B0F">
      <w:pPr>
        <w:pStyle w:val="005"/>
        <w:spacing w:before="120" w:after="120"/>
        <w:ind w:firstLine="480"/>
      </w:pPr>
      <w:r w:rsidRPr="00DA3766">
        <w:rPr>
          <w:rFonts w:ascii="宋体" w:hAnsi="宋体" w:cs="宋体" w:hint="eastAsia"/>
        </w:rPr>
        <w:t>②</w:t>
      </w:r>
      <w:r w:rsidRPr="00DA3766">
        <w:t>改变合伙企业的经营范围、主要经营场所的地点；</w:t>
      </w:r>
    </w:p>
    <w:p w14:paraId="1813DCE4" w14:textId="77777777" w:rsidR="002372DE" w:rsidRPr="00DA3766" w:rsidRDefault="002372DE" w:rsidP="00C93B0F">
      <w:pPr>
        <w:pStyle w:val="005"/>
        <w:spacing w:before="120" w:after="120"/>
        <w:ind w:firstLine="480"/>
      </w:pPr>
      <w:r w:rsidRPr="00DA3766">
        <w:rPr>
          <w:rFonts w:ascii="宋体" w:hAnsi="宋体" w:cs="宋体" w:hint="eastAsia"/>
        </w:rPr>
        <w:t>③</w:t>
      </w:r>
      <w:r w:rsidRPr="00DA3766">
        <w:t>处分合伙企业的不动产；</w:t>
      </w:r>
    </w:p>
    <w:p w14:paraId="4D0DD146" w14:textId="77777777" w:rsidR="002372DE" w:rsidRPr="00DA3766" w:rsidRDefault="002372DE" w:rsidP="00C93B0F">
      <w:pPr>
        <w:pStyle w:val="005"/>
        <w:spacing w:before="120" w:after="120"/>
        <w:ind w:firstLine="480"/>
      </w:pPr>
      <w:r w:rsidRPr="00DA3766">
        <w:rPr>
          <w:rFonts w:ascii="宋体" w:hAnsi="宋体" w:cs="宋体" w:hint="eastAsia"/>
        </w:rPr>
        <w:t>④</w:t>
      </w:r>
      <w:r w:rsidRPr="00DA3766">
        <w:t>转让或者处分合伙企业的知识产权和其他财产权利；</w:t>
      </w:r>
    </w:p>
    <w:p w14:paraId="262237FB" w14:textId="77777777" w:rsidR="002372DE" w:rsidRPr="00DA3766" w:rsidRDefault="002372DE" w:rsidP="00C93B0F">
      <w:pPr>
        <w:pStyle w:val="005"/>
        <w:spacing w:before="120" w:after="120"/>
        <w:ind w:firstLine="480"/>
      </w:pPr>
      <w:r w:rsidRPr="00DA3766">
        <w:rPr>
          <w:rFonts w:ascii="宋体" w:hAnsi="宋体" w:cs="宋体" w:hint="eastAsia"/>
        </w:rPr>
        <w:t>⑤</w:t>
      </w:r>
      <w:r w:rsidRPr="00DA3766">
        <w:t>以合伙企业名义为他人提供担保；</w:t>
      </w:r>
    </w:p>
    <w:p w14:paraId="09CA71F4" w14:textId="77777777" w:rsidR="002372DE" w:rsidRPr="00DA3766" w:rsidRDefault="002372DE" w:rsidP="00C93B0F">
      <w:pPr>
        <w:pStyle w:val="005"/>
        <w:spacing w:before="120" w:after="120"/>
        <w:ind w:firstLine="480"/>
      </w:pPr>
      <w:r w:rsidRPr="00DA3766">
        <w:rPr>
          <w:rFonts w:ascii="宋体" w:hAnsi="宋体" w:cs="宋体" w:hint="eastAsia"/>
        </w:rPr>
        <w:t>⑥</w:t>
      </w:r>
      <w:r w:rsidRPr="00DA3766">
        <w:t>聘任合伙人以外的人担任合伙企业的经营管理人员</w:t>
      </w:r>
    </w:p>
    <w:p w14:paraId="368241FB" w14:textId="77777777" w:rsidR="002372DE" w:rsidRPr="00DA3766" w:rsidRDefault="002372DE" w:rsidP="00C93B0F">
      <w:pPr>
        <w:pStyle w:val="005"/>
        <w:spacing w:before="120" w:after="120"/>
        <w:ind w:firstLine="480"/>
      </w:pPr>
      <w:r w:rsidRPr="00DA3766">
        <w:t>（</w:t>
      </w:r>
      <w:r w:rsidRPr="00DA3766">
        <w:t>4</w:t>
      </w:r>
      <w:r w:rsidRPr="00DA3766">
        <w:t>）合伙企业的利润分配，按如下方式分配：按合伙人认缴出资比例享受利润分配。</w:t>
      </w:r>
      <w:r w:rsidRPr="00DA3766">
        <w:rPr>
          <w:rFonts w:ascii="宋体" w:hAnsi="宋体"/>
        </w:rPr>
        <w:t>”</w:t>
      </w:r>
    </w:p>
    <w:p w14:paraId="3E2A17B2" w14:textId="1489FAE6" w:rsidR="002372DE" w:rsidRPr="00DA3766" w:rsidRDefault="002372DE" w:rsidP="00C93B0F">
      <w:pPr>
        <w:pStyle w:val="005"/>
        <w:spacing w:before="120" w:after="120"/>
        <w:ind w:firstLine="480"/>
      </w:pPr>
      <w:r w:rsidRPr="00DA3766">
        <w:t>因此，杨凯然、张杰波、胡俊、王佳原通过持股平台间接持有标的公司股权时，仅享有按各自认缴出资比例享有利润分配的权利。</w:t>
      </w:r>
      <w:r w:rsidRPr="00DA3766">
        <w:t>2025</w:t>
      </w:r>
      <w:r w:rsidRPr="00DA3766">
        <w:t>年四名交易对方将其原通过员工持股平台间接持有的星云开物股权转换为由其各自直接持股，将依法以其直接持有的股份比例对标的公司日常经营管理等事项享有投票权。持股方式变更前后对标的资产的实际影响存在一定差异。</w:t>
      </w:r>
    </w:p>
    <w:p w14:paraId="6FDBD583" w14:textId="486C7D5E" w:rsidR="002372DE" w:rsidRPr="00DA3766" w:rsidRDefault="002372DE" w:rsidP="00C93B0F">
      <w:pPr>
        <w:pStyle w:val="005"/>
        <w:spacing w:before="120" w:after="120"/>
        <w:ind w:firstLine="480"/>
      </w:pPr>
      <w:r w:rsidRPr="00DA3766">
        <w:t>此外，根据乐熙熙、乐腾腾、乐摇、乐洋洋及乐哈哈的合伙协议以及星云开物现行有效的公司章程，杨凯然、张杰波、胡俊、王佳作为乐熙熙、乐腾腾、乐摇、乐洋洋及乐哈哈的有限合伙人除享有《合伙企业法》规定的有限合伙人应当享有的权利，并承担有限合伙人应当承担的义务外，不存在《合伙企业法》之外对其作为有限合伙人权利或义务的特别限制或约定，而杨凯然、张杰波、胡俊、王佳外翻至标的公司直接持股层面，其除享有《公司法》规定的作为股份公司股东应当享有的股东权利，并承担股东应承担的义务外，亦不存在《公司法》之外对其作为标的公司股东权利或义务的特别限制或约定。</w:t>
      </w:r>
    </w:p>
    <w:p w14:paraId="27453E58" w14:textId="44AF33F6" w:rsidR="00006151" w:rsidRPr="00DA3766" w:rsidRDefault="00006151" w:rsidP="002A2865">
      <w:pPr>
        <w:pStyle w:val="004"/>
        <w:spacing w:before="120" w:after="120"/>
        <w:ind w:firstLine="482"/>
      </w:pPr>
      <w:r w:rsidRPr="00DA3766">
        <w:lastRenderedPageBreak/>
        <w:t>3</w:t>
      </w:r>
      <w:r w:rsidRPr="00DA3766">
        <w:t>、四名交易对方通过持股平台持股与直接持股对标的资产的相关权利义务存在一定差异，但持股方式变更不会对标的公司日常经营产生重大不利影响。</w:t>
      </w:r>
    </w:p>
    <w:p w14:paraId="7ECFED10" w14:textId="06F912C3" w:rsidR="00006151" w:rsidRPr="00DA3766" w:rsidRDefault="00006151" w:rsidP="002372DE">
      <w:pPr>
        <w:pStyle w:val="005"/>
        <w:spacing w:before="120" w:after="120"/>
        <w:ind w:firstLine="482"/>
        <w:rPr>
          <w:b/>
          <w:bCs/>
        </w:rPr>
      </w:pPr>
      <w:r w:rsidRPr="00DA3766">
        <w:rPr>
          <w:b/>
          <w:bCs/>
        </w:rPr>
        <w:t>（</w:t>
      </w:r>
      <w:r w:rsidRPr="00DA3766">
        <w:rPr>
          <w:b/>
          <w:bCs/>
        </w:rPr>
        <w:t>1</w:t>
      </w:r>
      <w:r w:rsidRPr="00DA3766">
        <w:rPr>
          <w:b/>
          <w:bCs/>
        </w:rPr>
        <w:t>）持股方式变更不会对四名交易对方因本次交易而获得的上市公司股份锁定期安排产生本质差异</w:t>
      </w:r>
    </w:p>
    <w:p w14:paraId="5F9AF83A" w14:textId="63E90E21" w:rsidR="002372DE" w:rsidRPr="00DA3766" w:rsidRDefault="002372DE" w:rsidP="00C93B0F">
      <w:pPr>
        <w:pStyle w:val="005"/>
        <w:spacing w:before="120" w:after="120"/>
        <w:ind w:firstLine="480"/>
      </w:pPr>
      <w:r w:rsidRPr="00DA3766">
        <w:t>对于本次交易而言，杨凯然、张杰波、胡俊、王佳作为直接股东，其持有的标的公司股份因参与本次交易而获得的上市公司股份将受到股份锁定限制，而如其作为乐熙熙、乐腾腾、乐摇、乐洋洋及乐哈哈的间接股东参与本次交易，按照持股平台作出的锁定承诺及持股平台内部合伙人作出的承诺，其持有的合伙企业份额亦将在员工持股平台锁定期内保持锁定，因此，从锁定期来说杨凯然、张杰波、胡俊、王佳直接持股与通过员工持股平台间接持股无本质差异。</w:t>
      </w:r>
    </w:p>
    <w:p w14:paraId="57D1A7AA" w14:textId="0499C6E9" w:rsidR="00006151" w:rsidRPr="00DA3766" w:rsidRDefault="00006151" w:rsidP="002372DE">
      <w:pPr>
        <w:pStyle w:val="005"/>
        <w:spacing w:before="120" w:after="120"/>
        <w:ind w:firstLine="482"/>
        <w:rPr>
          <w:b/>
          <w:bCs/>
        </w:rPr>
      </w:pPr>
      <w:r w:rsidRPr="00DA3766">
        <w:rPr>
          <w:b/>
          <w:bCs/>
        </w:rPr>
        <w:t>（</w:t>
      </w:r>
      <w:r w:rsidRPr="00DA3766">
        <w:rPr>
          <w:b/>
          <w:bCs/>
        </w:rPr>
        <w:t>2</w:t>
      </w:r>
      <w:r w:rsidRPr="00DA3766">
        <w:rPr>
          <w:b/>
          <w:bCs/>
        </w:rPr>
        <w:t>）四名交易对方持有标的公司股权比例较小，不会对标的公司</w:t>
      </w:r>
      <w:r w:rsidR="00AB7CC7" w:rsidRPr="00DA3766">
        <w:rPr>
          <w:b/>
          <w:bCs/>
        </w:rPr>
        <w:t>生产经营</w:t>
      </w:r>
      <w:r w:rsidRPr="00DA3766">
        <w:rPr>
          <w:b/>
          <w:bCs/>
        </w:rPr>
        <w:t>产生重大影响</w:t>
      </w:r>
    </w:p>
    <w:p w14:paraId="0EBC416F" w14:textId="439D6564" w:rsidR="00006151" w:rsidRPr="00DA3766" w:rsidRDefault="00006151" w:rsidP="00C93B0F">
      <w:pPr>
        <w:pStyle w:val="005"/>
        <w:spacing w:before="120" w:after="120"/>
        <w:ind w:firstLine="480"/>
      </w:pPr>
      <w:r w:rsidRPr="00DA3766">
        <w:t>本次股权转让系按照四名交易对方在转让前通过持股平台间接持有标的公司股份数量完成，转让前后四名交易对方持有标的公司股权数量及股权占比相同。持股方式变更前后四名交易对方持有标的公司股权比例均未达到</w:t>
      </w:r>
      <w:r w:rsidRPr="00DA3766">
        <w:t>5%</w:t>
      </w:r>
      <w:r w:rsidRPr="00DA3766">
        <w:t>，持股比例较小</w:t>
      </w:r>
      <w:r w:rsidR="00AB7CC7" w:rsidRPr="00DA3766">
        <w:t>，不会</w:t>
      </w:r>
      <w:r w:rsidRPr="00DA3766">
        <w:t>对标的公司</w:t>
      </w:r>
      <w:r w:rsidR="00AB7CC7" w:rsidRPr="00DA3766">
        <w:t>生产经营</w:t>
      </w:r>
      <w:r w:rsidRPr="00DA3766">
        <w:t>产生重大影响。</w:t>
      </w:r>
    </w:p>
    <w:p w14:paraId="5731A9CD" w14:textId="215BBFB3" w:rsidR="002372DE" w:rsidRPr="00DA3766" w:rsidRDefault="002372DE" w:rsidP="00C93B0F">
      <w:pPr>
        <w:pStyle w:val="005"/>
        <w:spacing w:before="120" w:after="120"/>
        <w:ind w:firstLine="480"/>
      </w:pPr>
      <w:r w:rsidRPr="00DA3766">
        <w:t>如前所述，杨凯然、张杰波、胡俊、王佳四名交易对方通过持股平台持股与直接持股对标的资产的实际影响和相关权利义务存在一定差异，但该等差异不会对其参与本次交易后持有上市公司股份及享有的权利和承担的义务形成本质差异</w:t>
      </w:r>
      <w:r w:rsidR="00AB7CC7" w:rsidRPr="00DA3766">
        <w:t>，且前述交易对方持有标的公司股权比例较小，</w:t>
      </w:r>
      <w:r w:rsidR="00006151" w:rsidRPr="00DA3766">
        <w:t>不会对标的公司日常生产经营产生重大影响</w:t>
      </w:r>
      <w:r w:rsidRPr="00DA3766">
        <w:t>。</w:t>
      </w:r>
    </w:p>
    <w:p w14:paraId="274C0A6C" w14:textId="77777777" w:rsidR="002372DE" w:rsidRPr="00DA3766" w:rsidRDefault="002372DE" w:rsidP="00635015">
      <w:pPr>
        <w:pStyle w:val="005"/>
        <w:spacing w:before="120" w:after="120"/>
        <w:ind w:firstLine="464"/>
      </w:pPr>
      <w:r w:rsidRPr="00635015">
        <w:rPr>
          <w:spacing w:val="-4"/>
        </w:rPr>
        <w:t>杨凯然、张杰波、胡俊及王佳四名交易对方的锁定期安排符合《重组办法》第四十七条的规定，具体论述见本回复之</w:t>
      </w:r>
      <w:r w:rsidRPr="00635015">
        <w:rPr>
          <w:rFonts w:ascii="宋体" w:hAnsi="宋体"/>
          <w:spacing w:val="-4"/>
        </w:rPr>
        <w:t>“</w:t>
      </w:r>
      <w:r w:rsidRPr="00635015">
        <w:rPr>
          <w:spacing w:val="-4"/>
        </w:rPr>
        <w:t>问题</w:t>
      </w:r>
      <w:r w:rsidRPr="00635015">
        <w:rPr>
          <w:spacing w:val="-4"/>
        </w:rPr>
        <w:t>7</w:t>
      </w:r>
      <w:r w:rsidRPr="00635015">
        <w:rPr>
          <w:spacing w:val="-4"/>
        </w:rPr>
        <w:t>、关于交易对方</w:t>
      </w:r>
      <w:r w:rsidRPr="00635015">
        <w:rPr>
          <w:rFonts w:ascii="宋体" w:hAnsi="宋体"/>
          <w:spacing w:val="-4"/>
        </w:rPr>
        <w:t>”</w:t>
      </w:r>
      <w:r w:rsidRPr="00635015">
        <w:rPr>
          <w:spacing w:val="-4"/>
        </w:rPr>
        <w:t>之</w:t>
      </w:r>
      <w:r w:rsidRPr="00635015">
        <w:rPr>
          <w:rFonts w:ascii="宋体" w:hAnsi="宋体"/>
          <w:spacing w:val="-4"/>
        </w:rPr>
        <w:t>“</w:t>
      </w:r>
      <w:r w:rsidRPr="00635015">
        <w:rPr>
          <w:spacing w:val="-4"/>
        </w:rPr>
        <w:t>四、详细列示相关交易对方的持有标的资产权益的具体情况和持续持有时间，本次获得股份的具体情况及锁定期，相关锁定期安排是否符合《重组办法》第四十七条的规定</w:t>
      </w:r>
      <w:r w:rsidRPr="00635015">
        <w:rPr>
          <w:rFonts w:ascii="宋体" w:hAnsi="宋体"/>
          <w:spacing w:val="-4"/>
        </w:rPr>
        <w:t>”</w:t>
      </w:r>
      <w:r w:rsidRPr="00DA3766">
        <w:t>。</w:t>
      </w:r>
    </w:p>
    <w:p w14:paraId="371E6625" w14:textId="1AA0FA2C" w:rsidR="00B07D82" w:rsidRPr="00DA3766" w:rsidRDefault="00176D50" w:rsidP="00C93B0F">
      <w:pPr>
        <w:pStyle w:val="005"/>
        <w:spacing w:before="120" w:after="120"/>
        <w:ind w:firstLine="480"/>
      </w:pPr>
      <w:r w:rsidRPr="00DA3766">
        <w:t>综上所述</w:t>
      </w:r>
      <w:r w:rsidR="002372DE" w:rsidRPr="00DA3766">
        <w:t>，杨凯然、张杰波、胡俊、王佳四名交易对方通过持股平台持股与直接持股对标的资产的实际影响和相关权利义务虽存在差异，但四名交易对方的锁定期安排已根据相关法律法规要求进行约定，符合</w:t>
      </w:r>
      <w:bookmarkStart w:id="210" w:name="OLE_LINK56"/>
      <w:r w:rsidR="002372DE" w:rsidRPr="00DA3766">
        <w:t>《重组办法》第四十七条的</w:t>
      </w:r>
      <w:r w:rsidR="002372DE" w:rsidRPr="00DA3766">
        <w:lastRenderedPageBreak/>
        <w:t>规定</w:t>
      </w:r>
      <w:bookmarkEnd w:id="210"/>
      <w:r w:rsidR="002372DE" w:rsidRPr="00DA3766">
        <w:t>。</w:t>
      </w:r>
    </w:p>
    <w:bookmarkEnd w:id="209"/>
    <w:p w14:paraId="6A6D5F9D" w14:textId="77777777" w:rsidR="002B58E7" w:rsidRPr="00DA3766" w:rsidRDefault="002B58E7" w:rsidP="00C93B0F">
      <w:pPr>
        <w:pStyle w:val="005"/>
        <w:spacing w:before="120" w:after="120"/>
        <w:ind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八、本次交易符合《重组管理办法》第四十七条的规定</w:t>
      </w:r>
      <w:r w:rsidRPr="00DA3766">
        <w:rPr>
          <w:rFonts w:ascii="宋体" w:hAnsi="宋体"/>
        </w:rPr>
        <w:t>”</w:t>
      </w:r>
      <w:r w:rsidRPr="00DA3766">
        <w:t>补充披露。</w:t>
      </w:r>
    </w:p>
    <w:p w14:paraId="7C77D3C4" w14:textId="158A6D47" w:rsidR="00B07D82" w:rsidRPr="00DA3766" w:rsidRDefault="00B07D82" w:rsidP="00B07D82">
      <w:pPr>
        <w:pStyle w:val="002"/>
        <w:spacing w:before="120" w:after="120"/>
        <w:ind w:firstLine="482"/>
      </w:pPr>
      <w:r w:rsidRPr="00DA3766">
        <w:t>六、</w:t>
      </w:r>
      <w:bookmarkStart w:id="211" w:name="_Hlk219330513"/>
      <w:r w:rsidRPr="00DA3766">
        <w:t>上市公司实际控制人持有上市公司股份的相关锁定期安排是否符合</w:t>
      </w:r>
      <w:bookmarkStart w:id="212" w:name="_Hlk219331630"/>
      <w:r w:rsidRPr="00DA3766">
        <w:t>《上市公司收购管理办法》第七十四条的规定</w:t>
      </w:r>
      <w:bookmarkEnd w:id="211"/>
      <w:bookmarkEnd w:id="212"/>
    </w:p>
    <w:p w14:paraId="3E3BACC4" w14:textId="77777777" w:rsidR="00B07D82" w:rsidRPr="00DA3766" w:rsidRDefault="00B07D82" w:rsidP="00C93B0F">
      <w:pPr>
        <w:pStyle w:val="005"/>
        <w:spacing w:before="120" w:after="120"/>
        <w:ind w:firstLine="480"/>
      </w:pPr>
      <w:bookmarkStart w:id="213" w:name="_Hlk219330543"/>
      <w:r w:rsidRPr="00DA3766">
        <w:t>根据《上市公司收购管理办法》第七十四条规定，</w:t>
      </w:r>
      <w:r w:rsidRPr="00DA3766">
        <w:rPr>
          <w:rFonts w:ascii="宋体" w:hAnsi="宋体"/>
        </w:rPr>
        <w:t>“</w:t>
      </w:r>
      <w:r w:rsidRPr="00DA3766">
        <w:t>上市公司收购中，收购人持有的被收购公司的股份，在收购完成后</w:t>
      </w:r>
      <w:r w:rsidRPr="00DA3766">
        <w:t>18</w:t>
      </w:r>
      <w:r w:rsidRPr="00DA3766">
        <w:t>个月内不得转让。</w:t>
      </w:r>
      <w:r w:rsidRPr="00DA3766">
        <w:rPr>
          <w:rFonts w:ascii="宋体" w:hAnsi="宋体"/>
        </w:rPr>
        <w:t>”</w:t>
      </w:r>
    </w:p>
    <w:p w14:paraId="125FB30F" w14:textId="77777777" w:rsidR="00B07D82" w:rsidRPr="00DA3766" w:rsidRDefault="00B07D82" w:rsidP="00C93B0F">
      <w:pPr>
        <w:pStyle w:val="005"/>
        <w:spacing w:before="120" w:after="120"/>
        <w:ind w:firstLine="480"/>
      </w:pPr>
      <w:r w:rsidRPr="00DA3766">
        <w:t>根据《重组报告书》，本次发行认购对象为发行人的实际控制人马学沛先生，其认购的股票自发行结束之日起十八个月内不得转让，相关股份的锁定期安排符合《上市公司收购管理办法》第七十四条的规定。</w:t>
      </w:r>
    </w:p>
    <w:p w14:paraId="7C650C21" w14:textId="77777777" w:rsidR="00B07D82" w:rsidRPr="00DA3766" w:rsidRDefault="00B07D82" w:rsidP="00C93B0F">
      <w:pPr>
        <w:pStyle w:val="005"/>
        <w:spacing w:before="120" w:after="120"/>
        <w:ind w:firstLine="480"/>
      </w:pPr>
      <w:r w:rsidRPr="00DA3766">
        <w:t>马学沛先生已于</w:t>
      </w:r>
      <w:r w:rsidRPr="00DA3766">
        <w:t>2025</w:t>
      </w:r>
      <w:r w:rsidRPr="00DA3766">
        <w:t>年</w:t>
      </w:r>
      <w:r w:rsidRPr="00DA3766">
        <w:t>11</w:t>
      </w:r>
      <w:r w:rsidRPr="00DA3766">
        <w:t>月</w:t>
      </w:r>
      <w:r w:rsidRPr="00DA3766">
        <w:t>18</w:t>
      </w:r>
      <w:r w:rsidRPr="00DA3766">
        <w:t>日出具《关于所持上市公司股份锁定的承诺函》，具体承诺内容如下：</w:t>
      </w:r>
    </w:p>
    <w:p w14:paraId="4B8F4B58" w14:textId="77777777" w:rsidR="00B07D82" w:rsidRPr="00DA3766" w:rsidRDefault="00B07D82" w:rsidP="00C93B0F">
      <w:pPr>
        <w:pStyle w:val="005"/>
        <w:spacing w:before="120" w:after="120"/>
        <w:ind w:firstLine="480"/>
      </w:pPr>
      <w:r w:rsidRPr="00DA3766">
        <w:rPr>
          <w:rFonts w:ascii="宋体" w:hAnsi="宋体"/>
        </w:rPr>
        <w:t>“</w:t>
      </w:r>
      <w:r w:rsidRPr="00DA3766">
        <w:t>1</w:t>
      </w:r>
      <w:r w:rsidRPr="00DA3766">
        <w:t>、对于本承诺人在本次交易中认购的上市公司股份，自该等股份发行结束之日起</w:t>
      </w:r>
      <w:r w:rsidRPr="00DA3766">
        <w:t>18</w:t>
      </w:r>
      <w:r w:rsidRPr="00DA3766">
        <w:t>个月内不得转让。</w:t>
      </w:r>
    </w:p>
    <w:p w14:paraId="534A4476" w14:textId="77777777" w:rsidR="00B07D82" w:rsidRPr="00DA3766" w:rsidRDefault="00B07D82" w:rsidP="00C93B0F">
      <w:pPr>
        <w:pStyle w:val="005"/>
        <w:spacing w:before="120" w:after="120"/>
        <w:ind w:firstLine="480"/>
      </w:pPr>
      <w:r w:rsidRPr="00DA3766">
        <w:t>2</w:t>
      </w:r>
      <w:r w:rsidRPr="00DA3766">
        <w:t>、本承诺人通过本次交易取得的上市公司股份而享有的公司送红股、转增股本等股份，同时遵照上述锁定期进行锁定。</w:t>
      </w:r>
    </w:p>
    <w:p w14:paraId="61CFB198" w14:textId="6331465F" w:rsidR="00B07D82" w:rsidRPr="00DA3766" w:rsidRDefault="00B07D82" w:rsidP="00C93B0F">
      <w:pPr>
        <w:pStyle w:val="005"/>
        <w:spacing w:before="120" w:after="120"/>
        <w:ind w:firstLine="480"/>
      </w:pPr>
      <w:r w:rsidRPr="00DA3766">
        <w:t>3</w:t>
      </w:r>
      <w:r w:rsidRPr="00DA3766">
        <w:t>、若本承诺人上述锁定期的安排与中国证监会等监管部门的最新监管意见不符的，本承诺人将与上市公司根据监管部门的最新监管意见对锁定期安排予以调整。</w:t>
      </w:r>
      <w:r w:rsidRPr="00DA3766">
        <w:rPr>
          <w:rFonts w:ascii="宋体" w:hAnsi="宋体"/>
        </w:rPr>
        <w:t>”</w:t>
      </w:r>
    </w:p>
    <w:p w14:paraId="76D533E1" w14:textId="1AB3F1D7" w:rsidR="00B07D82" w:rsidRPr="00DA3766" w:rsidRDefault="00B07D82" w:rsidP="00C93B0F">
      <w:pPr>
        <w:pStyle w:val="005"/>
        <w:spacing w:before="120" w:after="120"/>
        <w:ind w:firstLine="480"/>
      </w:pPr>
      <w:r w:rsidRPr="00DA3766">
        <w:t>因此，上市公司实际控制人马学沛先生持有上市公司股份的相关锁定期安排符合《上市公司收购管理办法》第七十四条的规定。</w:t>
      </w:r>
      <w:bookmarkEnd w:id="213"/>
    </w:p>
    <w:p w14:paraId="71C525B2" w14:textId="586E8949" w:rsidR="00B07D82" w:rsidRPr="00DA3766" w:rsidRDefault="002B58E7" w:rsidP="00C93B0F">
      <w:pPr>
        <w:pStyle w:val="005"/>
        <w:spacing w:before="120" w:after="120"/>
        <w:ind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九、本次交易符合《上市公司收购管理办法》第七十四条的规定</w:t>
      </w:r>
      <w:r w:rsidRPr="00DA3766">
        <w:rPr>
          <w:rFonts w:ascii="宋体" w:hAnsi="宋体"/>
        </w:rPr>
        <w:t>”</w:t>
      </w:r>
      <w:r w:rsidRPr="00DA3766">
        <w:t>补充披露。</w:t>
      </w:r>
    </w:p>
    <w:p w14:paraId="15BF0304" w14:textId="77777777" w:rsidR="00E76498" w:rsidRDefault="00E76498" w:rsidP="00E76498">
      <w:pPr>
        <w:pStyle w:val="002"/>
        <w:spacing w:before="120" w:after="120"/>
        <w:ind w:firstLine="482"/>
      </w:pPr>
      <w:bookmarkStart w:id="214" w:name="_Toc220344123"/>
      <w:r w:rsidRPr="00DA3766">
        <w:lastRenderedPageBreak/>
        <w:t>七</w:t>
      </w:r>
      <w:r>
        <w:rPr>
          <w:rFonts w:hint="eastAsia"/>
        </w:rPr>
        <w:t>、中介机构</w:t>
      </w:r>
      <w:r w:rsidRPr="001006E9">
        <w:t>核查过程及核查意见</w:t>
      </w:r>
    </w:p>
    <w:p w14:paraId="5BE378AF"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4099AF4F" w14:textId="77777777" w:rsidR="00E76498" w:rsidRPr="00DA3766" w:rsidRDefault="00E76498" w:rsidP="00E76498">
      <w:pPr>
        <w:pStyle w:val="004"/>
        <w:spacing w:before="120" w:after="120"/>
        <w:ind w:firstLine="482"/>
      </w:pPr>
      <w:r>
        <w:rPr>
          <w:rFonts w:hint="eastAsia"/>
        </w:rPr>
        <w:t>1</w:t>
      </w:r>
      <w:r>
        <w:rPr>
          <w:rFonts w:hint="eastAsia"/>
        </w:rPr>
        <w:t>、</w:t>
      </w:r>
      <w:r w:rsidRPr="00DA3766">
        <w:t>核查程序</w:t>
      </w:r>
    </w:p>
    <w:p w14:paraId="62E74C74" w14:textId="77777777" w:rsidR="00E76498" w:rsidRPr="00DA3766" w:rsidRDefault="00E76498" w:rsidP="00E76498">
      <w:pPr>
        <w:pStyle w:val="005"/>
        <w:spacing w:before="120" w:after="120"/>
        <w:ind w:firstLine="480"/>
      </w:pPr>
      <w:r w:rsidRPr="00DA3766">
        <w:t>针对前述事项，独立财务顾问主要实施了以下核查程序：</w:t>
      </w:r>
    </w:p>
    <w:p w14:paraId="5E6CE76A"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查阅了《重组报告书》《发行股份及支付现金购买资产协议》；</w:t>
      </w:r>
    </w:p>
    <w:p w14:paraId="12F6AF38"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查阅了非自然人交易对方的工商档案、章程</w:t>
      </w:r>
      <w:r w:rsidRPr="00DA3766">
        <w:t>/</w:t>
      </w:r>
      <w:r w:rsidRPr="00DA3766">
        <w:t>合伙协议；</w:t>
      </w:r>
    </w:p>
    <w:p w14:paraId="1CACA56D"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查阅了交易对方填写的调查表；</w:t>
      </w:r>
    </w:p>
    <w:p w14:paraId="26531546"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通过国家企业信用信息公示系统、中国证券投资基金业协会公开查询非自然人交易对方的相关信息；</w:t>
      </w:r>
    </w:p>
    <w:p w14:paraId="5C63EDA1"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063A1D">
        <w:t>查阅并取得了相关交易对方执行事务合伙人出具的专项承诺</w:t>
      </w:r>
      <w:r w:rsidRPr="00DA3766">
        <w:t>；</w:t>
      </w:r>
    </w:p>
    <w:p w14:paraId="00A0131B"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查阅了广发信德科文及其管理人广发信德投资管理有限公司就私募基金存续期满足本次交易锁定期事宜出具的承诺函；</w:t>
      </w:r>
    </w:p>
    <w:p w14:paraId="1809AF94"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查阅了相关交易对手出具的关于本次锁定期事宜的承诺函；</w:t>
      </w:r>
    </w:p>
    <w:p w14:paraId="46A18028"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查阅了张杰波与杨凯然的《代持还原协议》、陈耿豪与王佳的《股权激励授予协议》《借款协议》《委托代持协议》《代持解除协议》；</w:t>
      </w:r>
    </w:p>
    <w:p w14:paraId="3CBE5722"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查阅了上市公司实际控制人出具的关于所持上市公司股份锁定的承诺函。</w:t>
      </w:r>
    </w:p>
    <w:p w14:paraId="6D21985A"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3CDEAF34" w14:textId="77777777" w:rsidR="00E76498" w:rsidRPr="00DA3766" w:rsidRDefault="00E76498" w:rsidP="00E76498">
      <w:pPr>
        <w:pStyle w:val="005"/>
        <w:spacing w:before="120" w:after="120"/>
        <w:ind w:firstLine="480"/>
      </w:pPr>
      <w:r w:rsidRPr="00DA3766">
        <w:t>经核查，独立财务顾问认为：</w:t>
      </w:r>
    </w:p>
    <w:p w14:paraId="45F43721"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本次交易的非自然人交易对方均非专为本次交易设立，但基于审慎性考虑，截至本回复出具之日，无其他对外投资的非自然人交易对方乐熙熙、乐腾腾、深圳市前海千意智合三期、乐哈哈、乐摇、乐陶陶</w:t>
      </w:r>
      <w:r>
        <w:rPr>
          <w:rFonts w:hint="eastAsia"/>
        </w:rPr>
        <w:t>执行事务</w:t>
      </w:r>
      <w:r w:rsidRPr="00DA3766">
        <w:t>合伙人</w:t>
      </w:r>
      <w:r>
        <w:rPr>
          <w:rFonts w:hint="eastAsia"/>
        </w:rPr>
        <w:t>已</w:t>
      </w:r>
      <w:r w:rsidRPr="00DA3766">
        <w:t>出具合法有效的专项承诺，本次交易对方的锁定期安排符合相关法律规定；</w:t>
      </w:r>
    </w:p>
    <w:p w14:paraId="44F3D3A4"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标的公司穿透后的股东人数合计</w:t>
      </w:r>
      <w:r w:rsidRPr="00DA3766">
        <w:t>107</w:t>
      </w:r>
      <w:r w:rsidRPr="00DA3766">
        <w:t>人，交易对手穿透后的股东人数合计</w:t>
      </w:r>
      <w:r w:rsidRPr="00DA3766">
        <w:t>106</w:t>
      </w:r>
      <w:r w:rsidRPr="00DA3766">
        <w:t>人，均未超过</w:t>
      </w:r>
      <w:r w:rsidRPr="00DA3766">
        <w:t>200</w:t>
      </w:r>
      <w:r w:rsidRPr="00DA3766">
        <w:t>人。本次交易符合《证券法》发行对象不超过</w:t>
      </w:r>
      <w:r w:rsidRPr="00DA3766">
        <w:t>200</w:t>
      </w:r>
      <w:r w:rsidRPr="00DA3766">
        <w:t>名的相关规定，标的资产符合《非上市公众公司监管指引第</w:t>
      </w:r>
      <w:r w:rsidRPr="00DA3766">
        <w:t>4</w:t>
      </w:r>
      <w:r w:rsidRPr="00DA3766">
        <w:t>号</w:t>
      </w:r>
      <w:r w:rsidRPr="00DA3766">
        <w:t>—</w:t>
      </w:r>
      <w:r w:rsidRPr="00DA3766">
        <w:t>股东人数超过</w:t>
      </w:r>
      <w:r w:rsidRPr="00DA3766">
        <w:lastRenderedPageBreak/>
        <w:t>200</w:t>
      </w:r>
      <w:r w:rsidRPr="00DA3766">
        <w:t>人的未上市股份有限公司申请行政许可有关问题的审核指引》的相关规定；</w:t>
      </w:r>
    </w:p>
    <w:p w14:paraId="590B0E92"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广发信德科文及其基金管理人广发信德投资管理有限公司已就私募基金存续期满足本次交易锁定期事宜出具了相关承诺，确保锁定期能够有效履行；</w:t>
      </w:r>
    </w:p>
    <w:p w14:paraId="183AE8A2"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本次交易的相关交易对方对于本次交易完成后所获得的股份均出具了锁定承诺，相关锁定期安排符合《重组办法》第四十七条的规定；</w:t>
      </w:r>
    </w:p>
    <w:p w14:paraId="26FB506A"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B41CE7">
        <w:t>杨凯然、张杰波、胡俊、王佳四名交易对方通过持股平台持股与直接持股对标的资产的实际影响和相关权利义务虽存在差异，但四名交易对方的锁定期安排己根据相关法律法规要求进行约定，符合《重组办法》第四十七条的规定；</w:t>
      </w:r>
    </w:p>
    <w:p w14:paraId="1248C9E1" w14:textId="77777777" w:rsidR="00E76498" w:rsidRDefault="00E76498" w:rsidP="00E76498">
      <w:pPr>
        <w:pStyle w:val="005"/>
        <w:spacing w:before="120" w:after="120"/>
        <w:ind w:firstLine="480"/>
      </w:pPr>
      <w:r>
        <w:rPr>
          <w:rFonts w:hint="eastAsia"/>
        </w:rPr>
        <w:t>（</w:t>
      </w:r>
      <w:r>
        <w:rPr>
          <w:rFonts w:hint="eastAsia"/>
        </w:rPr>
        <w:t>6</w:t>
      </w:r>
      <w:r>
        <w:rPr>
          <w:rFonts w:hint="eastAsia"/>
        </w:rPr>
        <w:t>）</w:t>
      </w:r>
      <w:r w:rsidRPr="00DA3766">
        <w:t>上市公司实际控制人马学沛先生持有上市公司股份的相关锁定期安排符合《上市公司收购管理办法》第七十四条的规定。</w:t>
      </w:r>
    </w:p>
    <w:p w14:paraId="0D756846" w14:textId="77777777" w:rsidR="00E76498" w:rsidRPr="00DA3766" w:rsidRDefault="00E76498" w:rsidP="00E76498">
      <w:pPr>
        <w:pStyle w:val="003"/>
        <w:spacing w:before="120" w:after="120"/>
        <w:ind w:firstLine="482"/>
      </w:pPr>
      <w:r>
        <w:rPr>
          <w:rFonts w:hint="eastAsia"/>
        </w:rPr>
        <w:t>（二）律师</w:t>
      </w:r>
      <w:r w:rsidRPr="00DA3766">
        <w:t>核查过程及核查意见</w:t>
      </w:r>
    </w:p>
    <w:p w14:paraId="6C2E0D5C"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3DC36AA6" w14:textId="77777777" w:rsidR="00E76498" w:rsidRDefault="00E76498" w:rsidP="00E76498">
      <w:pPr>
        <w:pStyle w:val="005"/>
        <w:spacing w:before="120" w:after="120"/>
        <w:ind w:firstLine="480"/>
      </w:pPr>
      <w:r w:rsidRPr="00E1090C">
        <w:t>针对前述事项，</w:t>
      </w:r>
      <w:r>
        <w:rPr>
          <w:rFonts w:hint="eastAsia"/>
        </w:rPr>
        <w:t>律师</w:t>
      </w:r>
      <w:r w:rsidRPr="00E1090C">
        <w:t>主要实施了以下核查程序：</w:t>
      </w:r>
    </w:p>
    <w:p w14:paraId="0CDF2F42" w14:textId="77777777" w:rsidR="00E76498" w:rsidRDefault="00E76498" w:rsidP="00E76498">
      <w:pPr>
        <w:pStyle w:val="005"/>
        <w:spacing w:before="120" w:after="120"/>
        <w:ind w:firstLine="480"/>
      </w:pPr>
      <w:r>
        <w:rPr>
          <w:rFonts w:hint="eastAsia"/>
        </w:rPr>
        <w:t>（</w:t>
      </w:r>
      <w:r>
        <w:rPr>
          <w:rFonts w:hint="eastAsia"/>
        </w:rPr>
        <w:t>1</w:t>
      </w:r>
      <w:r>
        <w:rPr>
          <w:rFonts w:hint="eastAsia"/>
        </w:rPr>
        <w:t>）查阅了《重组报告书》《发行股份及支付现金购买资产协议》；</w:t>
      </w:r>
    </w:p>
    <w:p w14:paraId="6924BF5B" w14:textId="77777777" w:rsidR="00E76498" w:rsidRDefault="00E76498" w:rsidP="00E76498">
      <w:pPr>
        <w:pStyle w:val="005"/>
        <w:spacing w:before="120" w:after="120"/>
        <w:ind w:firstLine="480"/>
      </w:pPr>
      <w:r>
        <w:rPr>
          <w:rFonts w:hint="eastAsia"/>
        </w:rPr>
        <w:t>（</w:t>
      </w:r>
      <w:r>
        <w:rPr>
          <w:rFonts w:hint="eastAsia"/>
        </w:rPr>
        <w:t>2</w:t>
      </w:r>
      <w:r>
        <w:rPr>
          <w:rFonts w:hint="eastAsia"/>
        </w:rPr>
        <w:t>）查阅了非自然人交易对方的工商档案、章程</w:t>
      </w:r>
      <w:r>
        <w:rPr>
          <w:rFonts w:hint="eastAsia"/>
        </w:rPr>
        <w:t>/</w:t>
      </w:r>
      <w:r>
        <w:rPr>
          <w:rFonts w:hint="eastAsia"/>
        </w:rPr>
        <w:t>合伙协议；</w:t>
      </w:r>
    </w:p>
    <w:p w14:paraId="41CDF1BB" w14:textId="77777777" w:rsidR="00E76498" w:rsidRDefault="00E76498" w:rsidP="00E76498">
      <w:pPr>
        <w:pStyle w:val="005"/>
        <w:spacing w:before="120" w:after="120"/>
        <w:ind w:firstLine="480"/>
      </w:pPr>
      <w:r>
        <w:rPr>
          <w:rFonts w:hint="eastAsia"/>
        </w:rPr>
        <w:t>（</w:t>
      </w:r>
      <w:r>
        <w:rPr>
          <w:rFonts w:hint="eastAsia"/>
        </w:rPr>
        <w:t>3</w:t>
      </w:r>
      <w:r>
        <w:rPr>
          <w:rFonts w:hint="eastAsia"/>
        </w:rPr>
        <w:t>）查阅了交易对方填写的调查表；</w:t>
      </w:r>
    </w:p>
    <w:p w14:paraId="14BF6D73" w14:textId="77777777" w:rsidR="00E76498" w:rsidRDefault="00E76498" w:rsidP="00E76498">
      <w:pPr>
        <w:pStyle w:val="005"/>
        <w:spacing w:before="120" w:after="120"/>
        <w:ind w:firstLine="480"/>
      </w:pPr>
      <w:r>
        <w:rPr>
          <w:rFonts w:hint="eastAsia"/>
        </w:rPr>
        <w:t>（</w:t>
      </w:r>
      <w:r>
        <w:rPr>
          <w:rFonts w:hint="eastAsia"/>
        </w:rPr>
        <w:t>4</w:t>
      </w:r>
      <w:r>
        <w:rPr>
          <w:rFonts w:hint="eastAsia"/>
        </w:rPr>
        <w:t>）通过国家企业信用信息公示系统、中国证券投资基金业协会公开查询非自然人交易对方的相关信息；</w:t>
      </w:r>
    </w:p>
    <w:p w14:paraId="0ED69871" w14:textId="77777777" w:rsidR="00E76498" w:rsidRDefault="00E76498" w:rsidP="00E76498">
      <w:pPr>
        <w:pStyle w:val="005"/>
        <w:spacing w:before="120" w:after="120"/>
        <w:ind w:firstLine="480"/>
      </w:pPr>
      <w:r>
        <w:rPr>
          <w:rFonts w:hint="eastAsia"/>
        </w:rPr>
        <w:t>（</w:t>
      </w:r>
      <w:r>
        <w:rPr>
          <w:rFonts w:hint="eastAsia"/>
        </w:rPr>
        <w:t>5</w:t>
      </w:r>
      <w:r>
        <w:rPr>
          <w:rFonts w:hint="eastAsia"/>
        </w:rPr>
        <w:t>）查阅并取得了相关交易对方执行事务合伙人出具的专项承诺；</w:t>
      </w:r>
    </w:p>
    <w:p w14:paraId="59A2DB59" w14:textId="77777777" w:rsidR="00E76498" w:rsidRDefault="00E76498" w:rsidP="00E76498">
      <w:pPr>
        <w:pStyle w:val="005"/>
        <w:spacing w:before="120" w:after="120"/>
        <w:ind w:firstLine="480"/>
      </w:pPr>
      <w:r>
        <w:rPr>
          <w:rFonts w:hint="eastAsia"/>
        </w:rPr>
        <w:t>（</w:t>
      </w:r>
      <w:r>
        <w:rPr>
          <w:rFonts w:hint="eastAsia"/>
        </w:rPr>
        <w:t>6</w:t>
      </w:r>
      <w:r>
        <w:rPr>
          <w:rFonts w:hint="eastAsia"/>
        </w:rPr>
        <w:t>）查阅了广发信德科文及其管理人广发信德投资管理有限公司就私募基金存续期满足本次交易锁定期事宜出具的承诺函；</w:t>
      </w:r>
    </w:p>
    <w:p w14:paraId="57C5DD4B" w14:textId="77777777" w:rsidR="00E76498" w:rsidRDefault="00E76498" w:rsidP="00E76498">
      <w:pPr>
        <w:pStyle w:val="005"/>
        <w:spacing w:before="120" w:after="120"/>
        <w:ind w:firstLine="480"/>
      </w:pPr>
      <w:r>
        <w:rPr>
          <w:rFonts w:hint="eastAsia"/>
        </w:rPr>
        <w:t>（</w:t>
      </w:r>
      <w:r>
        <w:rPr>
          <w:rFonts w:hint="eastAsia"/>
        </w:rPr>
        <w:t>7</w:t>
      </w:r>
      <w:r>
        <w:rPr>
          <w:rFonts w:hint="eastAsia"/>
        </w:rPr>
        <w:t>）查阅了相关交易对手出具的关于本次锁定期事宜的承诺函；</w:t>
      </w:r>
    </w:p>
    <w:p w14:paraId="5CC758AA" w14:textId="77777777" w:rsidR="00E76498" w:rsidRDefault="00E76498" w:rsidP="00E76498">
      <w:pPr>
        <w:pStyle w:val="005"/>
        <w:spacing w:before="120" w:after="120"/>
        <w:ind w:firstLine="480"/>
      </w:pPr>
      <w:r>
        <w:rPr>
          <w:rFonts w:hint="eastAsia"/>
        </w:rPr>
        <w:t>（</w:t>
      </w:r>
      <w:r>
        <w:rPr>
          <w:rFonts w:hint="eastAsia"/>
        </w:rPr>
        <w:t>8</w:t>
      </w:r>
      <w:r>
        <w:rPr>
          <w:rFonts w:hint="eastAsia"/>
        </w:rPr>
        <w:t>）查阅了张杰波与杨凯然的《代持还原协议》、陈耿豪与王佳的《股权激励授予协议》《借款协议》《委托代持协议》《代持解除协议》；</w:t>
      </w:r>
    </w:p>
    <w:p w14:paraId="66A16A77" w14:textId="77777777" w:rsidR="00E76498" w:rsidRDefault="00E76498" w:rsidP="00E76498">
      <w:pPr>
        <w:pStyle w:val="005"/>
        <w:spacing w:before="120" w:after="120"/>
        <w:ind w:firstLine="480"/>
      </w:pPr>
      <w:r>
        <w:rPr>
          <w:rFonts w:hint="eastAsia"/>
        </w:rPr>
        <w:t>（</w:t>
      </w:r>
      <w:r>
        <w:rPr>
          <w:rFonts w:hint="eastAsia"/>
        </w:rPr>
        <w:t>9</w:t>
      </w:r>
      <w:r>
        <w:rPr>
          <w:rFonts w:hint="eastAsia"/>
        </w:rPr>
        <w:t>）查阅了上市公司实际控制人出具的关于所持上市公司股份锁定的承诺函。</w:t>
      </w:r>
    </w:p>
    <w:p w14:paraId="597E48F8" w14:textId="77777777" w:rsidR="00E76498" w:rsidRDefault="00E76498" w:rsidP="00E76498">
      <w:pPr>
        <w:pStyle w:val="004"/>
        <w:spacing w:before="120" w:after="120"/>
        <w:ind w:firstLine="482"/>
      </w:pPr>
      <w:r>
        <w:rPr>
          <w:rFonts w:hint="eastAsia"/>
        </w:rPr>
        <w:lastRenderedPageBreak/>
        <w:t>2</w:t>
      </w:r>
      <w:r>
        <w:rPr>
          <w:rFonts w:hint="eastAsia"/>
        </w:rPr>
        <w:t>、核查意见</w:t>
      </w:r>
    </w:p>
    <w:p w14:paraId="5CC247F4" w14:textId="77777777" w:rsidR="00E76498" w:rsidRDefault="00E76498" w:rsidP="00E76498">
      <w:pPr>
        <w:pStyle w:val="005"/>
        <w:spacing w:before="120" w:after="120"/>
        <w:ind w:firstLine="480"/>
      </w:pPr>
      <w:r w:rsidRPr="00DA3766">
        <w:t>经核查，</w:t>
      </w:r>
      <w:r>
        <w:rPr>
          <w:rFonts w:hint="eastAsia"/>
        </w:rPr>
        <w:t>律师</w:t>
      </w:r>
      <w:r w:rsidRPr="00DA3766">
        <w:t>认为：</w:t>
      </w:r>
    </w:p>
    <w:p w14:paraId="244F5121" w14:textId="77777777" w:rsidR="00E76498" w:rsidRDefault="00E76498" w:rsidP="00E76498">
      <w:pPr>
        <w:pStyle w:val="005"/>
        <w:spacing w:before="120" w:after="120"/>
        <w:ind w:firstLine="480"/>
      </w:pPr>
      <w:r>
        <w:rPr>
          <w:rFonts w:hint="eastAsia"/>
        </w:rPr>
        <w:t>（</w:t>
      </w:r>
      <w:r>
        <w:rPr>
          <w:rFonts w:hint="eastAsia"/>
        </w:rPr>
        <w:t>1</w:t>
      </w:r>
      <w:r>
        <w:rPr>
          <w:rFonts w:hint="eastAsia"/>
        </w:rPr>
        <w:t>）本次交易的非自然人交易对方均非专为本次交易设立，但基于审慎性考虑，截至本补充法律意见书出具之日，无其他对外投资的非自然人交易对方乐熙熙、乐腾腾、深圳市前海千意智合三期、乐哈哈、乐摇、乐陶陶执行事务合伙人已出具合法有效的专项承诺，本次交易对方的锁定期安排符合相关法律规定；</w:t>
      </w:r>
    </w:p>
    <w:p w14:paraId="11E831A3" w14:textId="77777777" w:rsidR="00E76498" w:rsidRDefault="00E76498" w:rsidP="00E76498">
      <w:pPr>
        <w:pStyle w:val="005"/>
        <w:spacing w:before="120" w:after="120"/>
        <w:ind w:firstLine="480"/>
      </w:pPr>
      <w:r>
        <w:rPr>
          <w:rFonts w:hint="eastAsia"/>
        </w:rPr>
        <w:t>（</w:t>
      </w:r>
      <w:r>
        <w:rPr>
          <w:rFonts w:hint="eastAsia"/>
        </w:rPr>
        <w:t>2</w:t>
      </w:r>
      <w:r>
        <w:rPr>
          <w:rFonts w:hint="eastAsia"/>
        </w:rPr>
        <w:t>）标的公司穿透后的股东人数合计</w:t>
      </w:r>
      <w:r>
        <w:rPr>
          <w:rFonts w:hint="eastAsia"/>
        </w:rPr>
        <w:t>107</w:t>
      </w:r>
      <w:r>
        <w:rPr>
          <w:rFonts w:hint="eastAsia"/>
        </w:rPr>
        <w:t>人，交易对手穿透后的股东人数合计</w:t>
      </w:r>
      <w:r>
        <w:rPr>
          <w:rFonts w:hint="eastAsia"/>
        </w:rPr>
        <w:t>106</w:t>
      </w:r>
      <w:r>
        <w:rPr>
          <w:rFonts w:hint="eastAsia"/>
        </w:rPr>
        <w:t>人，均未超过</w:t>
      </w:r>
      <w:r>
        <w:rPr>
          <w:rFonts w:hint="eastAsia"/>
        </w:rPr>
        <w:t>200</w:t>
      </w:r>
      <w:r>
        <w:rPr>
          <w:rFonts w:hint="eastAsia"/>
        </w:rPr>
        <w:t>人。本次交易符合《证券法》发行对象不超过</w:t>
      </w:r>
      <w:r>
        <w:rPr>
          <w:rFonts w:hint="eastAsia"/>
        </w:rPr>
        <w:t>200</w:t>
      </w:r>
      <w:r>
        <w:rPr>
          <w:rFonts w:hint="eastAsia"/>
        </w:rPr>
        <w:t>名的相关规定，标的资产符合《非上市公众公司监管指引第</w:t>
      </w:r>
      <w:r>
        <w:rPr>
          <w:rFonts w:hint="eastAsia"/>
        </w:rPr>
        <w:t>4</w:t>
      </w:r>
      <w:r>
        <w:rPr>
          <w:rFonts w:hint="eastAsia"/>
        </w:rPr>
        <w:t>号—股东人数超过</w:t>
      </w:r>
      <w:r>
        <w:rPr>
          <w:rFonts w:hint="eastAsia"/>
        </w:rPr>
        <w:t>200</w:t>
      </w:r>
      <w:r>
        <w:rPr>
          <w:rFonts w:hint="eastAsia"/>
        </w:rPr>
        <w:t>人的未上市股份有限公司申请行政许可有关问题的审核指引》的相关规定；</w:t>
      </w:r>
    </w:p>
    <w:p w14:paraId="13C4FB1B" w14:textId="77777777" w:rsidR="00E76498" w:rsidRDefault="00E76498" w:rsidP="00E76498">
      <w:pPr>
        <w:pStyle w:val="005"/>
        <w:spacing w:before="120" w:after="120"/>
        <w:ind w:firstLine="480"/>
      </w:pPr>
      <w:r>
        <w:rPr>
          <w:rFonts w:hint="eastAsia"/>
        </w:rPr>
        <w:t>（</w:t>
      </w:r>
      <w:r>
        <w:rPr>
          <w:rFonts w:hint="eastAsia"/>
        </w:rPr>
        <w:t>3</w:t>
      </w:r>
      <w:r>
        <w:rPr>
          <w:rFonts w:hint="eastAsia"/>
        </w:rPr>
        <w:t>）广发信德科文及其基金管理人广发信德投资管理有限公司已就私募基金存续期满足本次交易锁定期事宜出具了相关承诺，确保锁定期能够有效履行；</w:t>
      </w:r>
    </w:p>
    <w:p w14:paraId="06E1F9D4" w14:textId="77777777" w:rsidR="00E76498" w:rsidRDefault="00E76498" w:rsidP="00E76498">
      <w:pPr>
        <w:pStyle w:val="005"/>
        <w:spacing w:before="120" w:after="120"/>
        <w:ind w:firstLine="480"/>
      </w:pPr>
      <w:r>
        <w:rPr>
          <w:rFonts w:hint="eastAsia"/>
        </w:rPr>
        <w:t>（</w:t>
      </w:r>
      <w:r>
        <w:rPr>
          <w:rFonts w:hint="eastAsia"/>
        </w:rPr>
        <w:t>4</w:t>
      </w:r>
      <w:r>
        <w:rPr>
          <w:rFonts w:hint="eastAsia"/>
        </w:rPr>
        <w:t>）本次交易的相关交易对方对于本次交易完成后所获得的股份均出具了锁定承诺，相关锁定期安排符合《重组办法》第四十七条的规定；</w:t>
      </w:r>
    </w:p>
    <w:p w14:paraId="2639E447" w14:textId="77777777" w:rsidR="00E76498" w:rsidRDefault="00E76498" w:rsidP="00E76498">
      <w:pPr>
        <w:pStyle w:val="005"/>
        <w:spacing w:before="120" w:after="120"/>
        <w:ind w:firstLine="480"/>
      </w:pPr>
      <w:r>
        <w:rPr>
          <w:rFonts w:hint="eastAsia"/>
        </w:rPr>
        <w:t>（</w:t>
      </w:r>
      <w:r>
        <w:rPr>
          <w:rFonts w:hint="eastAsia"/>
        </w:rPr>
        <w:t>5</w:t>
      </w:r>
      <w:r>
        <w:rPr>
          <w:rFonts w:hint="eastAsia"/>
        </w:rPr>
        <w:t>）杨凯然、张杰波、胡俊、王佳四名交易对方通过持股平台持股与直接持股对标的资产的实际影响和相关权利义务虽存在差异，但四名交易对方的锁定期安排已根据相关法律法规要求进行约定，符合《重组办法》第四十七条的规定；</w:t>
      </w:r>
    </w:p>
    <w:p w14:paraId="15F73C5B"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）上市公司实际控制人马学沛先生持有上市公司股份的相关锁定期安排符合《上市公司收购管理办法》第七十四条的规定。</w:t>
      </w:r>
    </w:p>
    <w:p w14:paraId="2FE7661A" w14:textId="2AE80100" w:rsidR="00E93DA8" w:rsidRPr="00DA3766" w:rsidRDefault="00E93DA8" w:rsidP="00E93DA8">
      <w:pPr>
        <w:pStyle w:val="001"/>
        <w:spacing w:before="120" w:after="120"/>
        <w:ind w:firstLine="480"/>
      </w:pPr>
      <w:r w:rsidRPr="00DA3766">
        <w:lastRenderedPageBreak/>
        <w:t>问题</w:t>
      </w:r>
      <w:r w:rsidR="00087694" w:rsidRPr="00DA3766">
        <w:t>8</w:t>
      </w:r>
      <w:r w:rsidRPr="00DA3766">
        <w:t>、</w:t>
      </w:r>
      <w:r w:rsidR="00087694" w:rsidRPr="00DA3766">
        <w:t>关于标的资产的历史沿革</w:t>
      </w:r>
      <w:bookmarkEnd w:id="214"/>
    </w:p>
    <w:p w14:paraId="5B44CDF5" w14:textId="6B422F0D" w:rsidR="00E93DA8" w:rsidRPr="00DA3766" w:rsidRDefault="00E93DA8" w:rsidP="00E93DA8">
      <w:pPr>
        <w:pStyle w:val="0050"/>
        <w:spacing w:before="120" w:after="120"/>
        <w:ind w:firstLine="480"/>
      </w:pPr>
      <w:r w:rsidRPr="00DA3766">
        <w:t>申请文件显示：</w:t>
      </w:r>
      <w:r w:rsidR="00087694" w:rsidRPr="00DA3766">
        <w:t>（</w:t>
      </w:r>
      <w:r w:rsidR="00087694" w:rsidRPr="00DA3766">
        <w:t>1</w:t>
      </w:r>
      <w:r w:rsidR="00087694" w:rsidRPr="00DA3766">
        <w:t>）历史期内，陈耿豪及乐</w:t>
      </w:r>
      <w:r w:rsidR="00B9064B" w:rsidRPr="00DA3766">
        <w:t>摇</w:t>
      </w:r>
      <w:r w:rsidR="00087694" w:rsidRPr="00DA3766">
        <w:t>等持股平台通过增资或股权转让的方式持有标的资产及标的资产前身深圳乐摇摇信息科技有限公司（以下简称乐摇摇）的股权。申报文件中未完整披露历次增资或股权转让的具体作价及对应的估值情况。（</w:t>
      </w:r>
      <w:r w:rsidR="00087694" w:rsidRPr="00DA3766">
        <w:t>2</w:t>
      </w:r>
      <w:r w:rsidR="00087694" w:rsidRPr="00DA3766">
        <w:t>）</w:t>
      </w:r>
      <w:r w:rsidR="00087694" w:rsidRPr="00DA3766">
        <w:t>2017</w:t>
      </w:r>
      <w:r w:rsidR="00087694" w:rsidRPr="00DA3766">
        <w:t>年</w:t>
      </w:r>
      <w:r w:rsidR="00087694" w:rsidRPr="00DA3766">
        <w:t>1</w:t>
      </w:r>
      <w:r w:rsidR="00087694" w:rsidRPr="00DA3766">
        <w:t>月，广发信德科文、珠海康远投资企业（有限合伙）（以下简称珠海康远）以</w:t>
      </w:r>
      <w:r w:rsidR="00087694" w:rsidRPr="00DA3766">
        <w:t>1000</w:t>
      </w:r>
      <w:r w:rsidR="00087694" w:rsidRPr="00DA3766">
        <w:t>万元增资，获得增资后乐摇摇</w:t>
      </w:r>
      <w:r w:rsidR="00087694" w:rsidRPr="00DA3766">
        <w:t>10%</w:t>
      </w:r>
      <w:r w:rsidR="00087694" w:rsidRPr="00DA3766">
        <w:t>的股权，同时乐摇将其持有乐摇摇增资完成后的</w:t>
      </w:r>
      <w:r w:rsidR="00087694" w:rsidRPr="00DA3766">
        <w:t>10%</w:t>
      </w:r>
      <w:r w:rsidR="00087694" w:rsidRPr="00DA3766">
        <w:t>股权以</w:t>
      </w:r>
      <w:r w:rsidR="00087694" w:rsidRPr="00DA3766">
        <w:t>400</w:t>
      </w:r>
      <w:r w:rsidR="00087694" w:rsidRPr="00DA3766">
        <w:t>万元转让给广发信德科文、珠海康远。（</w:t>
      </w:r>
      <w:r w:rsidR="00087694" w:rsidRPr="00DA3766">
        <w:t>3</w:t>
      </w:r>
      <w:r w:rsidR="00087694" w:rsidRPr="00DA3766">
        <w:t>）</w:t>
      </w:r>
      <w:r w:rsidR="00087694" w:rsidRPr="00DA3766">
        <w:t>2017</w:t>
      </w:r>
      <w:r w:rsidR="00087694" w:rsidRPr="00DA3766">
        <w:t>年</w:t>
      </w:r>
      <w:r w:rsidR="00087694" w:rsidRPr="00DA3766">
        <w:t>9</w:t>
      </w:r>
      <w:r w:rsidR="00087694" w:rsidRPr="00DA3766">
        <w:t>月</w:t>
      </w:r>
      <w:r w:rsidR="00087694" w:rsidRPr="00DA3766">
        <w:t>26</w:t>
      </w:r>
      <w:r w:rsidR="00087694" w:rsidRPr="00DA3766">
        <w:t>日，徐德强将所持有的乐摇摇</w:t>
      </w:r>
      <w:r w:rsidR="00087694" w:rsidRPr="00DA3766">
        <w:t>7.6502%</w:t>
      </w:r>
      <w:r w:rsidR="00087694" w:rsidRPr="00DA3766">
        <w:t>股权以</w:t>
      </w:r>
      <w:r w:rsidR="00087694" w:rsidRPr="00DA3766">
        <w:t>1.5009</w:t>
      </w:r>
      <w:r w:rsidR="00087694" w:rsidRPr="00DA3766">
        <w:t>万元转让给乐哈哈。</w:t>
      </w:r>
      <w:r w:rsidR="00087694" w:rsidRPr="00DA3766">
        <w:t>2017</w:t>
      </w:r>
      <w:r w:rsidR="00087694" w:rsidRPr="00DA3766">
        <w:t>年</w:t>
      </w:r>
      <w:r w:rsidR="00087694" w:rsidRPr="00DA3766">
        <w:t>9</w:t>
      </w:r>
      <w:r w:rsidR="00087694" w:rsidRPr="00DA3766">
        <w:t>月</w:t>
      </w:r>
      <w:r w:rsidR="00087694" w:rsidRPr="00DA3766">
        <w:t>28</w:t>
      </w:r>
      <w:r w:rsidR="00087694" w:rsidRPr="00DA3766">
        <w:t>日，乐哈哈将所持有的乐摇摇</w:t>
      </w:r>
      <w:r w:rsidR="00087694" w:rsidRPr="00DA3766">
        <w:t>3.8251%</w:t>
      </w:r>
      <w:r w:rsidR="00087694" w:rsidRPr="00DA3766">
        <w:t>股权以</w:t>
      </w:r>
      <w:r w:rsidR="00087694" w:rsidRPr="00DA3766">
        <w:t>1000</w:t>
      </w:r>
      <w:r w:rsidR="00087694" w:rsidRPr="00DA3766">
        <w:t>万元转让给南通成为常青。南通成为常青于</w:t>
      </w:r>
      <w:r w:rsidR="00087694" w:rsidRPr="00DA3766">
        <w:t>2017</w:t>
      </w:r>
      <w:r w:rsidR="00087694" w:rsidRPr="00DA3766">
        <w:t>年</w:t>
      </w:r>
      <w:r w:rsidR="00087694" w:rsidRPr="00DA3766">
        <w:t>7</w:t>
      </w:r>
      <w:r w:rsidR="00087694" w:rsidRPr="00DA3766">
        <w:t>月通过增资及受让股权成为乐摇摇股东。（</w:t>
      </w:r>
      <w:r w:rsidR="00087694" w:rsidRPr="00DA3766">
        <w:t>4</w:t>
      </w:r>
      <w:r w:rsidR="00087694" w:rsidRPr="00DA3766">
        <w:t>）</w:t>
      </w:r>
      <w:r w:rsidR="00087694" w:rsidRPr="00DA3766">
        <w:t>2021</w:t>
      </w:r>
      <w:r w:rsidR="00087694" w:rsidRPr="00DA3766">
        <w:t>年</w:t>
      </w:r>
      <w:r w:rsidR="00087694" w:rsidRPr="00DA3766">
        <w:t>10</w:t>
      </w:r>
      <w:r w:rsidR="00087694" w:rsidRPr="00DA3766">
        <w:t>月</w:t>
      </w:r>
      <w:r w:rsidR="00087694" w:rsidRPr="00DA3766">
        <w:t>25</w:t>
      </w:r>
      <w:r w:rsidR="00087694" w:rsidRPr="00DA3766">
        <w:t>日，乐腾腾以</w:t>
      </w:r>
      <w:r w:rsidR="00087694" w:rsidRPr="00DA3766">
        <w:t>7022.63</w:t>
      </w:r>
      <w:r w:rsidR="00087694" w:rsidRPr="00DA3766">
        <w:t>万元受让乐摇摇</w:t>
      </w:r>
      <w:r w:rsidR="00087694" w:rsidRPr="00DA3766">
        <w:t>4.29%</w:t>
      </w:r>
      <w:r w:rsidR="00087694" w:rsidRPr="00DA3766">
        <w:t>的股权；</w:t>
      </w:r>
      <w:r w:rsidR="00087694" w:rsidRPr="00DA3766">
        <w:t>2021</w:t>
      </w:r>
      <w:r w:rsidR="00087694" w:rsidRPr="00DA3766">
        <w:t>年</w:t>
      </w:r>
      <w:r w:rsidR="00087694" w:rsidRPr="00DA3766">
        <w:t>10</w:t>
      </w:r>
      <w:r w:rsidR="00087694" w:rsidRPr="00DA3766">
        <w:t>月</w:t>
      </w:r>
      <w:r w:rsidR="00087694" w:rsidRPr="00DA3766">
        <w:t>26</w:t>
      </w:r>
      <w:r w:rsidR="00087694" w:rsidRPr="00DA3766">
        <w:t>日，乐腾腾以</w:t>
      </w:r>
      <w:r w:rsidR="00087694" w:rsidRPr="00DA3766">
        <w:t>7500</w:t>
      </w:r>
      <w:r w:rsidR="00087694" w:rsidRPr="00DA3766">
        <w:t>万元转让乐摇摇</w:t>
      </w:r>
      <w:r w:rsidR="00087694" w:rsidRPr="00DA3766">
        <w:t>3.89%</w:t>
      </w:r>
      <w:r w:rsidR="00087694" w:rsidRPr="00DA3766">
        <w:t>的股权。（</w:t>
      </w:r>
      <w:r w:rsidR="00087694" w:rsidRPr="00DA3766">
        <w:t>5</w:t>
      </w:r>
      <w:r w:rsidR="00087694" w:rsidRPr="00DA3766">
        <w:t>）</w:t>
      </w:r>
      <w:r w:rsidR="00087694" w:rsidRPr="00DA3766">
        <w:t>2024</w:t>
      </w:r>
      <w:r w:rsidR="00087694" w:rsidRPr="00DA3766">
        <w:t>年</w:t>
      </w:r>
      <w:r w:rsidR="00087694" w:rsidRPr="00DA3766">
        <w:t>6</w:t>
      </w:r>
      <w:r w:rsidR="00087694" w:rsidRPr="00DA3766">
        <w:t>月以来，标的资产发生四次减资，累计十余名股东通过减资退出。</w:t>
      </w:r>
      <w:r w:rsidR="00087694" w:rsidRPr="00DA3766">
        <w:t>2024</w:t>
      </w:r>
      <w:r w:rsidR="00087694" w:rsidRPr="00DA3766">
        <w:t>年，标的资产净利润增长</w:t>
      </w:r>
      <w:r w:rsidR="00087694" w:rsidRPr="00DA3766">
        <w:t>180.98%</w:t>
      </w:r>
      <w:r w:rsidR="00087694" w:rsidRPr="00DA3766">
        <w:t>。（</w:t>
      </w:r>
      <w:r w:rsidR="00087694" w:rsidRPr="00DA3766">
        <w:t>6</w:t>
      </w:r>
      <w:r w:rsidR="00087694" w:rsidRPr="00DA3766">
        <w:t>）</w:t>
      </w:r>
      <w:r w:rsidR="00087694" w:rsidRPr="00DA3766">
        <w:t>2024</w:t>
      </w:r>
      <w:r w:rsidR="00087694" w:rsidRPr="00DA3766">
        <w:t>年</w:t>
      </w:r>
      <w:r w:rsidR="00087694" w:rsidRPr="00DA3766">
        <w:t>12</w:t>
      </w:r>
      <w:r w:rsidR="00087694" w:rsidRPr="00DA3766">
        <w:t>月，璀璨远见（深圳）企业管理合伙企业（有限合伙）（以下简称璀璨远见）、璀璨德商（深圳）创业投资中心（有限合伙）（以下简称璀璨德商）通过减资的方式减少了持有的标的资产股权；同月，璀璨远见、璀璨德商通过受让，增加了持有的标的资产股权。（</w:t>
      </w:r>
      <w:r w:rsidR="00087694" w:rsidRPr="00DA3766">
        <w:t>7</w:t>
      </w:r>
      <w:r w:rsidR="00087694" w:rsidRPr="00DA3766">
        <w:t>）</w:t>
      </w:r>
      <w:r w:rsidR="00087694" w:rsidRPr="00DA3766">
        <w:t>2025</w:t>
      </w:r>
      <w:r w:rsidR="00087694" w:rsidRPr="00DA3766">
        <w:t>年</w:t>
      </w:r>
      <w:r w:rsidR="00087694" w:rsidRPr="00DA3766">
        <w:t>3</w:t>
      </w:r>
      <w:r w:rsidR="00087694" w:rsidRPr="00DA3766">
        <w:t>月，杨裕雄以</w:t>
      </w:r>
      <w:r w:rsidR="00087694" w:rsidRPr="00DA3766">
        <w:t>195</w:t>
      </w:r>
      <w:r w:rsidR="00087694" w:rsidRPr="00DA3766">
        <w:t>万元受让标的资产</w:t>
      </w:r>
      <w:r w:rsidR="00087694" w:rsidRPr="00DA3766">
        <w:t>1.4368%</w:t>
      </w:r>
      <w:r w:rsidR="00087694" w:rsidRPr="00DA3766">
        <w:t>的股权，其持有的股权未纳入本次交易范围。（</w:t>
      </w:r>
      <w:r w:rsidR="00087694" w:rsidRPr="00DA3766">
        <w:t>8</w:t>
      </w:r>
      <w:r w:rsidR="00087694" w:rsidRPr="00DA3766">
        <w:t>）标的资产历史上存在由外部股东与标的资产及其实际控制人之间通过签署《股东协议》进行特殊权利约定（包括但不限于股权回购、股权转让限制、优先购买权、共同出售权、优先清算权、反稀释权）的情形</w:t>
      </w:r>
      <w:r w:rsidRPr="00DA3766">
        <w:t>。</w:t>
      </w:r>
    </w:p>
    <w:p w14:paraId="799E1A06" w14:textId="4810E9D9" w:rsidR="00E93DA8" w:rsidRPr="00DA3766" w:rsidRDefault="00E93DA8" w:rsidP="00E93DA8">
      <w:pPr>
        <w:pStyle w:val="0050"/>
        <w:spacing w:before="120" w:after="120"/>
        <w:ind w:firstLine="480"/>
      </w:pPr>
      <w:r w:rsidRPr="00DA3766">
        <w:t>请上市公司补充披露：</w:t>
      </w:r>
      <w:r w:rsidR="00087694" w:rsidRPr="00DA3766">
        <w:t>（</w:t>
      </w:r>
      <w:r w:rsidR="00087694" w:rsidRPr="00DA3766">
        <w:t>1</w:t>
      </w:r>
      <w:r w:rsidR="00087694" w:rsidRPr="00DA3766">
        <w:t>）详细列示补充标的资产及前身历次增资及股权转让的具体情况，作价是否公允，标的资产管理层及相关持股平台入股是否存在股份支付，股份支付费用计提是否准确，申报文件中相关财务数据是否准确。（</w:t>
      </w:r>
      <w:r w:rsidR="00087694" w:rsidRPr="00DA3766">
        <w:t>2</w:t>
      </w:r>
      <w:r w:rsidR="00087694" w:rsidRPr="00DA3766">
        <w:t>）广发信德科文、珠海康远增资对应的价格和受让股权对应的价格存在差异的原因及合理性。（</w:t>
      </w:r>
      <w:r w:rsidR="00087694" w:rsidRPr="00DA3766">
        <w:t>3</w:t>
      </w:r>
      <w:r w:rsidR="00087694" w:rsidRPr="00DA3766">
        <w:t>）乐哈哈在两日内受让即转让、乐腾腾在受让次日即转让，且受让与转让对应的估值存在差异的原因及商业合理性，同受让方与转让方是否存在关联关系或其他利益关系，是否存在利益输送，价格是否公允，是否构成股份支</w:t>
      </w:r>
      <w:r w:rsidR="00087694" w:rsidRPr="00DA3766">
        <w:lastRenderedPageBreak/>
        <w:t>付，是否计提相关费用，费用计提是否充分、准确、完整，申报文件中相关财务数据是否准确。（</w:t>
      </w:r>
      <w:r w:rsidR="00087694" w:rsidRPr="00DA3766">
        <w:t>4</w:t>
      </w:r>
      <w:r w:rsidR="00087694" w:rsidRPr="00DA3766">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rsidR="00087694" w:rsidRPr="00DA3766">
        <w:t>2024</w:t>
      </w:r>
      <w:r w:rsidR="00087694" w:rsidRPr="00DA3766">
        <w:t>年收入利润增长的情况下四次减资的原因与商业逻辑，标的资产的生产经营及所处行业是否存在不利因素，上市公司在外部股东减资退出的情况下以</w:t>
      </w:r>
      <w:r w:rsidR="00087694" w:rsidRPr="00DA3766">
        <w:t>649.77%</w:t>
      </w:r>
      <w:r w:rsidR="00087694" w:rsidRPr="00DA3766">
        <w:t>的增值率收购标的资产的原因及合理性，本次交易是否有利于提高上市公司资产质量、增强持续经营能力。（</w:t>
      </w:r>
      <w:r w:rsidR="00087694" w:rsidRPr="00DA3766">
        <w:t>5</w:t>
      </w:r>
      <w:r w:rsidR="00087694" w:rsidRPr="00DA3766">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rsidR="00087694" w:rsidRPr="00DA3766">
        <w:t>6</w:t>
      </w:r>
      <w:r w:rsidR="00087694" w:rsidRPr="00DA3766">
        <w:t>）杨裕雄在上市公司董事会就本次交易申请停牌前</w:t>
      </w:r>
      <w:r w:rsidR="00087694" w:rsidRPr="00DA3766">
        <w:t>6</w:t>
      </w:r>
      <w:r w:rsidR="00087694" w:rsidRPr="00DA3766">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r w:rsidR="00087694" w:rsidRPr="00DA3766">
        <w:t>7</w:t>
      </w:r>
      <w:r w:rsidR="00087694" w:rsidRPr="00DA3766">
        <w:t>）标的资产是否存在股权代持、股权质押冻结、争议纠纷或潜在纠纷，股权是否清晰等情形，未来资产过户是否不存在障碍。（</w:t>
      </w:r>
      <w:r w:rsidR="00087694" w:rsidRPr="00DA3766">
        <w:t>8</w:t>
      </w:r>
      <w:r w:rsidR="00087694" w:rsidRPr="00DA3766">
        <w:t>）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r w:rsidRPr="00DA3766">
        <w:t>。</w:t>
      </w:r>
    </w:p>
    <w:p w14:paraId="1BC01801" w14:textId="3DD23FF8" w:rsidR="00E93DA8" w:rsidRPr="00DA3766" w:rsidRDefault="00087694" w:rsidP="00E93DA8">
      <w:pPr>
        <w:pStyle w:val="0050"/>
        <w:spacing w:before="120" w:after="120"/>
        <w:ind w:firstLine="480"/>
      </w:pPr>
      <w:r w:rsidRPr="00DA3766">
        <w:t>请独立财务顾问和律师核查并发表明确意见。请会计师对（</w:t>
      </w:r>
      <w:r w:rsidRPr="00DA3766">
        <w:t>1</w:t>
      </w:r>
      <w:r w:rsidRPr="00DA3766">
        <w:t>）（</w:t>
      </w:r>
      <w:r w:rsidRPr="00DA3766">
        <w:t>3</w:t>
      </w:r>
      <w:r w:rsidRPr="00DA3766">
        <w:t>）（</w:t>
      </w:r>
      <w:r w:rsidRPr="00DA3766">
        <w:t>4</w:t>
      </w:r>
      <w:r w:rsidRPr="00DA3766">
        <w:t>）（</w:t>
      </w:r>
      <w:r w:rsidRPr="00DA3766">
        <w:t>5</w:t>
      </w:r>
      <w:r w:rsidRPr="00DA3766">
        <w:t>）（</w:t>
      </w:r>
      <w:r w:rsidRPr="00DA3766">
        <w:t>6</w:t>
      </w:r>
      <w:r w:rsidRPr="00DA3766">
        <w:t>）核查并发表明确意见</w:t>
      </w:r>
      <w:r w:rsidR="00E93DA8" w:rsidRPr="00DA3766">
        <w:t>。</w:t>
      </w:r>
    </w:p>
    <w:p w14:paraId="039B94C1" w14:textId="77777777" w:rsidR="00C16B5D" w:rsidRPr="00DA3766" w:rsidRDefault="00C16B5D" w:rsidP="00DA3766">
      <w:pPr>
        <w:spacing w:beforeLines="0" w:before="0" w:afterLines="0" w:after="0" w:line="240" w:lineRule="auto"/>
        <w:ind w:firstLineChars="0" w:firstLine="0"/>
        <w:jc w:val="both"/>
        <w:rPr>
          <w:rFonts w:ascii="Times New Roman" w:hAnsi="Times New Roman" w:cs="Times New Roman"/>
          <w:szCs w:val="22"/>
        </w:rPr>
      </w:pPr>
      <w:r w:rsidRPr="00DA3766">
        <w:rPr>
          <w:rFonts w:ascii="Times New Roman" w:hAnsi="Times New Roman" w:cs="Times New Roman"/>
        </w:rPr>
        <w:br w:type="page"/>
      </w:r>
    </w:p>
    <w:p w14:paraId="5AEAD0A9" w14:textId="77777777" w:rsidR="00C16B5D" w:rsidRPr="00DA3766" w:rsidRDefault="00C16B5D" w:rsidP="00E93DA8">
      <w:pPr>
        <w:pStyle w:val="005"/>
        <w:spacing w:before="120" w:after="120"/>
        <w:ind w:firstLine="480"/>
        <w:sectPr w:rsidR="00C16B5D" w:rsidRPr="00DA3766">
          <w:pgSz w:w="11906" w:h="16838"/>
          <w:pgMar w:top="1440" w:right="1797" w:bottom="1440" w:left="1797" w:header="851" w:footer="992" w:gutter="0"/>
          <w:cols w:space="425"/>
          <w:docGrid w:linePitch="312"/>
        </w:sectPr>
      </w:pPr>
    </w:p>
    <w:p w14:paraId="3365985C" w14:textId="2BB96D1C" w:rsidR="00E93DA8" w:rsidRPr="00DA3766" w:rsidRDefault="00E93DA8" w:rsidP="00E93DA8">
      <w:pPr>
        <w:pStyle w:val="005"/>
        <w:spacing w:before="120" w:after="120"/>
        <w:ind w:firstLine="480"/>
      </w:pPr>
      <w:r w:rsidRPr="00DA3766">
        <w:lastRenderedPageBreak/>
        <w:t>【回复】</w:t>
      </w:r>
    </w:p>
    <w:p w14:paraId="176E5E29" w14:textId="77777777" w:rsidR="00841B38" w:rsidRPr="00DA3766" w:rsidRDefault="00841B38" w:rsidP="00841B38">
      <w:pPr>
        <w:pStyle w:val="002"/>
        <w:spacing w:before="120" w:after="120"/>
        <w:ind w:firstLine="482"/>
      </w:pPr>
      <w:r w:rsidRPr="00DA3766">
        <w:t>一、</w:t>
      </w:r>
      <w:bookmarkStart w:id="215" w:name="_Hlk219330641"/>
      <w:r w:rsidRPr="00DA3766">
        <w:t>详细列示补充</w:t>
      </w:r>
      <w:bookmarkStart w:id="216" w:name="_Hlk219372616"/>
      <w:bookmarkStart w:id="217" w:name="OLE_LINK44"/>
      <w:r w:rsidRPr="00DA3766">
        <w:t>标的资产及前身历次增资及股权转让的具体情况</w:t>
      </w:r>
      <w:bookmarkEnd w:id="216"/>
      <w:r w:rsidRPr="00DA3766">
        <w:t>，作价是否公允，标的资产管理层及相关持股平台入股是否存在股份支付，股份支付费用计提是否准确，申报文件中相关财务数据是否准确</w:t>
      </w:r>
      <w:bookmarkEnd w:id="215"/>
      <w:bookmarkEnd w:id="217"/>
      <w:r w:rsidRPr="00DA3766">
        <w:t>。</w:t>
      </w:r>
    </w:p>
    <w:p w14:paraId="001F06EB" w14:textId="6AFD75A7" w:rsidR="00841B38" w:rsidRPr="00DA3766" w:rsidRDefault="00841B38" w:rsidP="00841B38">
      <w:pPr>
        <w:pStyle w:val="003"/>
        <w:spacing w:before="120" w:after="120"/>
        <w:ind w:firstLine="482"/>
      </w:pPr>
      <w:r w:rsidRPr="00DA3766">
        <w:t>（一）</w:t>
      </w:r>
      <w:bookmarkStart w:id="218" w:name="_Hlk219372655"/>
      <w:r w:rsidRPr="00DA3766">
        <w:t>标的资产及前身历次增资及股权转让的具体情况，</w:t>
      </w:r>
      <w:r w:rsidR="00463FC5" w:rsidRPr="00DA3766">
        <w:t>定价依据及其</w:t>
      </w:r>
      <w:r w:rsidRPr="00DA3766">
        <w:t>公允</w:t>
      </w:r>
      <w:r w:rsidR="00463FC5" w:rsidRPr="00DA3766">
        <w:t>性</w:t>
      </w:r>
      <w:bookmarkEnd w:id="218"/>
    </w:p>
    <w:p w14:paraId="7FD83833" w14:textId="16D3D28B" w:rsidR="00C16B5D" w:rsidRPr="00DA3766" w:rsidRDefault="00C16B5D" w:rsidP="00C93B0F">
      <w:pPr>
        <w:pStyle w:val="005"/>
        <w:spacing w:before="120" w:after="120"/>
        <w:ind w:firstLine="480"/>
      </w:pPr>
      <w:bookmarkStart w:id="219" w:name="_Hlk219372677"/>
      <w:r w:rsidRPr="00DA3766">
        <w:t>标的资产及其前身历次增资及股权转让情况如下：</w:t>
      </w:r>
    </w:p>
    <w:tbl>
      <w:tblPr>
        <w:tblStyle w:val="270"/>
        <w:tblW w:w="5083" w:type="pct"/>
        <w:jc w:val="center"/>
        <w:tblBorders>
          <w:top w:val="thinThickSmallGap" w:sz="24" w:space="0" w:color="auto"/>
          <w:bottom w:val="thickThinSmallGap" w:sz="24" w:space="0" w:color="auto"/>
        </w:tblBorders>
        <w:tblLook w:val="04A0" w:firstRow="1" w:lastRow="0" w:firstColumn="1" w:lastColumn="0" w:noHBand="0" w:noVBand="1"/>
      </w:tblPr>
      <w:tblGrid>
        <w:gridCol w:w="621"/>
        <w:gridCol w:w="1231"/>
        <w:gridCol w:w="2415"/>
        <w:gridCol w:w="1565"/>
        <w:gridCol w:w="1329"/>
        <w:gridCol w:w="1202"/>
        <w:gridCol w:w="1406"/>
        <w:gridCol w:w="1447"/>
        <w:gridCol w:w="3193"/>
      </w:tblGrid>
      <w:tr w:rsidR="00C16B5D" w:rsidRPr="00DA3766" w14:paraId="41AAA77D" w14:textId="77777777" w:rsidTr="00635015">
        <w:trPr>
          <w:trHeight w:val="397"/>
          <w:tblHeader/>
          <w:jc w:val="center"/>
        </w:trPr>
        <w:tc>
          <w:tcPr>
            <w:tcW w:w="216" w:type="pct"/>
            <w:tcMar>
              <w:top w:w="0" w:type="dxa"/>
              <w:bottom w:w="0" w:type="dxa"/>
            </w:tcMar>
            <w:vAlign w:val="center"/>
          </w:tcPr>
          <w:p w14:paraId="2C9A4CF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bookmarkStart w:id="220" w:name="OLE_LINK114"/>
            <w:r w:rsidRPr="00DA3766">
              <w:rPr>
                <w:rFonts w:ascii="Times New Roman" w:hAnsi="Times New Roman" w:cs="Times New Roman"/>
                <w:b/>
                <w:color w:val="000000"/>
                <w:sz w:val="21"/>
                <w:szCs w:val="21"/>
              </w:rPr>
              <w:t>序号</w:t>
            </w:r>
          </w:p>
        </w:tc>
        <w:tc>
          <w:tcPr>
            <w:tcW w:w="427" w:type="pct"/>
            <w:tcMar>
              <w:top w:w="0" w:type="dxa"/>
              <w:bottom w:w="0" w:type="dxa"/>
            </w:tcMar>
            <w:vAlign w:val="center"/>
          </w:tcPr>
          <w:p w14:paraId="3686E05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发生时间</w:t>
            </w:r>
          </w:p>
        </w:tc>
        <w:tc>
          <w:tcPr>
            <w:tcW w:w="838" w:type="pct"/>
            <w:tcMar>
              <w:top w:w="0" w:type="dxa"/>
              <w:bottom w:w="0" w:type="dxa"/>
            </w:tcMar>
            <w:vAlign w:val="center"/>
          </w:tcPr>
          <w:p w14:paraId="6F59502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事项及背景</w:t>
            </w:r>
          </w:p>
        </w:tc>
        <w:tc>
          <w:tcPr>
            <w:tcW w:w="543" w:type="pct"/>
            <w:tcMar>
              <w:top w:w="0" w:type="dxa"/>
              <w:bottom w:w="0" w:type="dxa"/>
            </w:tcMar>
            <w:vAlign w:val="center"/>
          </w:tcPr>
          <w:p w14:paraId="52D6939D" w14:textId="77777777" w:rsidR="00C93B0F"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受让方</w:t>
            </w:r>
            <w:r w:rsidRPr="00DA3766">
              <w:rPr>
                <w:rFonts w:ascii="Times New Roman" w:hAnsi="Times New Roman" w:cs="Times New Roman"/>
                <w:b/>
                <w:color w:val="000000"/>
                <w:sz w:val="21"/>
                <w:szCs w:val="21"/>
              </w:rPr>
              <w:t>/</w:t>
            </w:r>
          </w:p>
          <w:p w14:paraId="5065E81A" w14:textId="0CE9CF4C"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增资方</w:t>
            </w:r>
          </w:p>
        </w:tc>
        <w:tc>
          <w:tcPr>
            <w:tcW w:w="461" w:type="pct"/>
            <w:tcMar>
              <w:top w:w="0" w:type="dxa"/>
              <w:bottom w:w="0" w:type="dxa"/>
            </w:tcMar>
            <w:vAlign w:val="center"/>
          </w:tcPr>
          <w:p w14:paraId="7085FC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转让方</w:t>
            </w:r>
          </w:p>
        </w:tc>
        <w:tc>
          <w:tcPr>
            <w:tcW w:w="417" w:type="pct"/>
            <w:tcMar>
              <w:top w:w="0" w:type="dxa"/>
              <w:bottom w:w="0" w:type="dxa"/>
            </w:tcMar>
            <w:vAlign w:val="center"/>
          </w:tcPr>
          <w:p w14:paraId="5F3FDF4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增资额（万元）</w:t>
            </w:r>
          </w:p>
        </w:tc>
        <w:tc>
          <w:tcPr>
            <w:tcW w:w="488" w:type="pct"/>
            <w:tcMar>
              <w:top w:w="0" w:type="dxa"/>
              <w:bottom w:w="0" w:type="dxa"/>
            </w:tcMar>
            <w:vAlign w:val="center"/>
          </w:tcPr>
          <w:p w14:paraId="306641A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增资价格（元</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注册资本）</w:t>
            </w:r>
          </w:p>
        </w:tc>
        <w:tc>
          <w:tcPr>
            <w:tcW w:w="502" w:type="pct"/>
            <w:tcMar>
              <w:top w:w="0" w:type="dxa"/>
              <w:bottom w:w="0" w:type="dxa"/>
            </w:tcMar>
            <w:vAlign w:val="center"/>
          </w:tcPr>
          <w:p w14:paraId="5DF14B61" w14:textId="3E92931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w:t>
            </w:r>
            <w:r w:rsidR="008144F1" w:rsidRPr="00DA3766">
              <w:rPr>
                <w:rFonts w:ascii="Times New Roman" w:hAnsi="Times New Roman" w:cs="Times New Roman"/>
                <w:b/>
                <w:color w:val="000000"/>
                <w:sz w:val="21"/>
                <w:szCs w:val="21"/>
              </w:rPr>
              <w:t>标的</w:t>
            </w:r>
            <w:r w:rsidRPr="00DA3766">
              <w:rPr>
                <w:rFonts w:ascii="Times New Roman" w:hAnsi="Times New Roman" w:cs="Times New Roman"/>
                <w:b/>
                <w:color w:val="000000"/>
                <w:sz w:val="21"/>
                <w:szCs w:val="21"/>
              </w:rPr>
              <w:t>公司对应估值（万元）</w:t>
            </w:r>
          </w:p>
        </w:tc>
        <w:tc>
          <w:tcPr>
            <w:tcW w:w="1108" w:type="pct"/>
            <w:tcMar>
              <w:top w:w="0" w:type="dxa"/>
              <w:bottom w:w="0" w:type="dxa"/>
            </w:tcMar>
            <w:vAlign w:val="center"/>
          </w:tcPr>
          <w:p w14:paraId="0CE5AC6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定价依据及其公允性</w:t>
            </w:r>
          </w:p>
        </w:tc>
      </w:tr>
      <w:tr w:rsidR="00C16B5D" w:rsidRPr="00DA3766" w14:paraId="6A58679F" w14:textId="77777777" w:rsidTr="00635015">
        <w:trPr>
          <w:trHeight w:val="397"/>
          <w:jc w:val="center"/>
        </w:trPr>
        <w:tc>
          <w:tcPr>
            <w:tcW w:w="216" w:type="pct"/>
            <w:vMerge w:val="restart"/>
            <w:tcMar>
              <w:top w:w="0" w:type="dxa"/>
              <w:bottom w:w="0" w:type="dxa"/>
            </w:tcMar>
            <w:vAlign w:val="center"/>
          </w:tcPr>
          <w:p w14:paraId="35B1C29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w:t>
            </w:r>
          </w:p>
        </w:tc>
        <w:tc>
          <w:tcPr>
            <w:tcW w:w="427" w:type="pct"/>
            <w:vMerge w:val="restart"/>
            <w:tcMar>
              <w:top w:w="0" w:type="dxa"/>
              <w:bottom w:w="0" w:type="dxa"/>
            </w:tcMar>
            <w:vAlign w:val="center"/>
          </w:tcPr>
          <w:p w14:paraId="7F83B18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2015.10</w:t>
            </w:r>
          </w:p>
        </w:tc>
        <w:tc>
          <w:tcPr>
            <w:tcW w:w="838" w:type="pct"/>
            <w:vMerge w:val="restart"/>
            <w:tcMar>
              <w:top w:w="0" w:type="dxa"/>
              <w:bottom w:w="0" w:type="dxa"/>
            </w:tcMar>
            <w:vAlign w:val="center"/>
          </w:tcPr>
          <w:p w14:paraId="7A3DDC6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星云开物设立</w:t>
            </w:r>
          </w:p>
        </w:tc>
        <w:tc>
          <w:tcPr>
            <w:tcW w:w="543" w:type="pct"/>
            <w:tcMar>
              <w:top w:w="0" w:type="dxa"/>
              <w:bottom w:w="0" w:type="dxa"/>
            </w:tcMar>
            <w:vAlign w:val="center"/>
          </w:tcPr>
          <w:p w14:paraId="323E734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61" w:type="pct"/>
            <w:tcMar>
              <w:top w:w="0" w:type="dxa"/>
              <w:bottom w:w="0" w:type="dxa"/>
            </w:tcMar>
            <w:vAlign w:val="center"/>
          </w:tcPr>
          <w:p w14:paraId="20D851D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25C96F8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5.50</w:t>
            </w:r>
          </w:p>
        </w:tc>
        <w:tc>
          <w:tcPr>
            <w:tcW w:w="488" w:type="pct"/>
            <w:tcMar>
              <w:top w:w="0" w:type="dxa"/>
              <w:bottom w:w="0" w:type="dxa"/>
            </w:tcMar>
            <w:vAlign w:val="center"/>
          </w:tcPr>
          <w:p w14:paraId="3BC8DC5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02" w:type="pct"/>
            <w:tcMar>
              <w:top w:w="0" w:type="dxa"/>
              <w:bottom w:w="0" w:type="dxa"/>
            </w:tcMar>
            <w:vAlign w:val="center"/>
          </w:tcPr>
          <w:p w14:paraId="23B911C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vMerge w:val="restart"/>
            <w:tcMar>
              <w:top w:w="0" w:type="dxa"/>
              <w:bottom w:w="0" w:type="dxa"/>
            </w:tcMar>
            <w:vAlign w:val="center"/>
          </w:tcPr>
          <w:p w14:paraId="0DECC16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07D9C5F3" w14:textId="77777777" w:rsidTr="00635015">
        <w:trPr>
          <w:trHeight w:val="397"/>
          <w:jc w:val="center"/>
        </w:trPr>
        <w:tc>
          <w:tcPr>
            <w:tcW w:w="216" w:type="pct"/>
            <w:vMerge/>
            <w:tcMar>
              <w:top w:w="0" w:type="dxa"/>
              <w:bottom w:w="0" w:type="dxa"/>
            </w:tcMar>
            <w:vAlign w:val="center"/>
          </w:tcPr>
          <w:p w14:paraId="5C8C3DD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0B2D3D5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tcMar>
              <w:top w:w="0" w:type="dxa"/>
              <w:bottom w:w="0" w:type="dxa"/>
            </w:tcMar>
            <w:vAlign w:val="center"/>
          </w:tcPr>
          <w:p w14:paraId="6197237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43" w:type="pct"/>
            <w:tcMar>
              <w:top w:w="0" w:type="dxa"/>
              <w:bottom w:w="0" w:type="dxa"/>
            </w:tcMar>
            <w:vAlign w:val="center"/>
          </w:tcPr>
          <w:p w14:paraId="7E37BB6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61" w:type="pct"/>
            <w:tcMar>
              <w:top w:w="0" w:type="dxa"/>
              <w:bottom w:w="0" w:type="dxa"/>
            </w:tcMar>
            <w:vAlign w:val="center"/>
          </w:tcPr>
          <w:p w14:paraId="3B1C78D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4E53B81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4.50</w:t>
            </w:r>
          </w:p>
        </w:tc>
        <w:tc>
          <w:tcPr>
            <w:tcW w:w="488" w:type="pct"/>
            <w:tcMar>
              <w:top w:w="0" w:type="dxa"/>
              <w:bottom w:w="0" w:type="dxa"/>
            </w:tcMar>
            <w:vAlign w:val="center"/>
          </w:tcPr>
          <w:p w14:paraId="7CC99C0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02" w:type="pct"/>
            <w:tcMar>
              <w:top w:w="0" w:type="dxa"/>
              <w:bottom w:w="0" w:type="dxa"/>
            </w:tcMar>
            <w:vAlign w:val="center"/>
          </w:tcPr>
          <w:p w14:paraId="5D746ED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vMerge/>
            <w:tcMar>
              <w:top w:w="0" w:type="dxa"/>
              <w:bottom w:w="0" w:type="dxa"/>
            </w:tcMar>
            <w:vAlign w:val="center"/>
          </w:tcPr>
          <w:p w14:paraId="56CC4ED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5B1411D2" w14:textId="77777777" w:rsidTr="00635015">
        <w:trPr>
          <w:trHeight w:val="397"/>
          <w:jc w:val="center"/>
        </w:trPr>
        <w:tc>
          <w:tcPr>
            <w:tcW w:w="216" w:type="pct"/>
            <w:tcMar>
              <w:top w:w="0" w:type="dxa"/>
              <w:bottom w:w="0" w:type="dxa"/>
            </w:tcMar>
            <w:vAlign w:val="center"/>
          </w:tcPr>
          <w:p w14:paraId="488B9E9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w:t>
            </w:r>
          </w:p>
        </w:tc>
        <w:tc>
          <w:tcPr>
            <w:tcW w:w="427" w:type="pct"/>
            <w:tcMar>
              <w:top w:w="0" w:type="dxa"/>
              <w:bottom w:w="0" w:type="dxa"/>
            </w:tcMar>
            <w:vAlign w:val="center"/>
          </w:tcPr>
          <w:p w14:paraId="2F4F0FB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2016.02</w:t>
            </w:r>
          </w:p>
        </w:tc>
        <w:tc>
          <w:tcPr>
            <w:tcW w:w="838" w:type="pct"/>
            <w:tcMar>
              <w:top w:w="0" w:type="dxa"/>
              <w:bottom w:w="0" w:type="dxa"/>
            </w:tcMar>
            <w:vAlign w:val="center"/>
          </w:tcPr>
          <w:p w14:paraId="54768F8A" w14:textId="77777777" w:rsidR="00635015"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第一次股权转让，股东按照实缴出资情况对</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公司股权结构进行</w:t>
            </w:r>
          </w:p>
          <w:p w14:paraId="071AE708" w14:textId="636D748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调整</w:t>
            </w:r>
          </w:p>
        </w:tc>
        <w:tc>
          <w:tcPr>
            <w:tcW w:w="543" w:type="pct"/>
            <w:tcMar>
              <w:top w:w="0" w:type="dxa"/>
              <w:bottom w:w="0" w:type="dxa"/>
            </w:tcMar>
            <w:vAlign w:val="center"/>
          </w:tcPr>
          <w:p w14:paraId="2E1DC19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61" w:type="pct"/>
            <w:tcMar>
              <w:top w:w="0" w:type="dxa"/>
              <w:bottom w:w="0" w:type="dxa"/>
            </w:tcMar>
            <w:vAlign w:val="center"/>
          </w:tcPr>
          <w:p w14:paraId="4697E99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17" w:type="pct"/>
            <w:tcMar>
              <w:top w:w="0" w:type="dxa"/>
              <w:bottom w:w="0" w:type="dxa"/>
            </w:tcMar>
            <w:vAlign w:val="center"/>
          </w:tcPr>
          <w:p w14:paraId="4CE805E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488" w:type="pct"/>
            <w:tcMar>
              <w:top w:w="0" w:type="dxa"/>
              <w:bottom w:w="0" w:type="dxa"/>
            </w:tcMar>
            <w:vAlign w:val="center"/>
          </w:tcPr>
          <w:p w14:paraId="7C36C7B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总价</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p>
        </w:tc>
        <w:tc>
          <w:tcPr>
            <w:tcW w:w="502" w:type="pct"/>
            <w:tcMar>
              <w:top w:w="0" w:type="dxa"/>
              <w:bottom w:w="0" w:type="dxa"/>
            </w:tcMar>
            <w:vAlign w:val="center"/>
          </w:tcPr>
          <w:p w14:paraId="5C992AD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7B0D9F78"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股东协商一致按照实缴出资情况（陈耿豪实缴</w:t>
            </w:r>
            <w:r w:rsidRPr="00DA3766">
              <w:rPr>
                <w:rFonts w:ascii="Times New Roman" w:hAnsi="Times New Roman" w:cs="Times New Roman"/>
                <w:bCs/>
                <w:color w:val="000000"/>
                <w:sz w:val="21"/>
                <w:szCs w:val="21"/>
              </w:rPr>
              <w:t>6.50</w:t>
            </w:r>
            <w:r w:rsidRPr="00DA3766">
              <w:rPr>
                <w:rFonts w:ascii="Times New Roman" w:hAnsi="Times New Roman" w:cs="Times New Roman"/>
                <w:bCs/>
                <w:color w:val="000000"/>
                <w:sz w:val="21"/>
                <w:szCs w:val="21"/>
              </w:rPr>
              <w:t>万元、徐德强实缴</w:t>
            </w:r>
            <w:r w:rsidRPr="00DA3766">
              <w:rPr>
                <w:rFonts w:ascii="Times New Roman" w:hAnsi="Times New Roman" w:cs="Times New Roman"/>
                <w:bCs/>
                <w:color w:val="000000"/>
                <w:sz w:val="21"/>
                <w:szCs w:val="21"/>
              </w:rPr>
              <w:t>3.50</w:t>
            </w:r>
            <w:r w:rsidRPr="00DA3766">
              <w:rPr>
                <w:rFonts w:ascii="Times New Roman" w:hAnsi="Times New Roman" w:cs="Times New Roman"/>
                <w:bCs/>
                <w:color w:val="000000"/>
                <w:sz w:val="21"/>
                <w:szCs w:val="21"/>
              </w:rPr>
              <w:t>万元）对股权结构进行调整，不涉及实际对价支付，具有公允性</w:t>
            </w:r>
          </w:p>
        </w:tc>
      </w:tr>
      <w:tr w:rsidR="00C16B5D" w:rsidRPr="00DA3766" w14:paraId="25A3B913" w14:textId="77777777" w:rsidTr="00635015">
        <w:trPr>
          <w:trHeight w:val="397"/>
          <w:jc w:val="center"/>
        </w:trPr>
        <w:tc>
          <w:tcPr>
            <w:tcW w:w="216" w:type="pct"/>
            <w:vMerge w:val="restart"/>
            <w:tcMar>
              <w:top w:w="0" w:type="dxa"/>
              <w:bottom w:w="0" w:type="dxa"/>
            </w:tcMar>
            <w:vAlign w:val="center"/>
          </w:tcPr>
          <w:p w14:paraId="2BFC7B7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w:t>
            </w:r>
          </w:p>
        </w:tc>
        <w:tc>
          <w:tcPr>
            <w:tcW w:w="427" w:type="pct"/>
            <w:vMerge w:val="restart"/>
            <w:tcMar>
              <w:top w:w="0" w:type="dxa"/>
              <w:bottom w:w="0" w:type="dxa"/>
            </w:tcMar>
            <w:vAlign w:val="center"/>
          </w:tcPr>
          <w:p w14:paraId="10190D0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2016.05</w:t>
            </w:r>
          </w:p>
        </w:tc>
        <w:tc>
          <w:tcPr>
            <w:tcW w:w="838" w:type="pct"/>
            <w:tcMar>
              <w:top w:w="0" w:type="dxa"/>
              <w:bottom w:w="0" w:type="dxa"/>
            </w:tcMar>
            <w:vAlign w:val="center"/>
          </w:tcPr>
          <w:p w14:paraId="2C147625" w14:textId="455D091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第二次股权转让，陈耿豪转让股权至持股平台，用于未来股权激励</w:t>
            </w:r>
          </w:p>
        </w:tc>
        <w:tc>
          <w:tcPr>
            <w:tcW w:w="543" w:type="pct"/>
            <w:tcMar>
              <w:top w:w="0" w:type="dxa"/>
              <w:bottom w:w="0" w:type="dxa"/>
            </w:tcMar>
            <w:vAlign w:val="center"/>
          </w:tcPr>
          <w:p w14:paraId="2805255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1" w:type="pct"/>
            <w:tcMar>
              <w:top w:w="0" w:type="dxa"/>
              <w:bottom w:w="0" w:type="dxa"/>
            </w:tcMar>
            <w:vAlign w:val="center"/>
          </w:tcPr>
          <w:p w14:paraId="687526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17" w:type="pct"/>
            <w:tcMar>
              <w:top w:w="0" w:type="dxa"/>
              <w:bottom w:w="0" w:type="dxa"/>
            </w:tcMar>
            <w:vAlign w:val="center"/>
          </w:tcPr>
          <w:p w14:paraId="7155142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488" w:type="pct"/>
            <w:tcMar>
              <w:top w:w="0" w:type="dxa"/>
              <w:bottom w:w="0" w:type="dxa"/>
            </w:tcMar>
            <w:vAlign w:val="center"/>
          </w:tcPr>
          <w:p w14:paraId="67F27AE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总价</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p>
        </w:tc>
        <w:tc>
          <w:tcPr>
            <w:tcW w:w="502" w:type="pct"/>
            <w:tcMar>
              <w:top w:w="0" w:type="dxa"/>
              <w:bottom w:w="0" w:type="dxa"/>
            </w:tcMar>
            <w:vAlign w:val="center"/>
          </w:tcPr>
          <w:p w14:paraId="5C61B0E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2ACB9416" w14:textId="66B7D0D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星云开物实控人陈耿豪以</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元总价转让股权至持股平台，用于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公司未来股权激励，不涉及实际对价支付，具有公允性</w:t>
            </w:r>
          </w:p>
        </w:tc>
      </w:tr>
      <w:tr w:rsidR="00C16B5D" w:rsidRPr="00DA3766" w14:paraId="79EC26F6" w14:textId="77777777" w:rsidTr="00635015">
        <w:trPr>
          <w:trHeight w:val="397"/>
          <w:jc w:val="center"/>
        </w:trPr>
        <w:tc>
          <w:tcPr>
            <w:tcW w:w="216" w:type="pct"/>
            <w:vMerge/>
            <w:tcMar>
              <w:top w:w="0" w:type="dxa"/>
              <w:bottom w:w="0" w:type="dxa"/>
            </w:tcMar>
            <w:vAlign w:val="center"/>
          </w:tcPr>
          <w:p w14:paraId="14FFC59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334B70A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val="restart"/>
            <w:tcMar>
              <w:top w:w="0" w:type="dxa"/>
              <w:bottom w:w="0" w:type="dxa"/>
            </w:tcMar>
            <w:vAlign w:val="center"/>
          </w:tcPr>
          <w:p w14:paraId="702E28E9" w14:textId="1729ED9C"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17" w:tgtFrame="https://www.qcc.com/firm/_blank" w:history="1">
              <w:r w:rsidRPr="00DA3766">
                <w:rPr>
                  <w:rFonts w:ascii="Times New Roman" w:hAnsi="Times New Roman" w:cs="Times New Roman"/>
                  <w:bCs/>
                  <w:color w:val="000000"/>
                  <w:sz w:val="21"/>
                  <w:szCs w:val="21"/>
                </w:rPr>
                <w:t>蜜芽宝贝</w:t>
              </w:r>
            </w:hyperlink>
            <w:r w:rsidRPr="00DA3766">
              <w:rPr>
                <w:rFonts w:ascii="Times New Roman" w:hAnsi="Times New Roman" w:cs="Times New Roman"/>
                <w:bCs/>
                <w:color w:val="000000"/>
                <w:sz w:val="21"/>
                <w:szCs w:val="21"/>
              </w:rPr>
              <w:t>以及林琪等</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名个人投资者，其</w:t>
            </w:r>
            <w:r w:rsidRPr="00DA3766">
              <w:rPr>
                <w:rFonts w:ascii="Times New Roman" w:hAnsi="Times New Roman" w:cs="Times New Roman"/>
                <w:bCs/>
                <w:color w:val="000000"/>
                <w:sz w:val="21"/>
                <w:szCs w:val="21"/>
              </w:rPr>
              <w:lastRenderedPageBreak/>
              <w:t>中</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名个人投资者通过持股平台乐摇持股</w:t>
            </w:r>
          </w:p>
        </w:tc>
        <w:tc>
          <w:tcPr>
            <w:tcW w:w="543" w:type="pct"/>
            <w:tcMar>
              <w:top w:w="0" w:type="dxa"/>
              <w:bottom w:w="0" w:type="dxa"/>
            </w:tcMar>
            <w:vAlign w:val="center"/>
          </w:tcPr>
          <w:p w14:paraId="35E455D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18" w:tgtFrame="https://www.qcc.com/firm/_blank" w:history="1">
              <w:r w:rsidRPr="00DA3766">
                <w:rPr>
                  <w:rFonts w:ascii="Times New Roman" w:hAnsi="Times New Roman" w:cs="Times New Roman"/>
                  <w:bCs/>
                  <w:color w:val="000000"/>
                  <w:sz w:val="21"/>
                  <w:szCs w:val="21"/>
                </w:rPr>
                <w:t>蜜芽宝贝</w:t>
              </w:r>
            </w:hyperlink>
          </w:p>
        </w:tc>
        <w:tc>
          <w:tcPr>
            <w:tcW w:w="461" w:type="pct"/>
            <w:tcMar>
              <w:top w:w="0" w:type="dxa"/>
              <w:bottom w:w="0" w:type="dxa"/>
            </w:tcMar>
            <w:vAlign w:val="center"/>
          </w:tcPr>
          <w:p w14:paraId="13BE52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0771DA9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1.3587</w:t>
            </w:r>
          </w:p>
        </w:tc>
        <w:tc>
          <w:tcPr>
            <w:tcW w:w="488" w:type="pct"/>
            <w:tcMar>
              <w:top w:w="0" w:type="dxa"/>
              <w:bottom w:w="0" w:type="dxa"/>
            </w:tcMar>
            <w:vAlign w:val="center"/>
          </w:tcPr>
          <w:p w14:paraId="35DAC35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184.00</w:t>
            </w:r>
          </w:p>
        </w:tc>
        <w:tc>
          <w:tcPr>
            <w:tcW w:w="502" w:type="pct"/>
            <w:tcMar>
              <w:top w:w="0" w:type="dxa"/>
              <w:bottom w:w="0" w:type="dxa"/>
            </w:tcMar>
            <w:vAlign w:val="center"/>
          </w:tcPr>
          <w:p w14:paraId="2485CD0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2,500.00</w:t>
            </w:r>
          </w:p>
        </w:tc>
        <w:tc>
          <w:tcPr>
            <w:tcW w:w="1108" w:type="pct"/>
            <w:vMerge w:val="restart"/>
            <w:tcMar>
              <w:top w:w="0" w:type="dxa"/>
              <w:bottom w:w="0" w:type="dxa"/>
            </w:tcMar>
            <w:vAlign w:val="center"/>
          </w:tcPr>
          <w:p w14:paraId="3C187F1B" w14:textId="16A7972C"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协商定价，其中林琪等</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名个人投资者系陈耿豪在黑马创业营同学，为</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公司前期发展提供过资金支持，投资价格略低于外部</w:t>
            </w:r>
            <w:r w:rsidRPr="00DA3766">
              <w:rPr>
                <w:rFonts w:ascii="Times New Roman" w:hAnsi="Times New Roman" w:cs="Times New Roman"/>
                <w:bCs/>
                <w:color w:val="000000"/>
                <w:sz w:val="21"/>
                <w:szCs w:val="21"/>
              </w:rPr>
              <w:lastRenderedPageBreak/>
              <w:t>投资人</w:t>
            </w:r>
            <w:hyperlink r:id="rId19" w:tgtFrame="https://www.qcc.com/firm/_blank" w:history="1">
              <w:r w:rsidRPr="00DA3766">
                <w:rPr>
                  <w:rFonts w:ascii="Times New Roman" w:hAnsi="Times New Roman" w:cs="Times New Roman"/>
                  <w:bCs/>
                  <w:color w:val="000000"/>
                  <w:sz w:val="21"/>
                  <w:szCs w:val="21"/>
                </w:rPr>
                <w:t>蜜芽宝贝</w:t>
              </w:r>
            </w:hyperlink>
            <w:r w:rsidRPr="00DA3766">
              <w:rPr>
                <w:rFonts w:ascii="Times New Roman" w:hAnsi="Times New Roman" w:cs="Times New Roman"/>
                <w:bCs/>
                <w:color w:val="000000"/>
                <w:sz w:val="21"/>
                <w:szCs w:val="21"/>
              </w:rPr>
              <w:t>，具有公允性</w:t>
            </w:r>
          </w:p>
        </w:tc>
      </w:tr>
      <w:tr w:rsidR="00C16B5D" w:rsidRPr="00DA3766" w14:paraId="28979358" w14:textId="77777777" w:rsidTr="00635015">
        <w:trPr>
          <w:trHeight w:val="397"/>
          <w:jc w:val="center"/>
        </w:trPr>
        <w:tc>
          <w:tcPr>
            <w:tcW w:w="216" w:type="pct"/>
            <w:vMerge/>
            <w:tcMar>
              <w:top w:w="0" w:type="dxa"/>
              <w:bottom w:w="0" w:type="dxa"/>
            </w:tcMar>
            <w:vAlign w:val="center"/>
          </w:tcPr>
          <w:p w14:paraId="739FB32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50A824A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tcMar>
              <w:top w:w="0" w:type="dxa"/>
              <w:bottom w:w="0" w:type="dxa"/>
            </w:tcMar>
            <w:vAlign w:val="center"/>
          </w:tcPr>
          <w:p w14:paraId="5D92D38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43" w:type="pct"/>
            <w:tcMar>
              <w:top w:w="0" w:type="dxa"/>
              <w:bottom w:w="0" w:type="dxa"/>
            </w:tcMar>
            <w:vAlign w:val="center"/>
          </w:tcPr>
          <w:p w14:paraId="64CA29C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1" w:type="pct"/>
            <w:tcMar>
              <w:top w:w="0" w:type="dxa"/>
              <w:bottom w:w="0" w:type="dxa"/>
            </w:tcMar>
            <w:vAlign w:val="center"/>
          </w:tcPr>
          <w:p w14:paraId="3AB2810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6D0DB8E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2.2283</w:t>
            </w:r>
          </w:p>
        </w:tc>
        <w:tc>
          <w:tcPr>
            <w:tcW w:w="488" w:type="pct"/>
            <w:tcMar>
              <w:top w:w="0" w:type="dxa"/>
              <w:bottom w:w="0" w:type="dxa"/>
            </w:tcMar>
            <w:vAlign w:val="center"/>
          </w:tcPr>
          <w:p w14:paraId="427C107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121.17</w:t>
            </w:r>
          </w:p>
        </w:tc>
        <w:tc>
          <w:tcPr>
            <w:tcW w:w="502" w:type="pct"/>
            <w:tcMar>
              <w:top w:w="0" w:type="dxa"/>
              <w:bottom w:w="0" w:type="dxa"/>
            </w:tcMar>
            <w:vAlign w:val="center"/>
          </w:tcPr>
          <w:p w14:paraId="2C90CA9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1,646.32</w:t>
            </w:r>
          </w:p>
        </w:tc>
        <w:tc>
          <w:tcPr>
            <w:tcW w:w="1108" w:type="pct"/>
            <w:vMerge/>
            <w:tcMar>
              <w:top w:w="0" w:type="dxa"/>
              <w:bottom w:w="0" w:type="dxa"/>
            </w:tcMar>
            <w:vAlign w:val="center"/>
          </w:tcPr>
          <w:p w14:paraId="49B924D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67E61DE9" w14:textId="77777777" w:rsidTr="00635015">
        <w:trPr>
          <w:trHeight w:val="397"/>
          <w:jc w:val="center"/>
        </w:trPr>
        <w:tc>
          <w:tcPr>
            <w:tcW w:w="216" w:type="pct"/>
            <w:tcMar>
              <w:top w:w="0" w:type="dxa"/>
              <w:bottom w:w="0" w:type="dxa"/>
            </w:tcMar>
            <w:vAlign w:val="center"/>
          </w:tcPr>
          <w:p w14:paraId="59FC4E5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w:t>
            </w:r>
          </w:p>
        </w:tc>
        <w:tc>
          <w:tcPr>
            <w:tcW w:w="427" w:type="pct"/>
            <w:tcMar>
              <w:top w:w="0" w:type="dxa"/>
              <w:bottom w:w="0" w:type="dxa"/>
            </w:tcMar>
            <w:vAlign w:val="center"/>
          </w:tcPr>
          <w:p w14:paraId="3F56425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2016.07</w:t>
            </w:r>
          </w:p>
        </w:tc>
        <w:tc>
          <w:tcPr>
            <w:tcW w:w="838" w:type="pct"/>
            <w:tcMar>
              <w:top w:w="0" w:type="dxa"/>
              <w:bottom w:w="0" w:type="dxa"/>
            </w:tcMar>
            <w:vAlign w:val="center"/>
          </w:tcPr>
          <w:p w14:paraId="6B3CACB2" w14:textId="64FC5F0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公司因发展需要引入外部投资人宁波微赢</w:t>
            </w:r>
          </w:p>
        </w:tc>
        <w:tc>
          <w:tcPr>
            <w:tcW w:w="543" w:type="pct"/>
            <w:tcMar>
              <w:top w:w="0" w:type="dxa"/>
              <w:bottom w:w="0" w:type="dxa"/>
            </w:tcMar>
            <w:vAlign w:val="center"/>
          </w:tcPr>
          <w:p w14:paraId="11BA0A6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宁波微赢</w:t>
            </w:r>
          </w:p>
        </w:tc>
        <w:tc>
          <w:tcPr>
            <w:tcW w:w="461" w:type="pct"/>
            <w:tcMar>
              <w:top w:w="0" w:type="dxa"/>
              <w:bottom w:w="0" w:type="dxa"/>
            </w:tcMar>
            <w:vAlign w:val="center"/>
          </w:tcPr>
          <w:p w14:paraId="292CB2F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32DA2FA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1.5097</w:t>
            </w:r>
          </w:p>
        </w:tc>
        <w:tc>
          <w:tcPr>
            <w:tcW w:w="488" w:type="pct"/>
            <w:tcMar>
              <w:top w:w="0" w:type="dxa"/>
              <w:bottom w:w="0" w:type="dxa"/>
            </w:tcMar>
            <w:vAlign w:val="center"/>
          </w:tcPr>
          <w:p w14:paraId="7763F56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529.91</w:t>
            </w:r>
          </w:p>
        </w:tc>
        <w:tc>
          <w:tcPr>
            <w:tcW w:w="502" w:type="pct"/>
            <w:tcMar>
              <w:top w:w="0" w:type="dxa"/>
              <w:bottom w:w="0" w:type="dxa"/>
            </w:tcMar>
            <w:vAlign w:val="center"/>
          </w:tcPr>
          <w:p w14:paraId="50CA96C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8,000.00</w:t>
            </w:r>
          </w:p>
        </w:tc>
        <w:tc>
          <w:tcPr>
            <w:tcW w:w="1108" w:type="pct"/>
            <w:tcMar>
              <w:top w:w="0" w:type="dxa"/>
              <w:bottom w:w="0" w:type="dxa"/>
            </w:tcMar>
            <w:vAlign w:val="center"/>
          </w:tcPr>
          <w:p w14:paraId="0706739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协商定价，具有公允性</w:t>
            </w:r>
          </w:p>
        </w:tc>
      </w:tr>
      <w:tr w:rsidR="00C16B5D" w:rsidRPr="00DA3766" w14:paraId="096D14DB" w14:textId="77777777" w:rsidTr="00635015">
        <w:trPr>
          <w:trHeight w:val="397"/>
          <w:jc w:val="center"/>
        </w:trPr>
        <w:tc>
          <w:tcPr>
            <w:tcW w:w="216" w:type="pct"/>
            <w:vMerge w:val="restart"/>
            <w:tcMar>
              <w:top w:w="0" w:type="dxa"/>
              <w:bottom w:w="0" w:type="dxa"/>
            </w:tcMar>
            <w:vAlign w:val="center"/>
          </w:tcPr>
          <w:p w14:paraId="0216705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w:t>
            </w:r>
          </w:p>
        </w:tc>
        <w:tc>
          <w:tcPr>
            <w:tcW w:w="427" w:type="pct"/>
            <w:vMerge w:val="restart"/>
            <w:tcMar>
              <w:top w:w="0" w:type="dxa"/>
              <w:bottom w:w="0" w:type="dxa"/>
            </w:tcMar>
            <w:vAlign w:val="center"/>
          </w:tcPr>
          <w:p w14:paraId="31E0039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2017.03</w:t>
            </w:r>
          </w:p>
        </w:tc>
        <w:tc>
          <w:tcPr>
            <w:tcW w:w="838" w:type="pct"/>
            <w:tcMar>
              <w:top w:w="0" w:type="dxa"/>
              <w:bottom w:w="0" w:type="dxa"/>
            </w:tcMar>
            <w:vAlign w:val="center"/>
          </w:tcPr>
          <w:p w14:paraId="79F64664" w14:textId="49A8810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20"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1" w:tgtFrame="https://www.qcc.com/firm/_blank" w:history="1">
              <w:r w:rsidRPr="00DA3766">
                <w:rPr>
                  <w:rFonts w:ascii="Times New Roman" w:hAnsi="Times New Roman" w:cs="Times New Roman"/>
                  <w:bCs/>
                  <w:color w:val="000000"/>
                  <w:sz w:val="21"/>
                  <w:szCs w:val="21"/>
                </w:rPr>
                <w:t>珠海康远</w:t>
              </w:r>
            </w:hyperlink>
          </w:p>
        </w:tc>
        <w:tc>
          <w:tcPr>
            <w:tcW w:w="543" w:type="pct"/>
            <w:tcMar>
              <w:top w:w="0" w:type="dxa"/>
              <w:bottom w:w="0" w:type="dxa"/>
            </w:tcMar>
            <w:vAlign w:val="center"/>
          </w:tcPr>
          <w:p w14:paraId="77F7644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22"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3" w:tgtFrame="https://www.qcc.com/firm/_blank" w:history="1">
              <w:r w:rsidRPr="00DA3766">
                <w:rPr>
                  <w:rFonts w:ascii="Times New Roman" w:hAnsi="Times New Roman" w:cs="Times New Roman"/>
                  <w:bCs/>
                  <w:color w:val="000000"/>
                  <w:sz w:val="21"/>
                  <w:szCs w:val="21"/>
                </w:rPr>
                <w:t>珠海康远</w:t>
              </w:r>
            </w:hyperlink>
          </w:p>
        </w:tc>
        <w:tc>
          <w:tcPr>
            <w:tcW w:w="461" w:type="pct"/>
            <w:tcMar>
              <w:top w:w="0" w:type="dxa"/>
              <w:bottom w:w="0" w:type="dxa"/>
            </w:tcMar>
            <w:vAlign w:val="center"/>
          </w:tcPr>
          <w:p w14:paraId="68D01FC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136144C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w:t>
            </w:r>
          </w:p>
        </w:tc>
        <w:tc>
          <w:tcPr>
            <w:tcW w:w="488" w:type="pct"/>
            <w:tcMar>
              <w:top w:w="0" w:type="dxa"/>
              <w:bottom w:w="0" w:type="dxa"/>
            </w:tcMar>
            <w:vAlign w:val="center"/>
          </w:tcPr>
          <w:p w14:paraId="15996F4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596.16</w:t>
            </w:r>
          </w:p>
        </w:tc>
        <w:tc>
          <w:tcPr>
            <w:tcW w:w="502" w:type="pct"/>
            <w:tcMar>
              <w:top w:w="0" w:type="dxa"/>
              <w:bottom w:w="0" w:type="dxa"/>
            </w:tcMar>
            <w:vAlign w:val="center"/>
          </w:tcPr>
          <w:p w14:paraId="3A4F95F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w:t>
            </w:r>
          </w:p>
        </w:tc>
        <w:tc>
          <w:tcPr>
            <w:tcW w:w="1108" w:type="pct"/>
            <w:vMerge w:val="restart"/>
            <w:tcMar>
              <w:top w:w="0" w:type="dxa"/>
              <w:bottom w:w="0" w:type="dxa"/>
            </w:tcMar>
            <w:vAlign w:val="center"/>
          </w:tcPr>
          <w:p w14:paraId="1A3A13E2" w14:textId="03DC48B8"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公司引入外部投资人</w:t>
            </w:r>
            <w:hyperlink r:id="rId24"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5"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，同时，考虑到乐摇内部分部投资人退出需要，经与外部投资人</w:t>
            </w:r>
            <w:hyperlink r:id="rId26"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7"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协商，决定由</w:t>
            </w:r>
            <w:hyperlink r:id="rId28"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9"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增资的同时，受让乐摇部分老股，其中增资部分估值高于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公司前次融资价格，受让乐摇老股部分低于前轮融资价格，本次增资及转让对应</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公司整体估值为</w:t>
            </w:r>
            <w:r w:rsidRPr="00DA3766">
              <w:rPr>
                <w:rFonts w:ascii="Times New Roman" w:hAnsi="Times New Roman" w:cs="Times New Roman"/>
                <w:bCs/>
                <w:color w:val="000000"/>
                <w:sz w:val="21"/>
                <w:szCs w:val="21"/>
              </w:rPr>
              <w:t>7,000</w:t>
            </w:r>
            <w:r w:rsidRPr="00DA3766">
              <w:rPr>
                <w:rFonts w:ascii="Times New Roman" w:hAnsi="Times New Roman" w:cs="Times New Roman"/>
                <w:bCs/>
                <w:color w:val="000000"/>
                <w:sz w:val="21"/>
                <w:szCs w:val="21"/>
              </w:rPr>
              <w:t>万元，具有公允性</w:t>
            </w:r>
          </w:p>
        </w:tc>
      </w:tr>
      <w:tr w:rsidR="00C16B5D" w:rsidRPr="00DA3766" w14:paraId="217EA7E6" w14:textId="77777777" w:rsidTr="00635015">
        <w:trPr>
          <w:trHeight w:val="397"/>
          <w:jc w:val="center"/>
        </w:trPr>
        <w:tc>
          <w:tcPr>
            <w:tcW w:w="216" w:type="pct"/>
            <w:vMerge/>
            <w:tcMar>
              <w:top w:w="0" w:type="dxa"/>
              <w:bottom w:w="0" w:type="dxa"/>
            </w:tcMar>
            <w:vAlign w:val="center"/>
          </w:tcPr>
          <w:p w14:paraId="38C5C2E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15D27A8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tcMar>
              <w:top w:w="0" w:type="dxa"/>
              <w:bottom w:w="0" w:type="dxa"/>
            </w:tcMar>
            <w:vAlign w:val="center"/>
          </w:tcPr>
          <w:p w14:paraId="46B41EE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第三次股权转让，因乐摇内部分投资人退出，经与外部投资人</w:t>
            </w:r>
            <w:hyperlink r:id="rId30"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31"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协商决定由其受让部分乐摇持有的星云开物股权</w:t>
            </w:r>
          </w:p>
        </w:tc>
        <w:tc>
          <w:tcPr>
            <w:tcW w:w="543" w:type="pct"/>
            <w:tcMar>
              <w:top w:w="0" w:type="dxa"/>
              <w:bottom w:w="0" w:type="dxa"/>
            </w:tcMar>
            <w:vAlign w:val="center"/>
          </w:tcPr>
          <w:p w14:paraId="0712802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2"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33" w:tgtFrame="https://www.qcc.com/firm/_blank" w:history="1">
              <w:r w:rsidRPr="00DA3766">
                <w:rPr>
                  <w:rFonts w:ascii="Times New Roman" w:hAnsi="Times New Roman" w:cs="Times New Roman"/>
                  <w:bCs/>
                  <w:color w:val="000000"/>
                  <w:sz w:val="21"/>
                  <w:szCs w:val="21"/>
                </w:rPr>
                <w:t>珠海康远</w:t>
              </w:r>
            </w:hyperlink>
          </w:p>
        </w:tc>
        <w:tc>
          <w:tcPr>
            <w:tcW w:w="461" w:type="pct"/>
            <w:tcMar>
              <w:top w:w="0" w:type="dxa"/>
              <w:bottom w:w="0" w:type="dxa"/>
            </w:tcMar>
            <w:vAlign w:val="center"/>
          </w:tcPr>
          <w:p w14:paraId="6BCB11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17" w:type="pct"/>
            <w:tcMar>
              <w:top w:w="0" w:type="dxa"/>
              <w:bottom w:w="0" w:type="dxa"/>
            </w:tcMar>
            <w:vAlign w:val="center"/>
          </w:tcPr>
          <w:p w14:paraId="6876400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w:t>
            </w:r>
          </w:p>
        </w:tc>
        <w:tc>
          <w:tcPr>
            <w:tcW w:w="488" w:type="pct"/>
            <w:tcMar>
              <w:top w:w="0" w:type="dxa"/>
              <w:bottom w:w="0" w:type="dxa"/>
            </w:tcMar>
            <w:vAlign w:val="center"/>
          </w:tcPr>
          <w:p w14:paraId="1B826D7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238.46</w:t>
            </w:r>
          </w:p>
        </w:tc>
        <w:tc>
          <w:tcPr>
            <w:tcW w:w="502" w:type="pct"/>
            <w:tcMar>
              <w:top w:w="0" w:type="dxa"/>
              <w:bottom w:w="0" w:type="dxa"/>
            </w:tcMar>
            <w:vAlign w:val="center"/>
          </w:tcPr>
          <w:p w14:paraId="75AE0E7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4,000.00</w:t>
            </w:r>
          </w:p>
        </w:tc>
        <w:tc>
          <w:tcPr>
            <w:tcW w:w="1108" w:type="pct"/>
            <w:vMerge/>
            <w:tcMar>
              <w:top w:w="0" w:type="dxa"/>
              <w:bottom w:w="0" w:type="dxa"/>
            </w:tcMar>
            <w:vAlign w:val="center"/>
          </w:tcPr>
          <w:p w14:paraId="316D2FA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4FB215C5" w14:textId="77777777" w:rsidTr="00635015">
        <w:trPr>
          <w:trHeight w:val="397"/>
          <w:jc w:val="center"/>
        </w:trPr>
        <w:tc>
          <w:tcPr>
            <w:tcW w:w="216" w:type="pct"/>
            <w:tcMar>
              <w:top w:w="0" w:type="dxa"/>
              <w:bottom w:w="0" w:type="dxa"/>
            </w:tcMar>
            <w:vAlign w:val="center"/>
          </w:tcPr>
          <w:p w14:paraId="12FBDA8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w:t>
            </w:r>
          </w:p>
        </w:tc>
        <w:tc>
          <w:tcPr>
            <w:tcW w:w="427" w:type="pct"/>
            <w:tcMar>
              <w:top w:w="0" w:type="dxa"/>
              <w:bottom w:w="0" w:type="dxa"/>
            </w:tcMar>
            <w:vAlign w:val="center"/>
          </w:tcPr>
          <w:p w14:paraId="62FB3AD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2017.06</w:t>
            </w:r>
          </w:p>
        </w:tc>
        <w:tc>
          <w:tcPr>
            <w:tcW w:w="838" w:type="pct"/>
            <w:tcMar>
              <w:top w:w="0" w:type="dxa"/>
              <w:bottom w:w="0" w:type="dxa"/>
            </w:tcMar>
            <w:vAlign w:val="center"/>
          </w:tcPr>
          <w:p w14:paraId="5B0C529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第四次股权转让，蜜芽宝贝调整投资计划，决定退出部分持股，经协商决定由乐摇受让承接</w:t>
            </w:r>
          </w:p>
        </w:tc>
        <w:tc>
          <w:tcPr>
            <w:tcW w:w="543" w:type="pct"/>
            <w:tcMar>
              <w:top w:w="0" w:type="dxa"/>
              <w:bottom w:w="0" w:type="dxa"/>
            </w:tcMar>
            <w:vAlign w:val="center"/>
          </w:tcPr>
          <w:p w14:paraId="02C975E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1" w:type="pct"/>
            <w:tcMar>
              <w:top w:w="0" w:type="dxa"/>
              <w:bottom w:w="0" w:type="dxa"/>
            </w:tcMar>
            <w:vAlign w:val="center"/>
          </w:tcPr>
          <w:p w14:paraId="05BDBD5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4" w:tgtFrame="https://www.qcc.com/firm/_blank" w:history="1">
              <w:r w:rsidRPr="00DA3766">
                <w:rPr>
                  <w:rFonts w:ascii="Times New Roman" w:hAnsi="Times New Roman" w:cs="Times New Roman"/>
                  <w:bCs/>
                  <w:color w:val="000000"/>
                  <w:sz w:val="21"/>
                  <w:szCs w:val="21"/>
                </w:rPr>
                <w:t>蜜芽宝贝</w:t>
              </w:r>
            </w:hyperlink>
          </w:p>
        </w:tc>
        <w:tc>
          <w:tcPr>
            <w:tcW w:w="417" w:type="pct"/>
            <w:tcMar>
              <w:top w:w="0" w:type="dxa"/>
              <w:bottom w:w="0" w:type="dxa"/>
            </w:tcMar>
            <w:vAlign w:val="center"/>
          </w:tcPr>
          <w:p w14:paraId="5B16A8C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1.0064</w:t>
            </w:r>
          </w:p>
        </w:tc>
        <w:tc>
          <w:tcPr>
            <w:tcW w:w="488" w:type="pct"/>
            <w:tcMar>
              <w:top w:w="0" w:type="dxa"/>
              <w:bottom w:w="0" w:type="dxa"/>
            </w:tcMar>
            <w:vAlign w:val="center"/>
          </w:tcPr>
          <w:p w14:paraId="0F568F4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476.94</w:t>
            </w:r>
          </w:p>
        </w:tc>
        <w:tc>
          <w:tcPr>
            <w:tcW w:w="502" w:type="pct"/>
            <w:tcMar>
              <w:top w:w="0" w:type="dxa"/>
              <w:bottom w:w="0" w:type="dxa"/>
            </w:tcMar>
            <w:vAlign w:val="center"/>
          </w:tcPr>
          <w:p w14:paraId="06C3D7B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8,000.00</w:t>
            </w:r>
          </w:p>
        </w:tc>
        <w:tc>
          <w:tcPr>
            <w:tcW w:w="1108" w:type="pct"/>
            <w:tcMar>
              <w:top w:w="0" w:type="dxa"/>
              <w:bottom w:w="0" w:type="dxa"/>
            </w:tcMar>
            <w:vAlign w:val="center"/>
          </w:tcPr>
          <w:p w14:paraId="22381693" w14:textId="659811DA"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协商定价，蜜芽宝贝调整投资计划，决定退出部分持股，经协商决定由</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公司管理层张杰波、杨凯然通过乐摇受让承接，具有公允性</w:t>
            </w:r>
          </w:p>
        </w:tc>
      </w:tr>
      <w:tr w:rsidR="00C16B5D" w:rsidRPr="00DA3766" w14:paraId="15CB30D6" w14:textId="77777777" w:rsidTr="00635015">
        <w:trPr>
          <w:trHeight w:val="397"/>
          <w:jc w:val="center"/>
        </w:trPr>
        <w:tc>
          <w:tcPr>
            <w:tcW w:w="216" w:type="pct"/>
            <w:vMerge w:val="restart"/>
            <w:tcMar>
              <w:top w:w="0" w:type="dxa"/>
              <w:bottom w:w="0" w:type="dxa"/>
            </w:tcMar>
            <w:vAlign w:val="center"/>
          </w:tcPr>
          <w:p w14:paraId="7DFA0CB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w:t>
            </w:r>
          </w:p>
        </w:tc>
        <w:tc>
          <w:tcPr>
            <w:tcW w:w="427" w:type="pct"/>
            <w:vMerge w:val="restart"/>
            <w:tcMar>
              <w:top w:w="0" w:type="dxa"/>
              <w:bottom w:w="0" w:type="dxa"/>
            </w:tcMar>
            <w:vAlign w:val="center"/>
          </w:tcPr>
          <w:p w14:paraId="7CC5D23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2017.07</w:t>
            </w:r>
          </w:p>
        </w:tc>
        <w:tc>
          <w:tcPr>
            <w:tcW w:w="838" w:type="pct"/>
            <w:tcMar>
              <w:top w:w="0" w:type="dxa"/>
              <w:bottom w:w="0" w:type="dxa"/>
            </w:tcMar>
            <w:vAlign w:val="center"/>
          </w:tcPr>
          <w:p w14:paraId="4C1F7CC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第五次股权转让，宁波微赢调整投资计划，决定退出持股，经协商决定由乐摇受让承接</w:t>
            </w:r>
          </w:p>
        </w:tc>
        <w:tc>
          <w:tcPr>
            <w:tcW w:w="543" w:type="pct"/>
            <w:tcMar>
              <w:top w:w="0" w:type="dxa"/>
              <w:bottom w:w="0" w:type="dxa"/>
            </w:tcMar>
            <w:vAlign w:val="center"/>
          </w:tcPr>
          <w:p w14:paraId="6F019EB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1" w:type="pct"/>
            <w:tcMar>
              <w:top w:w="0" w:type="dxa"/>
              <w:bottom w:w="0" w:type="dxa"/>
            </w:tcMar>
            <w:vAlign w:val="center"/>
          </w:tcPr>
          <w:p w14:paraId="2C3227C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宁波微赢</w:t>
            </w:r>
          </w:p>
        </w:tc>
        <w:tc>
          <w:tcPr>
            <w:tcW w:w="417" w:type="pct"/>
            <w:tcMar>
              <w:top w:w="0" w:type="dxa"/>
              <w:bottom w:w="0" w:type="dxa"/>
            </w:tcMar>
            <w:vAlign w:val="center"/>
          </w:tcPr>
          <w:p w14:paraId="1B2C9C6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1.5097</w:t>
            </w:r>
          </w:p>
        </w:tc>
        <w:tc>
          <w:tcPr>
            <w:tcW w:w="488" w:type="pct"/>
            <w:tcMar>
              <w:top w:w="0" w:type="dxa"/>
              <w:bottom w:w="0" w:type="dxa"/>
            </w:tcMar>
            <w:vAlign w:val="center"/>
          </w:tcPr>
          <w:p w14:paraId="19786A6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775.01</w:t>
            </w:r>
          </w:p>
        </w:tc>
        <w:tc>
          <w:tcPr>
            <w:tcW w:w="502" w:type="pct"/>
            <w:tcMar>
              <w:top w:w="0" w:type="dxa"/>
              <w:bottom w:w="0" w:type="dxa"/>
            </w:tcMar>
            <w:vAlign w:val="center"/>
          </w:tcPr>
          <w:p w14:paraId="3B97464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13,000.00</w:t>
            </w:r>
          </w:p>
        </w:tc>
        <w:tc>
          <w:tcPr>
            <w:tcW w:w="1108" w:type="pct"/>
            <w:tcMar>
              <w:top w:w="0" w:type="dxa"/>
              <w:bottom w:w="0" w:type="dxa"/>
            </w:tcMar>
            <w:vAlign w:val="center"/>
          </w:tcPr>
          <w:p w14:paraId="3570604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协商定价，宁波微赢调整投资计划，决定退出持股，经协商决定由乐摇受让承接，具有公允性</w:t>
            </w:r>
          </w:p>
        </w:tc>
      </w:tr>
      <w:tr w:rsidR="00C16B5D" w:rsidRPr="00DA3766" w14:paraId="2AC12768" w14:textId="77777777" w:rsidTr="00635015">
        <w:trPr>
          <w:trHeight w:val="397"/>
          <w:jc w:val="center"/>
        </w:trPr>
        <w:tc>
          <w:tcPr>
            <w:tcW w:w="216" w:type="pct"/>
            <w:vMerge/>
            <w:tcMar>
              <w:top w:w="0" w:type="dxa"/>
              <w:bottom w:w="0" w:type="dxa"/>
            </w:tcMar>
            <w:vAlign w:val="center"/>
          </w:tcPr>
          <w:p w14:paraId="2F1D317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0DFFBD7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tcMar>
              <w:top w:w="0" w:type="dxa"/>
              <w:bottom w:w="0" w:type="dxa"/>
            </w:tcMar>
            <w:vAlign w:val="center"/>
          </w:tcPr>
          <w:p w14:paraId="2714FF50" w14:textId="1D32006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第四次增资，为便于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公司未来股权激励需要，由员工持股平台乐熙熙向公司增资</w:t>
            </w:r>
          </w:p>
        </w:tc>
        <w:tc>
          <w:tcPr>
            <w:tcW w:w="543" w:type="pct"/>
            <w:tcMar>
              <w:top w:w="0" w:type="dxa"/>
              <w:bottom w:w="0" w:type="dxa"/>
            </w:tcMar>
            <w:vAlign w:val="center"/>
          </w:tcPr>
          <w:p w14:paraId="6B935B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乐熙熙</w:t>
            </w:r>
          </w:p>
        </w:tc>
        <w:tc>
          <w:tcPr>
            <w:tcW w:w="461" w:type="pct"/>
            <w:tcMar>
              <w:top w:w="0" w:type="dxa"/>
              <w:bottom w:w="0" w:type="dxa"/>
            </w:tcMar>
            <w:vAlign w:val="center"/>
          </w:tcPr>
          <w:p w14:paraId="0F2C38F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2E92489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0.8828</w:t>
            </w:r>
          </w:p>
        </w:tc>
        <w:tc>
          <w:tcPr>
            <w:tcW w:w="488" w:type="pct"/>
            <w:tcMar>
              <w:top w:w="0" w:type="dxa"/>
              <w:bottom w:w="0" w:type="dxa"/>
            </w:tcMar>
            <w:vAlign w:val="center"/>
          </w:tcPr>
          <w:p w14:paraId="3CF812D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02" w:type="pct"/>
            <w:tcMar>
              <w:top w:w="0" w:type="dxa"/>
              <w:bottom w:w="0" w:type="dxa"/>
            </w:tcMar>
            <w:vAlign w:val="center"/>
          </w:tcPr>
          <w:p w14:paraId="13F876B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3DEFEAF4" w14:textId="224776B2" w:rsidR="00C16B5D" w:rsidRPr="00DA3766" w:rsidRDefault="00C16B5D"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为便于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公司未来股权激励需要，由员工持股平台乐熙熙向公司增资，增资价格为</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r w:rsidRPr="00DA3766">
              <w:rPr>
                <w:rFonts w:ascii="Times New Roman" w:hAnsi="Times New Roman" w:cs="Times New Roman"/>
                <w:bCs/>
                <w:color w:val="000000"/>
                <w:sz w:val="21"/>
                <w:szCs w:val="21"/>
              </w:rPr>
              <w:t>/</w:t>
            </w:r>
            <w:r w:rsidRPr="00DA3766">
              <w:rPr>
                <w:rFonts w:ascii="Times New Roman" w:hAnsi="Times New Roman" w:cs="Times New Roman"/>
                <w:bCs/>
                <w:color w:val="000000"/>
                <w:sz w:val="21"/>
                <w:szCs w:val="21"/>
              </w:rPr>
              <w:t>注册资本，具有公允性</w:t>
            </w:r>
          </w:p>
        </w:tc>
      </w:tr>
      <w:tr w:rsidR="00C16B5D" w:rsidRPr="00DA3766" w14:paraId="532B3B14" w14:textId="77777777" w:rsidTr="00635015">
        <w:trPr>
          <w:trHeight w:val="397"/>
          <w:jc w:val="center"/>
        </w:trPr>
        <w:tc>
          <w:tcPr>
            <w:tcW w:w="216" w:type="pct"/>
            <w:vMerge w:val="restart"/>
            <w:tcMar>
              <w:top w:w="0" w:type="dxa"/>
              <w:bottom w:w="0" w:type="dxa"/>
            </w:tcMar>
            <w:vAlign w:val="center"/>
          </w:tcPr>
          <w:p w14:paraId="4F118AB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w:t>
            </w:r>
          </w:p>
        </w:tc>
        <w:tc>
          <w:tcPr>
            <w:tcW w:w="427" w:type="pct"/>
            <w:vMerge w:val="restart"/>
            <w:tcMar>
              <w:top w:w="0" w:type="dxa"/>
              <w:bottom w:w="0" w:type="dxa"/>
            </w:tcMar>
            <w:vAlign w:val="center"/>
          </w:tcPr>
          <w:p w14:paraId="6F0432D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2017.07</w:t>
            </w:r>
          </w:p>
        </w:tc>
        <w:tc>
          <w:tcPr>
            <w:tcW w:w="838" w:type="pct"/>
            <w:tcMar>
              <w:top w:w="0" w:type="dxa"/>
              <w:bottom w:w="0" w:type="dxa"/>
            </w:tcMar>
            <w:vAlign w:val="center"/>
          </w:tcPr>
          <w:p w14:paraId="0F1FA5E5" w14:textId="0921A7F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第五次增资，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35" w:tgtFrame="https://www.qcc.com/firm/_blank" w:history="1">
              <w:r w:rsidRPr="00DA3766">
                <w:rPr>
                  <w:rFonts w:ascii="Times New Roman" w:hAnsi="Times New Roman" w:cs="Times New Roman"/>
                  <w:bCs/>
                  <w:color w:val="000000"/>
                  <w:sz w:val="21"/>
                  <w:szCs w:val="21"/>
                </w:rPr>
                <w:t>南通成为常青</w:t>
              </w:r>
            </w:hyperlink>
          </w:p>
        </w:tc>
        <w:tc>
          <w:tcPr>
            <w:tcW w:w="543" w:type="pct"/>
            <w:tcMar>
              <w:top w:w="0" w:type="dxa"/>
              <w:bottom w:w="0" w:type="dxa"/>
            </w:tcMar>
            <w:vAlign w:val="center"/>
          </w:tcPr>
          <w:p w14:paraId="4C2C0D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6" w:tgtFrame="https://www.qcc.com/firm/_blank" w:history="1">
              <w:r w:rsidRPr="00DA3766">
                <w:rPr>
                  <w:rFonts w:ascii="Times New Roman" w:hAnsi="Times New Roman" w:cs="Times New Roman"/>
                  <w:bCs/>
                  <w:color w:val="000000"/>
                  <w:sz w:val="21"/>
                  <w:szCs w:val="21"/>
                </w:rPr>
                <w:t>南通成为常青</w:t>
              </w:r>
            </w:hyperlink>
          </w:p>
        </w:tc>
        <w:tc>
          <w:tcPr>
            <w:tcW w:w="461" w:type="pct"/>
            <w:tcMar>
              <w:top w:w="0" w:type="dxa"/>
              <w:bottom w:w="0" w:type="dxa"/>
            </w:tcMar>
            <w:vAlign w:val="center"/>
          </w:tcPr>
          <w:p w14:paraId="511A092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6EDDDFE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1.9619</w:t>
            </w:r>
          </w:p>
        </w:tc>
        <w:tc>
          <w:tcPr>
            <w:tcW w:w="488" w:type="pct"/>
            <w:tcMar>
              <w:top w:w="0" w:type="dxa"/>
              <w:bottom w:w="0" w:type="dxa"/>
            </w:tcMar>
            <w:vAlign w:val="center"/>
          </w:tcPr>
          <w:p w14:paraId="50E4813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1,332.54</w:t>
            </w:r>
          </w:p>
        </w:tc>
        <w:tc>
          <w:tcPr>
            <w:tcW w:w="502" w:type="pct"/>
            <w:tcMar>
              <w:top w:w="0" w:type="dxa"/>
              <w:bottom w:w="0" w:type="dxa"/>
            </w:tcMar>
            <w:vAlign w:val="center"/>
          </w:tcPr>
          <w:p w14:paraId="693E914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26,143.18</w:t>
            </w:r>
          </w:p>
        </w:tc>
        <w:tc>
          <w:tcPr>
            <w:tcW w:w="1108" w:type="pct"/>
            <w:vMerge w:val="restart"/>
            <w:tcMar>
              <w:top w:w="0" w:type="dxa"/>
              <w:bottom w:w="0" w:type="dxa"/>
            </w:tcMar>
            <w:vAlign w:val="center"/>
          </w:tcPr>
          <w:p w14:paraId="2057DFEE" w14:textId="3684582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公司引入外部投资人</w:t>
            </w:r>
            <w:hyperlink r:id="rId37"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，同时，考虑到前次受让宁波微赢股权需要资金拟转让部分股权，经与外部投资人</w:t>
            </w:r>
            <w:hyperlink r:id="rId38"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协商，决定由</w:t>
            </w:r>
            <w:hyperlink r:id="rId39"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增资的同时，受让乐摇部分老股，本次增资及转让对应</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公司整体估值为</w:t>
            </w:r>
            <w:r w:rsidRPr="00DA3766">
              <w:rPr>
                <w:rFonts w:ascii="Times New Roman" w:hAnsi="Times New Roman" w:cs="Times New Roman"/>
                <w:bCs/>
                <w:color w:val="000000"/>
                <w:sz w:val="21"/>
                <w:szCs w:val="21"/>
              </w:rPr>
              <w:t>20,000</w:t>
            </w:r>
            <w:r w:rsidRPr="00DA3766">
              <w:rPr>
                <w:rFonts w:ascii="Times New Roman" w:hAnsi="Times New Roman" w:cs="Times New Roman"/>
                <w:bCs/>
                <w:color w:val="000000"/>
                <w:sz w:val="21"/>
                <w:szCs w:val="21"/>
              </w:rPr>
              <w:t>万元，具有公允性</w:t>
            </w:r>
          </w:p>
        </w:tc>
      </w:tr>
      <w:tr w:rsidR="00C16B5D" w:rsidRPr="00DA3766" w14:paraId="332D8ACA" w14:textId="77777777" w:rsidTr="00635015">
        <w:trPr>
          <w:trHeight w:val="397"/>
          <w:jc w:val="center"/>
        </w:trPr>
        <w:tc>
          <w:tcPr>
            <w:tcW w:w="216" w:type="pct"/>
            <w:vMerge/>
            <w:tcMar>
              <w:top w:w="0" w:type="dxa"/>
              <w:bottom w:w="0" w:type="dxa"/>
            </w:tcMar>
            <w:vAlign w:val="center"/>
          </w:tcPr>
          <w:p w14:paraId="3C86469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064F88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tcMar>
              <w:top w:w="0" w:type="dxa"/>
              <w:bottom w:w="0" w:type="dxa"/>
            </w:tcMar>
            <w:vAlign w:val="center"/>
          </w:tcPr>
          <w:p w14:paraId="3423D34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第六次股权转让，因乐摇前次受让宁波微赢股权需要资金拟转让部分股权，经与外部投资人</w:t>
            </w:r>
            <w:hyperlink r:id="rId40"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协商决定由其受让部分乐摇持有的星云开物股权</w:t>
            </w:r>
          </w:p>
        </w:tc>
        <w:tc>
          <w:tcPr>
            <w:tcW w:w="543" w:type="pct"/>
            <w:tcMar>
              <w:top w:w="0" w:type="dxa"/>
              <w:bottom w:w="0" w:type="dxa"/>
            </w:tcMar>
            <w:vAlign w:val="center"/>
          </w:tcPr>
          <w:p w14:paraId="5D6C78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1" w:tgtFrame="https://www.qcc.com/firm/_blank" w:history="1">
              <w:r w:rsidRPr="00DA3766">
                <w:rPr>
                  <w:rFonts w:ascii="Times New Roman" w:hAnsi="Times New Roman" w:cs="Times New Roman"/>
                  <w:bCs/>
                  <w:color w:val="000000"/>
                  <w:sz w:val="21"/>
                  <w:szCs w:val="21"/>
                </w:rPr>
                <w:t>南通成为常青</w:t>
              </w:r>
            </w:hyperlink>
          </w:p>
        </w:tc>
        <w:tc>
          <w:tcPr>
            <w:tcW w:w="461" w:type="pct"/>
            <w:tcMar>
              <w:top w:w="0" w:type="dxa"/>
              <w:bottom w:w="0" w:type="dxa"/>
            </w:tcMar>
            <w:vAlign w:val="center"/>
          </w:tcPr>
          <w:p w14:paraId="2547365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17" w:type="pct"/>
            <w:tcMar>
              <w:top w:w="0" w:type="dxa"/>
              <w:bottom w:w="0" w:type="dxa"/>
            </w:tcMar>
            <w:vAlign w:val="center"/>
          </w:tcPr>
          <w:p w14:paraId="37FD4FD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1.9619</w:t>
            </w:r>
          </w:p>
        </w:tc>
        <w:tc>
          <w:tcPr>
            <w:tcW w:w="488" w:type="pct"/>
            <w:tcMar>
              <w:top w:w="0" w:type="dxa"/>
              <w:bottom w:w="0" w:type="dxa"/>
            </w:tcMar>
            <w:vAlign w:val="center"/>
          </w:tcPr>
          <w:p w14:paraId="0BEDFFC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706.30</w:t>
            </w:r>
          </w:p>
        </w:tc>
        <w:tc>
          <w:tcPr>
            <w:tcW w:w="502" w:type="pct"/>
            <w:tcMar>
              <w:top w:w="0" w:type="dxa"/>
              <w:bottom w:w="0" w:type="dxa"/>
            </w:tcMar>
            <w:vAlign w:val="center"/>
          </w:tcPr>
          <w:p w14:paraId="447AEA2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12,471.14</w:t>
            </w:r>
          </w:p>
        </w:tc>
        <w:tc>
          <w:tcPr>
            <w:tcW w:w="1108" w:type="pct"/>
            <w:vMerge/>
            <w:tcMar>
              <w:top w:w="0" w:type="dxa"/>
              <w:bottom w:w="0" w:type="dxa"/>
            </w:tcMar>
            <w:vAlign w:val="center"/>
          </w:tcPr>
          <w:p w14:paraId="3A75F17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14148C17" w14:textId="77777777" w:rsidTr="00635015">
        <w:trPr>
          <w:trHeight w:val="397"/>
          <w:jc w:val="center"/>
        </w:trPr>
        <w:tc>
          <w:tcPr>
            <w:tcW w:w="216" w:type="pct"/>
            <w:tcMar>
              <w:top w:w="0" w:type="dxa"/>
              <w:bottom w:w="0" w:type="dxa"/>
            </w:tcMar>
            <w:vAlign w:val="center"/>
          </w:tcPr>
          <w:p w14:paraId="753235E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9</w:t>
            </w:r>
          </w:p>
        </w:tc>
        <w:tc>
          <w:tcPr>
            <w:tcW w:w="427" w:type="pct"/>
            <w:tcMar>
              <w:top w:w="0" w:type="dxa"/>
              <w:bottom w:w="0" w:type="dxa"/>
            </w:tcMar>
            <w:vAlign w:val="center"/>
          </w:tcPr>
          <w:p w14:paraId="224AECE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2017.09</w:t>
            </w:r>
          </w:p>
        </w:tc>
        <w:tc>
          <w:tcPr>
            <w:tcW w:w="838" w:type="pct"/>
            <w:tcMar>
              <w:top w:w="0" w:type="dxa"/>
              <w:bottom w:w="0" w:type="dxa"/>
            </w:tcMar>
            <w:vAlign w:val="center"/>
          </w:tcPr>
          <w:p w14:paraId="2F6F6237" w14:textId="09E1D9D6"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第七次股权转让，徐德强因个人资金需求，拟转让部分老股，考虑到需要</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公司协助其寻找适合受让方，且考虑到未来股权激励需要，协商决定由员工持股平台乐哈哈受让其股权</w:t>
            </w:r>
          </w:p>
        </w:tc>
        <w:tc>
          <w:tcPr>
            <w:tcW w:w="543" w:type="pct"/>
            <w:tcMar>
              <w:top w:w="0" w:type="dxa"/>
              <w:bottom w:w="0" w:type="dxa"/>
            </w:tcMar>
            <w:vAlign w:val="center"/>
          </w:tcPr>
          <w:p w14:paraId="5F179AF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乐哈哈</w:t>
            </w:r>
          </w:p>
        </w:tc>
        <w:tc>
          <w:tcPr>
            <w:tcW w:w="461" w:type="pct"/>
            <w:tcMar>
              <w:top w:w="0" w:type="dxa"/>
              <w:bottom w:w="0" w:type="dxa"/>
            </w:tcMar>
            <w:vAlign w:val="center"/>
          </w:tcPr>
          <w:p w14:paraId="27A0DE6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17" w:type="pct"/>
            <w:tcMar>
              <w:top w:w="0" w:type="dxa"/>
              <w:bottom w:w="0" w:type="dxa"/>
            </w:tcMar>
            <w:vAlign w:val="center"/>
          </w:tcPr>
          <w:p w14:paraId="61810C1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1.5009</w:t>
            </w:r>
          </w:p>
        </w:tc>
        <w:tc>
          <w:tcPr>
            <w:tcW w:w="488" w:type="pct"/>
            <w:tcMar>
              <w:top w:w="0" w:type="dxa"/>
              <w:bottom w:w="0" w:type="dxa"/>
            </w:tcMar>
            <w:vAlign w:val="center"/>
          </w:tcPr>
          <w:p w14:paraId="2EBA36D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666.67</w:t>
            </w:r>
          </w:p>
        </w:tc>
        <w:tc>
          <w:tcPr>
            <w:tcW w:w="502" w:type="pct"/>
            <w:tcMar>
              <w:top w:w="0" w:type="dxa"/>
              <w:bottom w:w="0" w:type="dxa"/>
            </w:tcMar>
            <w:vAlign w:val="center"/>
          </w:tcPr>
          <w:p w14:paraId="38D7619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13,071.55</w:t>
            </w:r>
          </w:p>
        </w:tc>
        <w:tc>
          <w:tcPr>
            <w:tcW w:w="1108" w:type="pct"/>
            <w:tcMar>
              <w:top w:w="0" w:type="dxa"/>
              <w:bottom w:w="0" w:type="dxa"/>
            </w:tcMar>
            <w:vAlign w:val="center"/>
          </w:tcPr>
          <w:p w14:paraId="39C815F4" w14:textId="0608290E"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协商定价，徐德强作为</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公司创始股东之一，因个人资金需求，拟转让部分股权，鉴于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公司尚处于早期发展阶段，其对外转让需要</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助寻找适合受让方，同时，考虑到未来股权激励需要，经与徐德强商议，决定由员工持股平台乐哈哈先行受让该部分股权，后续由乐哈哈出售部分股权筹措资金支付徐德强转让对价，出售后剩余的股权，则用于后续股权激励，具有公允性</w:t>
            </w:r>
          </w:p>
        </w:tc>
      </w:tr>
      <w:tr w:rsidR="00C16B5D" w:rsidRPr="00DA3766" w14:paraId="3E8DC771" w14:textId="77777777" w:rsidTr="00635015">
        <w:trPr>
          <w:trHeight w:val="397"/>
          <w:jc w:val="center"/>
        </w:trPr>
        <w:tc>
          <w:tcPr>
            <w:tcW w:w="216" w:type="pct"/>
            <w:tcMar>
              <w:top w:w="0" w:type="dxa"/>
              <w:bottom w:w="0" w:type="dxa"/>
            </w:tcMar>
            <w:vAlign w:val="center"/>
          </w:tcPr>
          <w:p w14:paraId="734F012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10</w:t>
            </w:r>
          </w:p>
        </w:tc>
        <w:tc>
          <w:tcPr>
            <w:tcW w:w="427" w:type="pct"/>
            <w:tcMar>
              <w:top w:w="0" w:type="dxa"/>
              <w:bottom w:w="0" w:type="dxa"/>
            </w:tcMar>
            <w:vAlign w:val="center"/>
          </w:tcPr>
          <w:p w14:paraId="38EC3B3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2017.09</w:t>
            </w:r>
          </w:p>
        </w:tc>
        <w:tc>
          <w:tcPr>
            <w:tcW w:w="838" w:type="pct"/>
            <w:tcMar>
              <w:top w:w="0" w:type="dxa"/>
              <w:bottom w:w="0" w:type="dxa"/>
            </w:tcMar>
            <w:vAlign w:val="center"/>
          </w:tcPr>
          <w:p w14:paraId="59A8852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第八次股权转让，乐哈哈因受让徐德强股权需要资金，经与南通成为常青商议，决定转让部分股权给南通成为常青</w:t>
            </w:r>
          </w:p>
        </w:tc>
        <w:tc>
          <w:tcPr>
            <w:tcW w:w="543" w:type="pct"/>
            <w:tcMar>
              <w:top w:w="0" w:type="dxa"/>
              <w:bottom w:w="0" w:type="dxa"/>
            </w:tcMar>
            <w:vAlign w:val="center"/>
          </w:tcPr>
          <w:p w14:paraId="3109BAC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南通成为常青</w:t>
            </w:r>
          </w:p>
        </w:tc>
        <w:tc>
          <w:tcPr>
            <w:tcW w:w="461" w:type="pct"/>
            <w:tcMar>
              <w:top w:w="0" w:type="dxa"/>
              <w:bottom w:w="0" w:type="dxa"/>
            </w:tcMar>
            <w:vAlign w:val="center"/>
          </w:tcPr>
          <w:p w14:paraId="5D50582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乐哈哈</w:t>
            </w:r>
          </w:p>
        </w:tc>
        <w:tc>
          <w:tcPr>
            <w:tcW w:w="417" w:type="pct"/>
            <w:tcMar>
              <w:top w:w="0" w:type="dxa"/>
              <w:bottom w:w="0" w:type="dxa"/>
            </w:tcMar>
            <w:vAlign w:val="center"/>
          </w:tcPr>
          <w:p w14:paraId="6E53093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0.7504</w:t>
            </w:r>
          </w:p>
        </w:tc>
        <w:tc>
          <w:tcPr>
            <w:tcW w:w="488" w:type="pct"/>
            <w:tcMar>
              <w:top w:w="0" w:type="dxa"/>
              <w:bottom w:w="0" w:type="dxa"/>
            </w:tcMar>
            <w:vAlign w:val="center"/>
          </w:tcPr>
          <w:p w14:paraId="02965C0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1,332.62</w:t>
            </w:r>
          </w:p>
        </w:tc>
        <w:tc>
          <w:tcPr>
            <w:tcW w:w="502" w:type="pct"/>
            <w:tcMar>
              <w:top w:w="0" w:type="dxa"/>
              <w:bottom w:w="0" w:type="dxa"/>
            </w:tcMar>
            <w:vAlign w:val="center"/>
          </w:tcPr>
          <w:p w14:paraId="5D553D8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26,143.11</w:t>
            </w:r>
          </w:p>
        </w:tc>
        <w:tc>
          <w:tcPr>
            <w:tcW w:w="1108" w:type="pct"/>
            <w:tcMar>
              <w:top w:w="0" w:type="dxa"/>
              <w:bottom w:w="0" w:type="dxa"/>
            </w:tcMar>
            <w:vAlign w:val="center"/>
          </w:tcPr>
          <w:p w14:paraId="2A272F3B" w14:textId="021BABB9"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协商定价，本次转让系</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公司为满足徐德强需求，在乐哈哈在先行受让徐德强股权后，寻找第三方（南通成为长青）转让股权筹措资金用于支付受让徐德强对价，本次转让作价与前次南通成为</w:t>
            </w:r>
            <w:r w:rsidR="008144F1" w:rsidRPr="00DA3766">
              <w:rPr>
                <w:rFonts w:ascii="Times New Roman" w:hAnsi="Times New Roman" w:cs="Times New Roman"/>
                <w:bCs/>
                <w:color w:val="000000"/>
                <w:sz w:val="21"/>
                <w:szCs w:val="21"/>
              </w:rPr>
              <w:t>南通成为常</w:t>
            </w:r>
            <w:r w:rsidRPr="00DA3766">
              <w:rPr>
                <w:rFonts w:ascii="Times New Roman" w:hAnsi="Times New Roman" w:cs="Times New Roman"/>
                <w:bCs/>
                <w:color w:val="000000"/>
                <w:sz w:val="21"/>
                <w:szCs w:val="21"/>
              </w:rPr>
              <w:t>青增资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公司估值一致，具有公允性</w:t>
            </w:r>
          </w:p>
        </w:tc>
      </w:tr>
      <w:tr w:rsidR="00C16B5D" w:rsidRPr="00DA3766" w14:paraId="3797D0E6" w14:textId="77777777" w:rsidTr="00635015">
        <w:trPr>
          <w:trHeight w:val="397"/>
          <w:jc w:val="center"/>
        </w:trPr>
        <w:tc>
          <w:tcPr>
            <w:tcW w:w="216" w:type="pct"/>
            <w:tcMar>
              <w:top w:w="0" w:type="dxa"/>
              <w:bottom w:w="0" w:type="dxa"/>
            </w:tcMar>
            <w:vAlign w:val="center"/>
          </w:tcPr>
          <w:p w14:paraId="60291A8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11</w:t>
            </w:r>
          </w:p>
        </w:tc>
        <w:tc>
          <w:tcPr>
            <w:tcW w:w="427" w:type="pct"/>
            <w:tcMar>
              <w:top w:w="0" w:type="dxa"/>
              <w:bottom w:w="0" w:type="dxa"/>
            </w:tcMar>
            <w:vAlign w:val="center"/>
          </w:tcPr>
          <w:p w14:paraId="23ECB7F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2018.06</w:t>
            </w:r>
          </w:p>
        </w:tc>
        <w:tc>
          <w:tcPr>
            <w:tcW w:w="838" w:type="pct"/>
            <w:tcMar>
              <w:top w:w="0" w:type="dxa"/>
              <w:bottom w:w="0" w:type="dxa"/>
            </w:tcMar>
            <w:vAlign w:val="center"/>
          </w:tcPr>
          <w:p w14:paraId="4B5B4F28" w14:textId="6C4B18A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第六次增资，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公司因发展需要引入外部投资人苏州市德同合心、上海德盾、深圳市前海千意智合三期</w:t>
            </w:r>
          </w:p>
        </w:tc>
        <w:tc>
          <w:tcPr>
            <w:tcW w:w="543" w:type="pct"/>
            <w:tcMar>
              <w:top w:w="0" w:type="dxa"/>
              <w:bottom w:w="0" w:type="dxa"/>
            </w:tcMar>
            <w:vAlign w:val="center"/>
          </w:tcPr>
          <w:p w14:paraId="08F8A11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苏州市德同合心、上海德盾、深圳市前海千意智合三期</w:t>
            </w:r>
          </w:p>
        </w:tc>
        <w:tc>
          <w:tcPr>
            <w:tcW w:w="461" w:type="pct"/>
            <w:tcMar>
              <w:top w:w="0" w:type="dxa"/>
              <w:bottom w:w="0" w:type="dxa"/>
            </w:tcMar>
            <w:vAlign w:val="center"/>
          </w:tcPr>
          <w:p w14:paraId="454927A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228411C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2.4523</w:t>
            </w:r>
          </w:p>
        </w:tc>
        <w:tc>
          <w:tcPr>
            <w:tcW w:w="488" w:type="pct"/>
            <w:tcMar>
              <w:top w:w="0" w:type="dxa"/>
              <w:bottom w:w="0" w:type="dxa"/>
            </w:tcMar>
            <w:vAlign w:val="center"/>
          </w:tcPr>
          <w:p w14:paraId="3FAA074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2,038.79</w:t>
            </w:r>
          </w:p>
        </w:tc>
        <w:tc>
          <w:tcPr>
            <w:tcW w:w="502" w:type="pct"/>
            <w:tcMar>
              <w:top w:w="0" w:type="dxa"/>
              <w:bottom w:w="0" w:type="dxa"/>
            </w:tcMar>
            <w:vAlign w:val="center"/>
          </w:tcPr>
          <w:p w14:paraId="78E5494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45,000.00</w:t>
            </w:r>
          </w:p>
        </w:tc>
        <w:tc>
          <w:tcPr>
            <w:tcW w:w="1108" w:type="pct"/>
            <w:tcMar>
              <w:top w:w="0" w:type="dxa"/>
              <w:bottom w:w="0" w:type="dxa"/>
            </w:tcMar>
            <w:vAlign w:val="center"/>
          </w:tcPr>
          <w:p w14:paraId="0F388AD3" w14:textId="4B18C046"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公司估值高于之前最近一次融资价格，具有公允性</w:t>
            </w:r>
          </w:p>
        </w:tc>
      </w:tr>
      <w:tr w:rsidR="00C16B5D" w:rsidRPr="00DA3766" w14:paraId="1E23E385" w14:textId="77777777" w:rsidTr="00635015">
        <w:trPr>
          <w:trHeight w:val="397"/>
          <w:jc w:val="center"/>
        </w:trPr>
        <w:tc>
          <w:tcPr>
            <w:tcW w:w="216" w:type="pct"/>
            <w:tcMar>
              <w:top w:w="0" w:type="dxa"/>
              <w:bottom w:w="0" w:type="dxa"/>
            </w:tcMar>
            <w:vAlign w:val="center"/>
          </w:tcPr>
          <w:p w14:paraId="5635E48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w:t>
            </w:r>
          </w:p>
        </w:tc>
        <w:tc>
          <w:tcPr>
            <w:tcW w:w="427" w:type="pct"/>
            <w:tcMar>
              <w:top w:w="0" w:type="dxa"/>
              <w:bottom w:w="0" w:type="dxa"/>
            </w:tcMar>
            <w:vAlign w:val="center"/>
          </w:tcPr>
          <w:p w14:paraId="6C8D6BE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2018.09</w:t>
            </w:r>
          </w:p>
        </w:tc>
        <w:tc>
          <w:tcPr>
            <w:tcW w:w="838" w:type="pct"/>
            <w:tcMar>
              <w:top w:w="0" w:type="dxa"/>
              <w:bottom w:w="0" w:type="dxa"/>
            </w:tcMar>
            <w:vAlign w:val="center"/>
          </w:tcPr>
          <w:p w14:paraId="08727596" w14:textId="2D8C5E8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第七次增资，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公司因发展需要以资本公积对全体股东同比例增资</w:t>
            </w:r>
          </w:p>
        </w:tc>
        <w:tc>
          <w:tcPr>
            <w:tcW w:w="543" w:type="pct"/>
            <w:tcMar>
              <w:top w:w="0" w:type="dxa"/>
              <w:bottom w:w="0" w:type="dxa"/>
            </w:tcMar>
            <w:vAlign w:val="center"/>
          </w:tcPr>
          <w:p w14:paraId="2A15B32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全体时任在册股东</w:t>
            </w:r>
          </w:p>
        </w:tc>
        <w:tc>
          <w:tcPr>
            <w:tcW w:w="461" w:type="pct"/>
            <w:tcMar>
              <w:top w:w="0" w:type="dxa"/>
              <w:bottom w:w="0" w:type="dxa"/>
            </w:tcMar>
            <w:vAlign w:val="center"/>
          </w:tcPr>
          <w:p w14:paraId="1D872A8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65772F7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88" w:type="pct"/>
            <w:tcMar>
              <w:top w:w="0" w:type="dxa"/>
              <w:bottom w:w="0" w:type="dxa"/>
            </w:tcMar>
            <w:vAlign w:val="center"/>
          </w:tcPr>
          <w:p w14:paraId="2864F1C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02" w:type="pct"/>
            <w:tcMar>
              <w:top w:w="0" w:type="dxa"/>
              <w:bottom w:w="0" w:type="dxa"/>
            </w:tcMar>
            <w:vAlign w:val="center"/>
          </w:tcPr>
          <w:p w14:paraId="439D0BD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7ADBB35B"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099C122E" w14:textId="77777777" w:rsidTr="00635015">
        <w:trPr>
          <w:trHeight w:val="397"/>
          <w:jc w:val="center"/>
        </w:trPr>
        <w:tc>
          <w:tcPr>
            <w:tcW w:w="216" w:type="pct"/>
            <w:tcMar>
              <w:top w:w="0" w:type="dxa"/>
              <w:bottom w:w="0" w:type="dxa"/>
            </w:tcMar>
            <w:vAlign w:val="center"/>
          </w:tcPr>
          <w:p w14:paraId="61DC32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w:t>
            </w:r>
          </w:p>
        </w:tc>
        <w:tc>
          <w:tcPr>
            <w:tcW w:w="427" w:type="pct"/>
            <w:tcMar>
              <w:top w:w="0" w:type="dxa"/>
              <w:bottom w:w="0" w:type="dxa"/>
            </w:tcMar>
            <w:vAlign w:val="center"/>
          </w:tcPr>
          <w:p w14:paraId="579B284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2019.08</w:t>
            </w:r>
          </w:p>
        </w:tc>
        <w:tc>
          <w:tcPr>
            <w:tcW w:w="838" w:type="pct"/>
            <w:tcMar>
              <w:top w:w="0" w:type="dxa"/>
              <w:bottom w:w="0" w:type="dxa"/>
            </w:tcMar>
            <w:vAlign w:val="center"/>
          </w:tcPr>
          <w:p w14:paraId="76653F19" w14:textId="6F444BE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第八次增资，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公司因发展需要以资本公积对全体股东同比例增资</w:t>
            </w:r>
          </w:p>
        </w:tc>
        <w:tc>
          <w:tcPr>
            <w:tcW w:w="543" w:type="pct"/>
            <w:tcMar>
              <w:top w:w="0" w:type="dxa"/>
              <w:bottom w:w="0" w:type="dxa"/>
            </w:tcMar>
            <w:vAlign w:val="center"/>
          </w:tcPr>
          <w:p w14:paraId="2532A65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全体时任在册股东</w:t>
            </w:r>
          </w:p>
        </w:tc>
        <w:tc>
          <w:tcPr>
            <w:tcW w:w="461" w:type="pct"/>
            <w:tcMar>
              <w:top w:w="0" w:type="dxa"/>
              <w:bottom w:w="0" w:type="dxa"/>
            </w:tcMar>
            <w:vAlign w:val="center"/>
          </w:tcPr>
          <w:p w14:paraId="2323D54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30BA132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88" w:type="pct"/>
            <w:tcMar>
              <w:top w:w="0" w:type="dxa"/>
              <w:bottom w:w="0" w:type="dxa"/>
            </w:tcMar>
            <w:vAlign w:val="center"/>
          </w:tcPr>
          <w:p w14:paraId="6D7DC3D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02" w:type="pct"/>
            <w:tcMar>
              <w:top w:w="0" w:type="dxa"/>
              <w:bottom w:w="0" w:type="dxa"/>
            </w:tcMar>
            <w:vAlign w:val="center"/>
          </w:tcPr>
          <w:p w14:paraId="0CCFE96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1F3AC30E"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50BAB6E1" w14:textId="77777777" w:rsidTr="00635015">
        <w:trPr>
          <w:trHeight w:val="397"/>
          <w:jc w:val="center"/>
        </w:trPr>
        <w:tc>
          <w:tcPr>
            <w:tcW w:w="216" w:type="pct"/>
            <w:vMerge w:val="restart"/>
            <w:tcMar>
              <w:top w:w="0" w:type="dxa"/>
              <w:bottom w:w="0" w:type="dxa"/>
            </w:tcMar>
            <w:vAlign w:val="center"/>
          </w:tcPr>
          <w:p w14:paraId="437232B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14</w:t>
            </w:r>
          </w:p>
        </w:tc>
        <w:tc>
          <w:tcPr>
            <w:tcW w:w="427" w:type="pct"/>
            <w:vMerge w:val="restart"/>
            <w:tcMar>
              <w:top w:w="0" w:type="dxa"/>
              <w:bottom w:w="0" w:type="dxa"/>
            </w:tcMar>
            <w:vAlign w:val="center"/>
          </w:tcPr>
          <w:p w14:paraId="0F11A08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2020.01</w:t>
            </w:r>
          </w:p>
        </w:tc>
        <w:tc>
          <w:tcPr>
            <w:tcW w:w="838" w:type="pct"/>
            <w:vMerge w:val="restart"/>
            <w:tcMar>
              <w:top w:w="0" w:type="dxa"/>
              <w:bottom w:w="0" w:type="dxa"/>
            </w:tcMar>
            <w:vAlign w:val="center"/>
          </w:tcPr>
          <w:p w14:paraId="32483E66" w14:textId="58A4B13D"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第九次增资，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42" w:tgtFrame="https://www.qcc.com/firm/_blank" w:history="1">
              <w:r w:rsidRPr="00DA3766">
                <w:rPr>
                  <w:rFonts w:ascii="Times New Roman" w:hAnsi="Times New Roman" w:cs="Times New Roman"/>
                  <w:bCs/>
                  <w:color w:val="000000"/>
                  <w:sz w:val="21"/>
                  <w:szCs w:val="21"/>
                </w:rPr>
                <w:t>林芝利新</w:t>
              </w:r>
            </w:hyperlink>
            <w:r w:rsidRPr="00DA3766">
              <w:rPr>
                <w:rFonts w:ascii="Times New Roman" w:hAnsi="Times New Roman" w:cs="Times New Roman"/>
                <w:bCs/>
                <w:color w:val="000000"/>
                <w:sz w:val="21"/>
                <w:szCs w:val="21"/>
              </w:rPr>
              <w:t>、</w:t>
            </w:r>
            <w:hyperlink r:id="rId43" w:tgtFrame="https://www.qcc.com/firm/_blank" w:history="1">
              <w:r w:rsidRPr="00DA3766">
                <w:rPr>
                  <w:rFonts w:ascii="Times New Roman" w:hAnsi="Times New Roman" w:cs="Times New Roman"/>
                  <w:bCs/>
                  <w:color w:val="000000"/>
                  <w:sz w:val="21"/>
                  <w:szCs w:val="21"/>
                </w:rPr>
                <w:t>璀璨远见</w:t>
              </w:r>
            </w:hyperlink>
            <w:r w:rsidRPr="00DA3766">
              <w:rPr>
                <w:rFonts w:ascii="Times New Roman" w:hAnsi="Times New Roman" w:cs="Times New Roman"/>
                <w:bCs/>
                <w:color w:val="000000"/>
                <w:sz w:val="21"/>
                <w:szCs w:val="21"/>
              </w:rPr>
              <w:t>、</w:t>
            </w:r>
            <w:hyperlink r:id="rId44" w:tgtFrame="https://www.qcc.com/firm/_blank" w:history="1">
              <w:r w:rsidRPr="00DA3766">
                <w:rPr>
                  <w:rFonts w:ascii="Times New Roman" w:hAnsi="Times New Roman" w:cs="Times New Roman"/>
                  <w:bCs/>
                  <w:color w:val="000000"/>
                  <w:sz w:val="21"/>
                  <w:szCs w:val="21"/>
                </w:rPr>
                <w:t>璀璨德商</w:t>
              </w:r>
            </w:hyperlink>
            <w:r w:rsidRPr="00DA3766">
              <w:rPr>
                <w:rFonts w:ascii="Times New Roman" w:hAnsi="Times New Roman" w:cs="Times New Roman"/>
                <w:bCs/>
                <w:color w:val="000000"/>
                <w:sz w:val="21"/>
                <w:szCs w:val="21"/>
              </w:rPr>
              <w:t>、</w:t>
            </w:r>
            <w:hyperlink r:id="rId45" w:tgtFrame="https://www.qcc.com/firm/_blank" w:history="1">
              <w:r w:rsidRPr="00DA3766">
                <w:rPr>
                  <w:rFonts w:ascii="Times New Roman" w:hAnsi="Times New Roman" w:cs="Times New Roman"/>
                  <w:bCs/>
                  <w:color w:val="000000"/>
                  <w:sz w:val="21"/>
                  <w:szCs w:val="21"/>
                </w:rPr>
                <w:t>广州信德创业营</w:t>
              </w:r>
            </w:hyperlink>
            <w:r w:rsidRPr="00DA3766">
              <w:rPr>
                <w:rFonts w:ascii="Times New Roman" w:hAnsi="Times New Roman" w:cs="Times New Roman"/>
                <w:bCs/>
                <w:color w:val="000000"/>
                <w:sz w:val="21"/>
                <w:szCs w:val="21"/>
              </w:rPr>
              <w:t>、</w:t>
            </w:r>
            <w:hyperlink r:id="rId46"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，同时，为实施股权激励需要由员工持股平台乐</w:t>
            </w:r>
            <w:r w:rsidRPr="00DA3766">
              <w:rPr>
                <w:rFonts w:ascii="Times New Roman" w:hAnsi="Times New Roman" w:cs="Times New Roman"/>
                <w:bCs/>
                <w:color w:val="000000"/>
                <w:sz w:val="21"/>
                <w:szCs w:val="21"/>
              </w:rPr>
              <w:lastRenderedPageBreak/>
              <w:t>洋洋同步增资</w:t>
            </w:r>
          </w:p>
        </w:tc>
        <w:tc>
          <w:tcPr>
            <w:tcW w:w="543" w:type="pct"/>
            <w:tcMar>
              <w:top w:w="0" w:type="dxa"/>
              <w:bottom w:w="0" w:type="dxa"/>
            </w:tcMar>
            <w:vAlign w:val="center"/>
          </w:tcPr>
          <w:p w14:paraId="188EA35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7" w:tgtFrame="https://www.qcc.com/firm/_blank" w:history="1">
              <w:r w:rsidRPr="00DA3766">
                <w:rPr>
                  <w:rFonts w:ascii="Times New Roman" w:hAnsi="Times New Roman" w:cs="Times New Roman"/>
                  <w:bCs/>
                  <w:color w:val="000000"/>
                  <w:sz w:val="21"/>
                  <w:szCs w:val="21"/>
                </w:rPr>
                <w:t>林芝利新</w:t>
              </w:r>
            </w:hyperlink>
            <w:r w:rsidRPr="00DA3766">
              <w:rPr>
                <w:rFonts w:ascii="Times New Roman" w:hAnsi="Times New Roman" w:cs="Times New Roman"/>
                <w:bCs/>
                <w:color w:val="000000"/>
                <w:sz w:val="21"/>
                <w:szCs w:val="21"/>
              </w:rPr>
              <w:t>、</w:t>
            </w:r>
            <w:hyperlink r:id="rId48" w:tgtFrame="https://www.qcc.com/firm/_blank" w:history="1">
              <w:r w:rsidRPr="00DA3766">
                <w:rPr>
                  <w:rFonts w:ascii="Times New Roman" w:hAnsi="Times New Roman" w:cs="Times New Roman"/>
                  <w:bCs/>
                  <w:color w:val="000000"/>
                  <w:sz w:val="21"/>
                  <w:szCs w:val="21"/>
                </w:rPr>
                <w:t>璀璨远见</w:t>
              </w:r>
            </w:hyperlink>
            <w:r w:rsidRPr="00DA3766">
              <w:rPr>
                <w:rFonts w:ascii="Times New Roman" w:hAnsi="Times New Roman" w:cs="Times New Roman"/>
                <w:bCs/>
                <w:color w:val="000000"/>
                <w:sz w:val="21"/>
                <w:szCs w:val="21"/>
              </w:rPr>
              <w:t>、</w:t>
            </w:r>
            <w:hyperlink r:id="rId49" w:tgtFrame="https://www.qcc.com/firm/_blank" w:history="1">
              <w:r w:rsidRPr="00DA3766">
                <w:rPr>
                  <w:rFonts w:ascii="Times New Roman" w:hAnsi="Times New Roman" w:cs="Times New Roman"/>
                  <w:bCs/>
                  <w:color w:val="000000"/>
                  <w:sz w:val="21"/>
                  <w:szCs w:val="21"/>
                </w:rPr>
                <w:t>璀璨德商</w:t>
              </w:r>
            </w:hyperlink>
            <w:r w:rsidRPr="00DA3766">
              <w:rPr>
                <w:rFonts w:ascii="Times New Roman" w:hAnsi="Times New Roman" w:cs="Times New Roman"/>
                <w:bCs/>
                <w:color w:val="000000"/>
                <w:sz w:val="21"/>
                <w:szCs w:val="21"/>
              </w:rPr>
              <w:t>、</w:t>
            </w:r>
            <w:hyperlink r:id="rId50" w:tgtFrame="https://www.qcc.com/firm/_blank" w:history="1">
              <w:r w:rsidRPr="00DA3766">
                <w:rPr>
                  <w:rFonts w:ascii="Times New Roman" w:hAnsi="Times New Roman" w:cs="Times New Roman"/>
                  <w:bCs/>
                  <w:color w:val="000000"/>
                  <w:sz w:val="21"/>
                  <w:szCs w:val="21"/>
                </w:rPr>
                <w:t>广州信德创业营</w:t>
              </w:r>
            </w:hyperlink>
            <w:r w:rsidRPr="00DA3766">
              <w:rPr>
                <w:rFonts w:ascii="Times New Roman" w:hAnsi="Times New Roman" w:cs="Times New Roman"/>
                <w:bCs/>
                <w:color w:val="000000"/>
                <w:sz w:val="21"/>
                <w:szCs w:val="21"/>
              </w:rPr>
              <w:t>、</w:t>
            </w:r>
            <w:hyperlink r:id="rId51" w:tgtFrame="https://www.qcc.com/firm/_blank" w:history="1">
              <w:r w:rsidRPr="00DA3766">
                <w:rPr>
                  <w:rFonts w:ascii="Times New Roman" w:hAnsi="Times New Roman" w:cs="Times New Roman"/>
                  <w:bCs/>
                  <w:color w:val="000000"/>
                  <w:sz w:val="21"/>
                  <w:szCs w:val="21"/>
                </w:rPr>
                <w:t>珠海康远</w:t>
              </w:r>
            </w:hyperlink>
          </w:p>
        </w:tc>
        <w:tc>
          <w:tcPr>
            <w:tcW w:w="461" w:type="pct"/>
            <w:tcMar>
              <w:top w:w="0" w:type="dxa"/>
              <w:bottom w:w="0" w:type="dxa"/>
            </w:tcMar>
            <w:vAlign w:val="center"/>
          </w:tcPr>
          <w:p w14:paraId="331D746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0C089DC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158.4233</w:t>
            </w:r>
          </w:p>
        </w:tc>
        <w:tc>
          <w:tcPr>
            <w:tcW w:w="488" w:type="pct"/>
            <w:tcMar>
              <w:top w:w="0" w:type="dxa"/>
              <w:bottom w:w="0" w:type="dxa"/>
            </w:tcMar>
            <w:vAlign w:val="center"/>
          </w:tcPr>
          <w:p w14:paraId="4199411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82.45</w:t>
            </w:r>
          </w:p>
        </w:tc>
        <w:tc>
          <w:tcPr>
            <w:tcW w:w="502" w:type="pct"/>
            <w:tcMar>
              <w:top w:w="0" w:type="dxa"/>
              <w:bottom w:w="0" w:type="dxa"/>
            </w:tcMar>
            <w:vAlign w:val="center"/>
          </w:tcPr>
          <w:p w14:paraId="2F62135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100,000.00</w:t>
            </w:r>
          </w:p>
        </w:tc>
        <w:tc>
          <w:tcPr>
            <w:tcW w:w="1108" w:type="pct"/>
            <w:tcMar>
              <w:top w:w="0" w:type="dxa"/>
              <w:bottom w:w="0" w:type="dxa"/>
            </w:tcMar>
            <w:vAlign w:val="center"/>
          </w:tcPr>
          <w:p w14:paraId="608D25EE" w14:textId="07F9AFE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公司估值高于之前最近一次融资价格，具有公允性</w:t>
            </w:r>
          </w:p>
        </w:tc>
      </w:tr>
      <w:tr w:rsidR="00C16B5D" w:rsidRPr="00DA3766" w14:paraId="51D7C792" w14:textId="77777777" w:rsidTr="00635015">
        <w:trPr>
          <w:trHeight w:val="397"/>
          <w:jc w:val="center"/>
        </w:trPr>
        <w:tc>
          <w:tcPr>
            <w:tcW w:w="216" w:type="pct"/>
            <w:vMerge/>
            <w:tcMar>
              <w:top w:w="0" w:type="dxa"/>
              <w:bottom w:w="0" w:type="dxa"/>
            </w:tcMar>
            <w:vAlign w:val="center"/>
          </w:tcPr>
          <w:p w14:paraId="2606C76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6D1CA94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tcMar>
              <w:top w:w="0" w:type="dxa"/>
              <w:bottom w:w="0" w:type="dxa"/>
            </w:tcMar>
            <w:vAlign w:val="center"/>
          </w:tcPr>
          <w:p w14:paraId="7F98354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43" w:type="pct"/>
            <w:tcMar>
              <w:top w:w="0" w:type="dxa"/>
              <w:bottom w:w="0" w:type="dxa"/>
            </w:tcMar>
            <w:vAlign w:val="center"/>
          </w:tcPr>
          <w:p w14:paraId="0D41EA0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乐洋洋</w:t>
            </w:r>
          </w:p>
        </w:tc>
        <w:tc>
          <w:tcPr>
            <w:tcW w:w="461" w:type="pct"/>
            <w:tcMar>
              <w:top w:w="0" w:type="dxa"/>
              <w:bottom w:w="0" w:type="dxa"/>
            </w:tcMar>
            <w:vAlign w:val="center"/>
          </w:tcPr>
          <w:p w14:paraId="34BC99D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4265970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30.9278</w:t>
            </w:r>
          </w:p>
        </w:tc>
        <w:tc>
          <w:tcPr>
            <w:tcW w:w="488" w:type="pct"/>
            <w:tcMar>
              <w:top w:w="0" w:type="dxa"/>
              <w:bottom w:w="0" w:type="dxa"/>
            </w:tcMar>
            <w:vAlign w:val="center"/>
          </w:tcPr>
          <w:p w14:paraId="4E5FD8E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02" w:type="pct"/>
            <w:tcMar>
              <w:top w:w="0" w:type="dxa"/>
              <w:bottom w:w="0" w:type="dxa"/>
            </w:tcMar>
            <w:vAlign w:val="center"/>
          </w:tcPr>
          <w:p w14:paraId="4E1135A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05449E7E" w14:textId="7A977D12" w:rsidR="00C16B5D" w:rsidRPr="00DA3766" w:rsidRDefault="008144F1"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公司为实施股权激励，由员工持股平台乐洋洋以</w:t>
            </w:r>
            <w:r w:rsidR="00C16B5D" w:rsidRPr="00DA3766">
              <w:rPr>
                <w:rFonts w:ascii="Times New Roman" w:hAnsi="Times New Roman" w:cs="Times New Roman"/>
                <w:bCs/>
                <w:color w:val="000000"/>
                <w:sz w:val="21"/>
                <w:szCs w:val="21"/>
              </w:rPr>
              <w:t>1</w:t>
            </w:r>
            <w:r w:rsidR="00C16B5D" w:rsidRPr="00DA3766">
              <w:rPr>
                <w:rFonts w:ascii="Times New Roman" w:hAnsi="Times New Roman" w:cs="Times New Roman"/>
                <w:bCs/>
                <w:color w:val="000000"/>
                <w:sz w:val="21"/>
                <w:szCs w:val="21"/>
              </w:rPr>
              <w:t>元</w:t>
            </w:r>
            <w:r w:rsidR="00C16B5D" w:rsidRPr="00DA3766">
              <w:rPr>
                <w:rFonts w:ascii="Times New Roman" w:hAnsi="Times New Roman" w:cs="Times New Roman"/>
                <w:bCs/>
                <w:color w:val="000000"/>
                <w:sz w:val="21"/>
                <w:szCs w:val="21"/>
              </w:rPr>
              <w:t>/</w:t>
            </w:r>
            <w:r w:rsidR="00C16B5D" w:rsidRPr="00DA3766">
              <w:rPr>
                <w:rFonts w:ascii="Times New Roman" w:hAnsi="Times New Roman" w:cs="Times New Roman"/>
                <w:bCs/>
                <w:color w:val="000000"/>
                <w:sz w:val="21"/>
                <w:szCs w:val="21"/>
              </w:rPr>
              <w:t>注册资</w:t>
            </w:r>
            <w:r w:rsidR="00C16B5D" w:rsidRPr="00DA3766">
              <w:rPr>
                <w:rFonts w:ascii="Times New Roman" w:hAnsi="Times New Roman" w:cs="Times New Roman"/>
                <w:bCs/>
                <w:color w:val="000000"/>
                <w:sz w:val="21"/>
                <w:szCs w:val="21"/>
              </w:rPr>
              <w:lastRenderedPageBreak/>
              <w:t>本向</w:t>
            </w: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公司增资，具有公允性</w:t>
            </w:r>
          </w:p>
        </w:tc>
      </w:tr>
      <w:tr w:rsidR="00C16B5D" w:rsidRPr="00DA3766" w14:paraId="6F9E8F51" w14:textId="77777777" w:rsidTr="00635015">
        <w:trPr>
          <w:trHeight w:val="397"/>
          <w:jc w:val="center"/>
        </w:trPr>
        <w:tc>
          <w:tcPr>
            <w:tcW w:w="216" w:type="pct"/>
            <w:tcMar>
              <w:top w:w="0" w:type="dxa"/>
              <w:bottom w:w="0" w:type="dxa"/>
            </w:tcMar>
            <w:vAlign w:val="center"/>
          </w:tcPr>
          <w:p w14:paraId="5E10055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15</w:t>
            </w:r>
          </w:p>
        </w:tc>
        <w:tc>
          <w:tcPr>
            <w:tcW w:w="427" w:type="pct"/>
            <w:tcMar>
              <w:top w:w="0" w:type="dxa"/>
              <w:bottom w:w="0" w:type="dxa"/>
            </w:tcMar>
            <w:vAlign w:val="center"/>
          </w:tcPr>
          <w:p w14:paraId="27AA3B5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2020.04</w:t>
            </w:r>
          </w:p>
        </w:tc>
        <w:tc>
          <w:tcPr>
            <w:tcW w:w="838" w:type="pct"/>
            <w:tcMar>
              <w:top w:w="0" w:type="dxa"/>
              <w:bottom w:w="0" w:type="dxa"/>
            </w:tcMar>
            <w:vAlign w:val="center"/>
          </w:tcPr>
          <w:p w14:paraId="48B2624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第九次股权转让，广发信德创业营与广发信德二期同属</w:t>
            </w:r>
            <w:hyperlink r:id="rId52" w:tgtFrame="https://www.qcc.com/firm/_blank" w:history="1">
              <w:r w:rsidRPr="00DA3766">
                <w:rPr>
                  <w:rFonts w:ascii="Times New Roman" w:hAnsi="Times New Roman" w:cs="Times New Roman"/>
                  <w:bCs/>
                  <w:color w:val="000000"/>
                  <w:sz w:val="21"/>
                  <w:szCs w:val="21"/>
                </w:rPr>
                <w:t>广发信德投资管理有限公司</w:t>
              </w:r>
            </w:hyperlink>
            <w:r w:rsidRPr="00DA3766">
              <w:rPr>
                <w:rFonts w:ascii="Times New Roman" w:hAnsi="Times New Roman" w:cs="Times New Roman"/>
                <w:bCs/>
                <w:color w:val="000000"/>
                <w:sz w:val="21"/>
                <w:szCs w:val="21"/>
              </w:rPr>
              <w:t>管理下的私募基金，本次转让系投资人内部对投资主体及份额的调整</w:t>
            </w:r>
          </w:p>
        </w:tc>
        <w:tc>
          <w:tcPr>
            <w:tcW w:w="543" w:type="pct"/>
            <w:tcMar>
              <w:top w:w="0" w:type="dxa"/>
              <w:bottom w:w="0" w:type="dxa"/>
            </w:tcMar>
            <w:vAlign w:val="center"/>
          </w:tcPr>
          <w:p w14:paraId="7E71EF9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广发信德二期</w:t>
            </w:r>
          </w:p>
        </w:tc>
        <w:tc>
          <w:tcPr>
            <w:tcW w:w="461" w:type="pct"/>
            <w:tcMar>
              <w:top w:w="0" w:type="dxa"/>
              <w:bottom w:w="0" w:type="dxa"/>
            </w:tcMar>
            <w:vAlign w:val="center"/>
          </w:tcPr>
          <w:p w14:paraId="7400BEC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广发信德创业营</w:t>
            </w:r>
          </w:p>
        </w:tc>
        <w:tc>
          <w:tcPr>
            <w:tcW w:w="417" w:type="pct"/>
            <w:tcMar>
              <w:top w:w="0" w:type="dxa"/>
              <w:bottom w:w="0" w:type="dxa"/>
            </w:tcMar>
            <w:vAlign w:val="center"/>
          </w:tcPr>
          <w:p w14:paraId="5BA4CDF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88" w:type="pct"/>
            <w:tcMar>
              <w:top w:w="0" w:type="dxa"/>
              <w:bottom w:w="0" w:type="dxa"/>
            </w:tcMar>
            <w:vAlign w:val="center"/>
          </w:tcPr>
          <w:p w14:paraId="5C7E2A3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02" w:type="pct"/>
            <w:tcMar>
              <w:top w:w="0" w:type="dxa"/>
              <w:bottom w:w="0" w:type="dxa"/>
            </w:tcMar>
            <w:vAlign w:val="center"/>
          </w:tcPr>
          <w:p w14:paraId="6F263D4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2909703C" w14:textId="77777777" w:rsidR="00C16B5D" w:rsidRPr="00DA3766" w:rsidRDefault="00C16B5D"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本次转让系同一控制下的外部投资人之间投资主体及认缴份额的调整，转让后，广发信德二期按照所受让的股权履行出资义务，具有公允性</w:t>
            </w:r>
          </w:p>
        </w:tc>
      </w:tr>
      <w:tr w:rsidR="00C16B5D" w:rsidRPr="00DA3766" w14:paraId="717730C6" w14:textId="77777777" w:rsidTr="00635015">
        <w:trPr>
          <w:trHeight w:val="397"/>
          <w:jc w:val="center"/>
        </w:trPr>
        <w:tc>
          <w:tcPr>
            <w:tcW w:w="216" w:type="pct"/>
            <w:vMerge w:val="restart"/>
            <w:tcMar>
              <w:top w:w="0" w:type="dxa"/>
              <w:bottom w:w="0" w:type="dxa"/>
            </w:tcMar>
            <w:vAlign w:val="center"/>
          </w:tcPr>
          <w:p w14:paraId="30ED037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w:t>
            </w:r>
          </w:p>
        </w:tc>
        <w:tc>
          <w:tcPr>
            <w:tcW w:w="427" w:type="pct"/>
            <w:vMerge w:val="restart"/>
            <w:tcMar>
              <w:top w:w="0" w:type="dxa"/>
              <w:bottom w:w="0" w:type="dxa"/>
            </w:tcMar>
            <w:vAlign w:val="center"/>
          </w:tcPr>
          <w:p w14:paraId="0FAA115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2020.09</w:t>
            </w:r>
          </w:p>
        </w:tc>
        <w:tc>
          <w:tcPr>
            <w:tcW w:w="838" w:type="pct"/>
            <w:vMerge w:val="restart"/>
            <w:tcMar>
              <w:top w:w="0" w:type="dxa"/>
              <w:bottom w:w="0" w:type="dxa"/>
            </w:tcMar>
            <w:vAlign w:val="center"/>
          </w:tcPr>
          <w:p w14:paraId="0A682A26" w14:textId="1BDFDA9A"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第十次股权转让，徐德强于</w:t>
            </w:r>
            <w:r w:rsidRPr="00DA3766">
              <w:rPr>
                <w:rFonts w:ascii="Times New Roman" w:hAnsi="Times New Roman" w:cs="Times New Roman"/>
                <w:bCs/>
                <w:color w:val="000000"/>
                <w:sz w:val="21"/>
                <w:szCs w:val="21"/>
              </w:rPr>
              <w:t>2020</w:t>
            </w:r>
            <w:r w:rsidRPr="00DA3766">
              <w:rPr>
                <w:rFonts w:ascii="Times New Roman" w:hAnsi="Times New Roman" w:cs="Times New Roman"/>
                <w:bCs/>
                <w:color w:val="000000"/>
                <w:sz w:val="21"/>
                <w:szCs w:val="21"/>
              </w:rPr>
              <w:t>年年初自</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公司离职，考虑到后续其直接持股存在不便，同时，其基于个人规划需要资金，决定转让部分股权，并将直接持股变更间接持股，经与</w:t>
            </w:r>
            <w:r w:rsidR="007B0B46"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公司协商有一致，设立持股平台乐陶陶，徐德强将其直接持股的股权转入乐陶陶间接持股，同时，徐德强转让部分股权给乐陶陶用于未来股权激励，另</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公司为其寻找合适的受让方承接其剩余股权，经</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公司撮合，原本</w:t>
            </w:r>
            <w:r w:rsidRPr="00DA3766">
              <w:rPr>
                <w:rFonts w:ascii="Times New Roman" w:hAnsi="Times New Roman" w:cs="Times New Roman"/>
                <w:bCs/>
                <w:color w:val="000000"/>
                <w:sz w:val="21"/>
                <w:szCs w:val="21"/>
              </w:rPr>
              <w:lastRenderedPageBreak/>
              <w:t>俱甲与徐德强就剩余股权转让事宜达成一致</w:t>
            </w:r>
          </w:p>
        </w:tc>
        <w:tc>
          <w:tcPr>
            <w:tcW w:w="543" w:type="pct"/>
            <w:tcMar>
              <w:top w:w="0" w:type="dxa"/>
              <w:bottom w:w="0" w:type="dxa"/>
            </w:tcMar>
            <w:vAlign w:val="center"/>
          </w:tcPr>
          <w:p w14:paraId="5925AAB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乐陶陶</w:t>
            </w:r>
          </w:p>
        </w:tc>
        <w:tc>
          <w:tcPr>
            <w:tcW w:w="461" w:type="pct"/>
            <w:tcMar>
              <w:top w:w="0" w:type="dxa"/>
              <w:bottom w:w="0" w:type="dxa"/>
            </w:tcMar>
            <w:vAlign w:val="center"/>
          </w:tcPr>
          <w:p w14:paraId="151380E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17" w:type="pct"/>
            <w:tcMar>
              <w:top w:w="0" w:type="dxa"/>
              <w:bottom w:w="0" w:type="dxa"/>
            </w:tcMar>
            <w:vAlign w:val="center"/>
          </w:tcPr>
          <w:p w14:paraId="2844136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42.0608</w:t>
            </w:r>
          </w:p>
        </w:tc>
        <w:tc>
          <w:tcPr>
            <w:tcW w:w="488" w:type="pct"/>
            <w:tcMar>
              <w:top w:w="0" w:type="dxa"/>
              <w:bottom w:w="0" w:type="dxa"/>
            </w:tcMar>
            <w:vAlign w:val="center"/>
          </w:tcPr>
          <w:p w14:paraId="56A8295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0.22</w:t>
            </w:r>
          </w:p>
        </w:tc>
        <w:tc>
          <w:tcPr>
            <w:tcW w:w="502" w:type="pct"/>
            <w:tcMar>
              <w:top w:w="0" w:type="dxa"/>
              <w:bottom w:w="0" w:type="dxa"/>
            </w:tcMar>
            <w:vAlign w:val="center"/>
          </w:tcPr>
          <w:p w14:paraId="0C468B7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4,889.05</w:t>
            </w:r>
          </w:p>
        </w:tc>
        <w:tc>
          <w:tcPr>
            <w:tcW w:w="1108" w:type="pct"/>
            <w:tcMar>
              <w:top w:w="0" w:type="dxa"/>
              <w:bottom w:w="0" w:type="dxa"/>
            </w:tcMar>
            <w:vAlign w:val="center"/>
          </w:tcPr>
          <w:p w14:paraId="0960B85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徐德强将直接持股转为由其在乐陶陶平台间接持股，按照其原始投入成本价转让，具有公允性</w:t>
            </w:r>
          </w:p>
        </w:tc>
      </w:tr>
      <w:tr w:rsidR="00C16B5D" w:rsidRPr="00DA3766" w14:paraId="59B16AD2" w14:textId="77777777" w:rsidTr="00635015">
        <w:trPr>
          <w:trHeight w:val="397"/>
          <w:jc w:val="center"/>
        </w:trPr>
        <w:tc>
          <w:tcPr>
            <w:tcW w:w="216" w:type="pct"/>
            <w:vMerge/>
            <w:tcMar>
              <w:top w:w="0" w:type="dxa"/>
              <w:bottom w:w="0" w:type="dxa"/>
            </w:tcMar>
            <w:vAlign w:val="center"/>
          </w:tcPr>
          <w:p w14:paraId="0497036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306A80C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tcMar>
              <w:top w:w="0" w:type="dxa"/>
              <w:bottom w:w="0" w:type="dxa"/>
            </w:tcMar>
            <w:vAlign w:val="center"/>
          </w:tcPr>
          <w:p w14:paraId="00DB1D8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43" w:type="pct"/>
            <w:tcMar>
              <w:top w:w="0" w:type="dxa"/>
              <w:bottom w:w="0" w:type="dxa"/>
            </w:tcMar>
            <w:vAlign w:val="center"/>
          </w:tcPr>
          <w:p w14:paraId="71085F3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乐陶陶</w:t>
            </w:r>
          </w:p>
        </w:tc>
        <w:tc>
          <w:tcPr>
            <w:tcW w:w="461" w:type="pct"/>
            <w:tcMar>
              <w:top w:w="0" w:type="dxa"/>
              <w:bottom w:w="0" w:type="dxa"/>
            </w:tcMar>
            <w:vAlign w:val="center"/>
          </w:tcPr>
          <w:p w14:paraId="693AA4E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17" w:type="pct"/>
            <w:tcMar>
              <w:top w:w="0" w:type="dxa"/>
              <w:bottom w:w="0" w:type="dxa"/>
            </w:tcMar>
            <w:vAlign w:val="center"/>
          </w:tcPr>
          <w:p w14:paraId="09D49C4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24.2571</w:t>
            </w:r>
          </w:p>
        </w:tc>
        <w:tc>
          <w:tcPr>
            <w:tcW w:w="488" w:type="pct"/>
            <w:tcMar>
              <w:top w:w="0" w:type="dxa"/>
              <w:bottom w:w="0" w:type="dxa"/>
            </w:tcMar>
            <w:vAlign w:val="center"/>
          </w:tcPr>
          <w:p w14:paraId="3C7BA39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10.98</w:t>
            </w:r>
          </w:p>
        </w:tc>
        <w:tc>
          <w:tcPr>
            <w:tcW w:w="502" w:type="pct"/>
            <w:tcMar>
              <w:top w:w="0" w:type="dxa"/>
              <w:bottom w:w="0" w:type="dxa"/>
            </w:tcMar>
            <w:vAlign w:val="center"/>
          </w:tcPr>
          <w:p w14:paraId="6E3F84E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13,320.00</w:t>
            </w:r>
          </w:p>
        </w:tc>
        <w:tc>
          <w:tcPr>
            <w:tcW w:w="1108" w:type="pct"/>
            <w:tcMar>
              <w:top w:w="0" w:type="dxa"/>
              <w:bottom w:w="0" w:type="dxa"/>
            </w:tcMar>
            <w:vAlign w:val="center"/>
          </w:tcPr>
          <w:p w14:paraId="15D9D8AD" w14:textId="7E1FA45D"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协商定价，徐德强自</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公司离职并保留部分股权，同时，因其个人发展资金需求，</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公司为其寻找撮合适合第三方受让其部分股权，在此基础上，徐德强转让</w:t>
            </w:r>
            <w:r w:rsidRPr="00DA3766">
              <w:rPr>
                <w:rFonts w:ascii="Times New Roman" w:hAnsi="Times New Roman" w:cs="Times New Roman"/>
                <w:bCs/>
                <w:color w:val="000000"/>
                <w:sz w:val="21"/>
                <w:szCs w:val="21"/>
              </w:rPr>
              <w:t>2%</w:t>
            </w:r>
            <w:r w:rsidR="008144F1" w:rsidRPr="00DA3766">
              <w:rPr>
                <w:rFonts w:ascii="Times New Roman" w:hAnsi="Times New Roman" w:cs="Times New Roman"/>
                <w:bCs/>
                <w:color w:val="000000"/>
                <w:sz w:val="21"/>
                <w:szCs w:val="21"/>
              </w:rPr>
              <w:t>标的公司</w:t>
            </w:r>
            <w:r w:rsidRPr="00DA3766">
              <w:rPr>
                <w:rFonts w:ascii="Times New Roman" w:hAnsi="Times New Roman" w:cs="Times New Roman"/>
                <w:bCs/>
                <w:color w:val="000000"/>
                <w:sz w:val="21"/>
                <w:szCs w:val="21"/>
              </w:rPr>
              <w:t>股权至持股平台乐陶陶用于股权激励，</w:t>
            </w:r>
            <w:r w:rsidR="00072431" w:rsidRPr="00DA3766">
              <w:rPr>
                <w:rFonts w:ascii="Times New Roman" w:hAnsi="Times New Roman" w:cs="Times New Roman"/>
                <w:bCs/>
                <w:color w:val="000000"/>
                <w:sz w:val="21"/>
                <w:szCs w:val="21"/>
              </w:rPr>
              <w:t>转让</w:t>
            </w:r>
            <w:r w:rsidR="008144F1" w:rsidRPr="00DA3766">
              <w:rPr>
                <w:rFonts w:ascii="Times New Roman" w:hAnsi="Times New Roman" w:cs="Times New Roman"/>
                <w:bCs/>
                <w:color w:val="000000"/>
                <w:sz w:val="21"/>
                <w:szCs w:val="21"/>
              </w:rPr>
              <w:t>对价</w:t>
            </w:r>
            <w:r w:rsidR="00072431" w:rsidRPr="00DA3766">
              <w:rPr>
                <w:rFonts w:ascii="Times New Roman" w:hAnsi="Times New Roman" w:cs="Times New Roman"/>
                <w:bCs/>
                <w:color w:val="000000"/>
                <w:sz w:val="21"/>
                <w:szCs w:val="21"/>
              </w:rPr>
              <w:t>系参考最近一期标的公司净资产价格由双方协商确定的结果</w:t>
            </w:r>
            <w:r w:rsidRPr="00DA3766">
              <w:rPr>
                <w:rFonts w:ascii="Times New Roman" w:hAnsi="Times New Roman" w:cs="Times New Roman"/>
                <w:bCs/>
                <w:color w:val="000000"/>
                <w:sz w:val="21"/>
                <w:szCs w:val="21"/>
              </w:rPr>
              <w:t>，具有公允性</w:t>
            </w:r>
          </w:p>
        </w:tc>
      </w:tr>
      <w:tr w:rsidR="00C16B5D" w:rsidRPr="00DA3766" w14:paraId="05687F09" w14:textId="77777777" w:rsidTr="00635015">
        <w:trPr>
          <w:trHeight w:val="397"/>
          <w:jc w:val="center"/>
        </w:trPr>
        <w:tc>
          <w:tcPr>
            <w:tcW w:w="216" w:type="pct"/>
            <w:vMerge/>
            <w:tcMar>
              <w:top w:w="0" w:type="dxa"/>
              <w:bottom w:w="0" w:type="dxa"/>
            </w:tcMar>
            <w:vAlign w:val="center"/>
          </w:tcPr>
          <w:p w14:paraId="065BE85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27" w:type="pct"/>
            <w:vMerge/>
            <w:tcMar>
              <w:top w:w="0" w:type="dxa"/>
              <w:bottom w:w="0" w:type="dxa"/>
            </w:tcMar>
            <w:vAlign w:val="center"/>
          </w:tcPr>
          <w:p w14:paraId="0EEDE4B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838" w:type="pct"/>
            <w:vMerge/>
            <w:tcMar>
              <w:top w:w="0" w:type="dxa"/>
              <w:bottom w:w="0" w:type="dxa"/>
            </w:tcMar>
            <w:vAlign w:val="center"/>
          </w:tcPr>
          <w:p w14:paraId="576D264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43" w:type="pct"/>
            <w:tcMar>
              <w:top w:w="0" w:type="dxa"/>
              <w:bottom w:w="0" w:type="dxa"/>
            </w:tcMar>
            <w:vAlign w:val="center"/>
          </w:tcPr>
          <w:p w14:paraId="1161BEF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原本俱甲</w:t>
            </w:r>
          </w:p>
        </w:tc>
        <w:tc>
          <w:tcPr>
            <w:tcW w:w="461" w:type="pct"/>
            <w:tcMar>
              <w:top w:w="0" w:type="dxa"/>
              <w:bottom w:w="0" w:type="dxa"/>
            </w:tcMar>
            <w:vAlign w:val="center"/>
          </w:tcPr>
          <w:p w14:paraId="6DE8EA4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17" w:type="pct"/>
            <w:tcMar>
              <w:top w:w="0" w:type="dxa"/>
              <w:bottom w:w="0" w:type="dxa"/>
            </w:tcMar>
            <w:vAlign w:val="center"/>
          </w:tcPr>
          <w:p w14:paraId="1B70244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24.2571</w:t>
            </w:r>
          </w:p>
        </w:tc>
        <w:tc>
          <w:tcPr>
            <w:tcW w:w="488" w:type="pct"/>
            <w:tcMar>
              <w:top w:w="0" w:type="dxa"/>
              <w:bottom w:w="0" w:type="dxa"/>
            </w:tcMar>
            <w:vAlign w:val="center"/>
          </w:tcPr>
          <w:p w14:paraId="382D392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47.41</w:t>
            </w:r>
          </w:p>
        </w:tc>
        <w:tc>
          <w:tcPr>
            <w:tcW w:w="502" w:type="pct"/>
            <w:tcMar>
              <w:top w:w="0" w:type="dxa"/>
              <w:bottom w:w="0" w:type="dxa"/>
            </w:tcMar>
            <w:vAlign w:val="center"/>
          </w:tcPr>
          <w:p w14:paraId="39F7245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57,500.00</w:t>
            </w:r>
          </w:p>
        </w:tc>
        <w:tc>
          <w:tcPr>
            <w:tcW w:w="1108" w:type="pct"/>
            <w:tcMar>
              <w:top w:w="0" w:type="dxa"/>
              <w:bottom w:w="0" w:type="dxa"/>
            </w:tcMar>
            <w:vAlign w:val="center"/>
          </w:tcPr>
          <w:p w14:paraId="593A6297"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协商定价，在前次外部融资估值基础上进行一定折扣，具有公允性</w:t>
            </w:r>
          </w:p>
        </w:tc>
      </w:tr>
      <w:tr w:rsidR="00C16B5D" w:rsidRPr="00DA3766" w14:paraId="37CC071D" w14:textId="77777777" w:rsidTr="00635015">
        <w:trPr>
          <w:trHeight w:val="397"/>
          <w:jc w:val="center"/>
        </w:trPr>
        <w:tc>
          <w:tcPr>
            <w:tcW w:w="216" w:type="pct"/>
            <w:vMerge w:val="restart"/>
            <w:tcMar>
              <w:top w:w="0" w:type="dxa"/>
              <w:bottom w:w="0" w:type="dxa"/>
            </w:tcMar>
            <w:vAlign w:val="center"/>
          </w:tcPr>
          <w:p w14:paraId="14DE22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17</w:t>
            </w:r>
          </w:p>
        </w:tc>
        <w:tc>
          <w:tcPr>
            <w:tcW w:w="427" w:type="pct"/>
            <w:vMerge w:val="restart"/>
            <w:tcMar>
              <w:top w:w="0" w:type="dxa"/>
              <w:bottom w:w="0" w:type="dxa"/>
            </w:tcMar>
            <w:vAlign w:val="center"/>
          </w:tcPr>
          <w:p w14:paraId="28E93A6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2021.08</w:t>
            </w:r>
          </w:p>
        </w:tc>
        <w:tc>
          <w:tcPr>
            <w:tcW w:w="838" w:type="pct"/>
            <w:vMerge w:val="restart"/>
            <w:tcMar>
              <w:top w:w="0" w:type="dxa"/>
              <w:bottom w:w="0" w:type="dxa"/>
            </w:tcMar>
            <w:vAlign w:val="center"/>
          </w:tcPr>
          <w:p w14:paraId="16737DC2" w14:textId="03C5772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53" w:tgtFrame="https://www.qcc.com/firm/_blank" w:history="1">
              <w:r w:rsidRPr="00DA3766">
                <w:rPr>
                  <w:rFonts w:ascii="Times New Roman" w:hAnsi="Times New Roman" w:cs="Times New Roman"/>
                  <w:bCs/>
                  <w:color w:val="000000"/>
                  <w:sz w:val="21"/>
                  <w:szCs w:val="21"/>
                </w:rPr>
                <w:t>粤财基金</w:t>
              </w:r>
            </w:hyperlink>
            <w:r w:rsidRPr="00DA3766">
              <w:rPr>
                <w:rFonts w:ascii="Times New Roman" w:hAnsi="Times New Roman" w:cs="Times New Roman"/>
                <w:bCs/>
                <w:color w:val="000000"/>
                <w:sz w:val="21"/>
                <w:szCs w:val="21"/>
              </w:rPr>
              <w:t>、</w:t>
            </w:r>
            <w:hyperlink r:id="rId54" w:tgtFrame="https://www.qcc.com/firm/_blank" w:history="1">
              <w:r w:rsidRPr="00DA3766">
                <w:rPr>
                  <w:rFonts w:ascii="Times New Roman" w:hAnsi="Times New Roman" w:cs="Times New Roman"/>
                  <w:bCs/>
                  <w:color w:val="000000"/>
                  <w:sz w:val="21"/>
                  <w:szCs w:val="21"/>
                </w:rPr>
                <w:t>粤财源合</w:t>
              </w:r>
            </w:hyperlink>
            <w:r w:rsidRPr="00DA3766">
              <w:rPr>
                <w:rFonts w:ascii="Times New Roman" w:hAnsi="Times New Roman" w:cs="Times New Roman"/>
                <w:bCs/>
                <w:color w:val="000000"/>
                <w:sz w:val="21"/>
                <w:szCs w:val="21"/>
              </w:rPr>
              <w:t>、横琴</w:t>
            </w:r>
            <w:hyperlink r:id="rId55" w:tgtFrame="https://www.qcc.com/firm/_blank" w:history="1">
              <w:r w:rsidRPr="00DA3766">
                <w:rPr>
                  <w:rFonts w:ascii="Times New Roman" w:hAnsi="Times New Roman" w:cs="Times New Roman"/>
                  <w:bCs/>
                  <w:color w:val="000000"/>
                  <w:sz w:val="21"/>
                  <w:szCs w:val="21"/>
                </w:rPr>
                <w:t>依星伴月</w:t>
              </w:r>
            </w:hyperlink>
            <w:r w:rsidRPr="00DA3766">
              <w:rPr>
                <w:rFonts w:ascii="Times New Roman" w:hAnsi="Times New Roman" w:cs="Times New Roman"/>
                <w:bCs/>
                <w:color w:val="000000"/>
                <w:sz w:val="21"/>
                <w:szCs w:val="21"/>
              </w:rPr>
              <w:t>、</w:t>
            </w:r>
            <w:hyperlink r:id="rId56" w:tgtFrame="https://www.qcc.com/firm/_blank" w:history="1">
              <w:r w:rsidRPr="00DA3766">
                <w:rPr>
                  <w:rFonts w:ascii="Times New Roman" w:hAnsi="Times New Roman" w:cs="Times New Roman"/>
                  <w:bCs/>
                  <w:color w:val="000000"/>
                  <w:sz w:val="21"/>
                  <w:szCs w:val="21"/>
                </w:rPr>
                <w:t>远方资本</w:t>
              </w:r>
            </w:hyperlink>
            <w:r w:rsidRPr="00DA3766">
              <w:rPr>
                <w:rFonts w:ascii="Times New Roman" w:hAnsi="Times New Roman" w:cs="Times New Roman"/>
                <w:bCs/>
                <w:color w:val="000000"/>
                <w:sz w:val="21"/>
                <w:szCs w:val="21"/>
              </w:rPr>
              <w:t>、</w:t>
            </w:r>
            <w:hyperlink r:id="rId57" w:tgtFrame="https://www.qcc.com/firm/_blank" w:history="1">
              <w:r w:rsidRPr="00DA3766">
                <w:rPr>
                  <w:rFonts w:ascii="Times New Roman" w:hAnsi="Times New Roman" w:cs="Times New Roman"/>
                  <w:bCs/>
                  <w:color w:val="000000"/>
                  <w:sz w:val="21"/>
                  <w:szCs w:val="21"/>
                </w:rPr>
                <w:t>三七乐心</w:t>
              </w:r>
            </w:hyperlink>
            <w:r w:rsidRPr="00DA3766">
              <w:rPr>
                <w:rFonts w:ascii="Times New Roman" w:hAnsi="Times New Roman" w:cs="Times New Roman"/>
                <w:bCs/>
                <w:color w:val="000000"/>
                <w:sz w:val="21"/>
                <w:szCs w:val="21"/>
              </w:rPr>
              <w:t>、</w:t>
            </w:r>
            <w:hyperlink r:id="rId58" w:tgtFrame="https://www.qcc.com/firm/_blank" w:history="1">
              <w:r w:rsidRPr="00DA3766">
                <w:rPr>
                  <w:rFonts w:ascii="Times New Roman" w:hAnsi="Times New Roman" w:cs="Times New Roman"/>
                  <w:bCs/>
                  <w:color w:val="000000"/>
                  <w:sz w:val="21"/>
                  <w:szCs w:val="21"/>
                </w:rPr>
                <w:t>三七科技</w:t>
              </w:r>
            </w:hyperlink>
            <w:r w:rsidRPr="00DA3766">
              <w:rPr>
                <w:rFonts w:ascii="Times New Roman" w:hAnsi="Times New Roman" w:cs="Times New Roman"/>
                <w:bCs/>
                <w:color w:val="000000"/>
                <w:sz w:val="21"/>
                <w:szCs w:val="21"/>
              </w:rPr>
              <w:t>、中信证券投资、</w:t>
            </w:r>
            <w:hyperlink r:id="rId59" w:tgtFrame="https://www.qcc.com/firm/_blank" w:history="1">
              <w:r w:rsidRPr="00DA3766">
                <w:rPr>
                  <w:rFonts w:ascii="Times New Roman" w:hAnsi="Times New Roman" w:cs="Times New Roman"/>
                  <w:bCs/>
                  <w:color w:val="000000"/>
                  <w:sz w:val="21"/>
                  <w:szCs w:val="21"/>
                </w:rPr>
                <w:t>蕙富皓玥</w:t>
              </w:r>
            </w:hyperlink>
            <w:r w:rsidRPr="00DA3766">
              <w:rPr>
                <w:rFonts w:ascii="Times New Roman" w:hAnsi="Times New Roman" w:cs="Times New Roman"/>
                <w:bCs/>
                <w:color w:val="000000"/>
                <w:sz w:val="21"/>
                <w:szCs w:val="21"/>
              </w:rPr>
              <w:t>、</w:t>
            </w:r>
            <w:hyperlink r:id="rId60" w:tgtFrame="https://www.qcc.com/firm/_blank" w:history="1">
              <w:r w:rsidRPr="00DA3766">
                <w:rPr>
                  <w:rFonts w:ascii="Times New Roman" w:hAnsi="Times New Roman" w:cs="Times New Roman"/>
                  <w:bCs/>
                  <w:color w:val="000000"/>
                  <w:sz w:val="21"/>
                  <w:szCs w:val="21"/>
                </w:rPr>
                <w:t>金浦文创</w:t>
              </w:r>
            </w:hyperlink>
            <w:r w:rsidRPr="00DA3766">
              <w:rPr>
                <w:rFonts w:ascii="Times New Roman" w:hAnsi="Times New Roman" w:cs="Times New Roman"/>
                <w:bCs/>
                <w:color w:val="000000"/>
                <w:sz w:val="21"/>
                <w:szCs w:val="21"/>
              </w:rPr>
              <w:t>，同时，为实施股权激励需要由员工持股平台乐腾腾同步增资</w:t>
            </w:r>
          </w:p>
        </w:tc>
        <w:tc>
          <w:tcPr>
            <w:tcW w:w="543" w:type="pct"/>
            <w:tcMar>
              <w:top w:w="0" w:type="dxa"/>
              <w:bottom w:w="0" w:type="dxa"/>
            </w:tcMar>
            <w:vAlign w:val="center"/>
          </w:tcPr>
          <w:p w14:paraId="67AC2F4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61" w:tgtFrame="https://www.qcc.com/firm/_blank" w:history="1">
              <w:r w:rsidRPr="00DA3766">
                <w:rPr>
                  <w:rFonts w:ascii="Times New Roman" w:hAnsi="Times New Roman" w:cs="Times New Roman"/>
                  <w:bCs/>
                  <w:color w:val="000000"/>
                  <w:sz w:val="21"/>
                  <w:szCs w:val="21"/>
                </w:rPr>
                <w:t>粤财基金</w:t>
              </w:r>
            </w:hyperlink>
            <w:r w:rsidRPr="00DA3766">
              <w:rPr>
                <w:rFonts w:ascii="Times New Roman" w:hAnsi="Times New Roman" w:cs="Times New Roman"/>
                <w:bCs/>
                <w:color w:val="000000"/>
                <w:sz w:val="21"/>
                <w:szCs w:val="21"/>
              </w:rPr>
              <w:t>、</w:t>
            </w:r>
            <w:hyperlink r:id="rId62" w:tgtFrame="https://www.qcc.com/firm/_blank" w:history="1">
              <w:r w:rsidRPr="00DA3766">
                <w:rPr>
                  <w:rFonts w:ascii="Times New Roman" w:hAnsi="Times New Roman" w:cs="Times New Roman"/>
                  <w:bCs/>
                  <w:color w:val="000000"/>
                  <w:sz w:val="21"/>
                  <w:szCs w:val="21"/>
                </w:rPr>
                <w:t>粤财源合</w:t>
              </w:r>
            </w:hyperlink>
            <w:r w:rsidRPr="00DA3766">
              <w:rPr>
                <w:rFonts w:ascii="Times New Roman" w:hAnsi="Times New Roman" w:cs="Times New Roman"/>
                <w:bCs/>
                <w:color w:val="000000"/>
                <w:sz w:val="21"/>
                <w:szCs w:val="21"/>
              </w:rPr>
              <w:t>、横琴</w:t>
            </w:r>
            <w:hyperlink r:id="rId63" w:tgtFrame="https://www.qcc.com/firm/_blank" w:history="1">
              <w:r w:rsidRPr="00DA3766">
                <w:rPr>
                  <w:rFonts w:ascii="Times New Roman" w:hAnsi="Times New Roman" w:cs="Times New Roman"/>
                  <w:bCs/>
                  <w:color w:val="000000"/>
                  <w:sz w:val="21"/>
                  <w:szCs w:val="21"/>
                </w:rPr>
                <w:t>依星伴月</w:t>
              </w:r>
            </w:hyperlink>
            <w:r w:rsidRPr="00DA3766">
              <w:rPr>
                <w:rFonts w:ascii="Times New Roman" w:hAnsi="Times New Roman" w:cs="Times New Roman"/>
                <w:bCs/>
                <w:color w:val="000000"/>
                <w:sz w:val="21"/>
                <w:szCs w:val="21"/>
              </w:rPr>
              <w:t>、</w:t>
            </w:r>
            <w:hyperlink r:id="rId64" w:tgtFrame="https://www.qcc.com/firm/_blank" w:history="1">
              <w:r w:rsidRPr="00DA3766">
                <w:rPr>
                  <w:rFonts w:ascii="Times New Roman" w:hAnsi="Times New Roman" w:cs="Times New Roman"/>
                  <w:bCs/>
                  <w:color w:val="000000"/>
                  <w:sz w:val="21"/>
                  <w:szCs w:val="21"/>
                </w:rPr>
                <w:t>远方资本</w:t>
              </w:r>
            </w:hyperlink>
            <w:r w:rsidRPr="00DA3766">
              <w:rPr>
                <w:rFonts w:ascii="Times New Roman" w:hAnsi="Times New Roman" w:cs="Times New Roman"/>
                <w:bCs/>
                <w:color w:val="000000"/>
                <w:sz w:val="21"/>
                <w:szCs w:val="21"/>
              </w:rPr>
              <w:t>、</w:t>
            </w:r>
            <w:hyperlink r:id="rId65" w:tgtFrame="https://www.qcc.com/firm/_blank" w:history="1">
              <w:r w:rsidRPr="00DA3766">
                <w:rPr>
                  <w:rFonts w:ascii="Times New Roman" w:hAnsi="Times New Roman" w:cs="Times New Roman"/>
                  <w:bCs/>
                  <w:color w:val="000000"/>
                  <w:sz w:val="21"/>
                  <w:szCs w:val="21"/>
                </w:rPr>
                <w:t>三七乐心</w:t>
              </w:r>
            </w:hyperlink>
            <w:r w:rsidRPr="00DA3766">
              <w:rPr>
                <w:rFonts w:ascii="Times New Roman" w:hAnsi="Times New Roman" w:cs="Times New Roman"/>
                <w:bCs/>
                <w:color w:val="000000"/>
                <w:sz w:val="21"/>
                <w:szCs w:val="21"/>
              </w:rPr>
              <w:t>、</w:t>
            </w:r>
            <w:hyperlink r:id="rId66" w:tgtFrame="https://www.qcc.com/firm/_blank" w:history="1">
              <w:r w:rsidRPr="00DA3766">
                <w:rPr>
                  <w:rFonts w:ascii="Times New Roman" w:hAnsi="Times New Roman" w:cs="Times New Roman"/>
                  <w:bCs/>
                  <w:color w:val="000000"/>
                  <w:sz w:val="21"/>
                  <w:szCs w:val="21"/>
                </w:rPr>
                <w:t>三七科技</w:t>
              </w:r>
            </w:hyperlink>
            <w:r w:rsidRPr="00DA3766">
              <w:rPr>
                <w:rFonts w:ascii="Times New Roman" w:hAnsi="Times New Roman" w:cs="Times New Roman"/>
                <w:bCs/>
                <w:color w:val="000000"/>
                <w:sz w:val="21"/>
                <w:szCs w:val="21"/>
              </w:rPr>
              <w:t>、中信证券投资、</w:t>
            </w:r>
            <w:hyperlink r:id="rId67" w:tgtFrame="https://www.qcc.com/firm/_blank" w:history="1">
              <w:r w:rsidRPr="00DA3766">
                <w:rPr>
                  <w:rFonts w:ascii="Times New Roman" w:hAnsi="Times New Roman" w:cs="Times New Roman"/>
                  <w:bCs/>
                  <w:color w:val="000000"/>
                  <w:sz w:val="21"/>
                  <w:szCs w:val="21"/>
                </w:rPr>
                <w:t>蕙富皓玥</w:t>
              </w:r>
            </w:hyperlink>
            <w:r w:rsidRPr="00DA3766">
              <w:rPr>
                <w:rFonts w:ascii="Times New Roman" w:hAnsi="Times New Roman" w:cs="Times New Roman"/>
                <w:bCs/>
                <w:color w:val="000000"/>
                <w:sz w:val="21"/>
                <w:szCs w:val="21"/>
              </w:rPr>
              <w:t>、</w:t>
            </w:r>
            <w:hyperlink r:id="rId68" w:tgtFrame="https://www.qcc.com/firm/_blank" w:history="1">
              <w:r w:rsidRPr="00DA3766">
                <w:rPr>
                  <w:rFonts w:ascii="Times New Roman" w:hAnsi="Times New Roman" w:cs="Times New Roman"/>
                  <w:bCs/>
                  <w:color w:val="000000"/>
                  <w:sz w:val="21"/>
                  <w:szCs w:val="21"/>
                </w:rPr>
                <w:t>金浦文创</w:t>
              </w:r>
            </w:hyperlink>
          </w:p>
        </w:tc>
        <w:tc>
          <w:tcPr>
            <w:tcW w:w="461" w:type="pct"/>
            <w:tcMar>
              <w:top w:w="0" w:type="dxa"/>
              <w:bottom w:w="0" w:type="dxa"/>
            </w:tcMar>
            <w:vAlign w:val="center"/>
          </w:tcPr>
          <w:p w14:paraId="539D97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5FD5360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166.6445</w:t>
            </w:r>
          </w:p>
        </w:tc>
        <w:tc>
          <w:tcPr>
            <w:tcW w:w="488" w:type="pct"/>
            <w:tcMar>
              <w:top w:w="0" w:type="dxa"/>
              <w:bottom w:w="0" w:type="dxa"/>
            </w:tcMar>
            <w:vAlign w:val="center"/>
          </w:tcPr>
          <w:p w14:paraId="1186072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135.96</w:t>
            </w:r>
          </w:p>
        </w:tc>
        <w:tc>
          <w:tcPr>
            <w:tcW w:w="502" w:type="pct"/>
            <w:tcMar>
              <w:top w:w="0" w:type="dxa"/>
              <w:bottom w:w="0" w:type="dxa"/>
            </w:tcMar>
            <w:vAlign w:val="center"/>
          </w:tcPr>
          <w:p w14:paraId="5DCE2D60"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192,658.69</w:t>
            </w:r>
          </w:p>
        </w:tc>
        <w:tc>
          <w:tcPr>
            <w:tcW w:w="1108" w:type="pct"/>
            <w:tcMar>
              <w:top w:w="0" w:type="dxa"/>
              <w:bottom w:w="0" w:type="dxa"/>
            </w:tcMar>
            <w:vAlign w:val="center"/>
          </w:tcPr>
          <w:p w14:paraId="49AFA885" w14:textId="1EF191ED"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公司估值高于最近一次融资价格，具有公允性</w:t>
            </w:r>
          </w:p>
        </w:tc>
      </w:tr>
      <w:tr w:rsidR="00C16B5D" w:rsidRPr="00DA3766" w14:paraId="485283AE" w14:textId="77777777" w:rsidTr="00635015">
        <w:trPr>
          <w:trHeight w:val="397"/>
          <w:jc w:val="center"/>
        </w:trPr>
        <w:tc>
          <w:tcPr>
            <w:tcW w:w="216" w:type="pct"/>
            <w:vMerge/>
            <w:tcMar>
              <w:top w:w="0" w:type="dxa"/>
              <w:bottom w:w="0" w:type="dxa"/>
            </w:tcMar>
            <w:vAlign w:val="center"/>
          </w:tcPr>
          <w:p w14:paraId="2939C3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27" w:type="pct"/>
            <w:vMerge/>
            <w:tcMar>
              <w:top w:w="0" w:type="dxa"/>
              <w:bottom w:w="0" w:type="dxa"/>
            </w:tcMar>
            <w:vAlign w:val="center"/>
          </w:tcPr>
          <w:p w14:paraId="27FD53B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38" w:type="pct"/>
            <w:vMerge/>
            <w:tcMar>
              <w:top w:w="0" w:type="dxa"/>
              <w:bottom w:w="0" w:type="dxa"/>
            </w:tcMar>
            <w:vAlign w:val="center"/>
          </w:tcPr>
          <w:p w14:paraId="3C818C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43" w:type="pct"/>
            <w:tcMar>
              <w:top w:w="0" w:type="dxa"/>
              <w:bottom w:w="0" w:type="dxa"/>
            </w:tcMar>
            <w:vAlign w:val="center"/>
          </w:tcPr>
          <w:p w14:paraId="5108BDE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乐腾腾</w:t>
            </w:r>
          </w:p>
        </w:tc>
        <w:tc>
          <w:tcPr>
            <w:tcW w:w="461" w:type="pct"/>
            <w:tcMar>
              <w:top w:w="0" w:type="dxa"/>
              <w:bottom w:w="0" w:type="dxa"/>
            </w:tcMar>
            <w:vAlign w:val="center"/>
          </w:tcPr>
          <w:p w14:paraId="57697A1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047EA3C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37.5110</w:t>
            </w:r>
          </w:p>
        </w:tc>
        <w:tc>
          <w:tcPr>
            <w:tcW w:w="488" w:type="pct"/>
            <w:tcMar>
              <w:top w:w="0" w:type="dxa"/>
              <w:bottom w:w="0" w:type="dxa"/>
            </w:tcMar>
            <w:vAlign w:val="center"/>
          </w:tcPr>
          <w:p w14:paraId="095D925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02" w:type="pct"/>
            <w:tcMar>
              <w:top w:w="0" w:type="dxa"/>
              <w:bottom w:w="0" w:type="dxa"/>
            </w:tcMar>
            <w:vAlign w:val="center"/>
          </w:tcPr>
          <w:p w14:paraId="65C4AC6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4518166F" w14:textId="79D5C70D" w:rsidR="00C16B5D" w:rsidRPr="00DA3766" w:rsidRDefault="008144F1"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公司为实施股权激励，由员工持股平台乐腾腾以</w:t>
            </w:r>
            <w:r w:rsidR="00C16B5D" w:rsidRPr="00DA3766">
              <w:rPr>
                <w:rFonts w:ascii="Times New Roman" w:hAnsi="Times New Roman" w:cs="Times New Roman"/>
                <w:bCs/>
                <w:color w:val="000000"/>
                <w:sz w:val="21"/>
                <w:szCs w:val="21"/>
              </w:rPr>
              <w:t>1</w:t>
            </w:r>
            <w:r w:rsidR="00C16B5D" w:rsidRPr="00DA3766">
              <w:rPr>
                <w:rFonts w:ascii="Times New Roman" w:hAnsi="Times New Roman" w:cs="Times New Roman"/>
                <w:bCs/>
                <w:color w:val="000000"/>
                <w:sz w:val="21"/>
                <w:szCs w:val="21"/>
              </w:rPr>
              <w:t>元</w:t>
            </w:r>
            <w:r w:rsidR="00C16B5D" w:rsidRPr="00DA3766">
              <w:rPr>
                <w:rFonts w:ascii="Times New Roman" w:hAnsi="Times New Roman" w:cs="Times New Roman"/>
                <w:bCs/>
                <w:color w:val="000000"/>
                <w:sz w:val="21"/>
                <w:szCs w:val="21"/>
              </w:rPr>
              <w:t>/</w:t>
            </w:r>
            <w:r w:rsidR="00C16B5D" w:rsidRPr="00DA3766">
              <w:rPr>
                <w:rFonts w:ascii="Times New Roman" w:hAnsi="Times New Roman" w:cs="Times New Roman"/>
                <w:bCs/>
                <w:color w:val="000000"/>
                <w:sz w:val="21"/>
                <w:szCs w:val="21"/>
              </w:rPr>
              <w:t>注册资本增资，具有公允性</w:t>
            </w:r>
          </w:p>
        </w:tc>
      </w:tr>
      <w:tr w:rsidR="00C16B5D" w:rsidRPr="00DA3766" w14:paraId="79172B0B" w14:textId="77777777" w:rsidTr="00635015">
        <w:trPr>
          <w:trHeight w:val="397"/>
          <w:jc w:val="center"/>
        </w:trPr>
        <w:tc>
          <w:tcPr>
            <w:tcW w:w="216" w:type="pct"/>
            <w:tcMar>
              <w:top w:w="0" w:type="dxa"/>
              <w:bottom w:w="0" w:type="dxa"/>
            </w:tcMar>
            <w:vAlign w:val="center"/>
          </w:tcPr>
          <w:p w14:paraId="2092765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w:t>
            </w:r>
          </w:p>
        </w:tc>
        <w:tc>
          <w:tcPr>
            <w:tcW w:w="427" w:type="pct"/>
            <w:tcMar>
              <w:top w:w="0" w:type="dxa"/>
              <w:bottom w:w="0" w:type="dxa"/>
            </w:tcMar>
            <w:vAlign w:val="center"/>
          </w:tcPr>
          <w:p w14:paraId="2DD2B01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2021.10</w:t>
            </w:r>
          </w:p>
        </w:tc>
        <w:tc>
          <w:tcPr>
            <w:tcW w:w="838" w:type="pct"/>
            <w:tcMar>
              <w:top w:w="0" w:type="dxa"/>
              <w:bottom w:w="0" w:type="dxa"/>
            </w:tcMar>
            <w:vAlign w:val="center"/>
          </w:tcPr>
          <w:p w14:paraId="06B9221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第十一次股权转让，乐摇本次转让系由于其内部投资人广州科学城创业投资管理有限公司减资退出，同时，深圳市前海千意智合三期因投资计划调整，决定退出部分持股，经协商，决定由乐腾腾受让承接</w:t>
            </w:r>
          </w:p>
        </w:tc>
        <w:tc>
          <w:tcPr>
            <w:tcW w:w="543" w:type="pct"/>
            <w:tcMar>
              <w:top w:w="0" w:type="dxa"/>
              <w:bottom w:w="0" w:type="dxa"/>
            </w:tcMar>
            <w:vAlign w:val="center"/>
          </w:tcPr>
          <w:p w14:paraId="075DA2C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乐腾腾</w:t>
            </w:r>
          </w:p>
        </w:tc>
        <w:tc>
          <w:tcPr>
            <w:tcW w:w="461" w:type="pct"/>
            <w:tcMar>
              <w:top w:w="0" w:type="dxa"/>
              <w:bottom w:w="0" w:type="dxa"/>
            </w:tcMar>
            <w:vAlign w:val="center"/>
          </w:tcPr>
          <w:p w14:paraId="2E3963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乐摇、深圳市前海千意智合三期</w:t>
            </w:r>
          </w:p>
        </w:tc>
        <w:tc>
          <w:tcPr>
            <w:tcW w:w="417" w:type="pct"/>
            <w:tcMar>
              <w:top w:w="0" w:type="dxa"/>
              <w:bottom w:w="0" w:type="dxa"/>
            </w:tcMar>
            <w:vAlign w:val="center"/>
          </w:tcPr>
          <w:p w14:paraId="6AB5ED2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60.7673</w:t>
            </w:r>
          </w:p>
        </w:tc>
        <w:tc>
          <w:tcPr>
            <w:tcW w:w="488" w:type="pct"/>
            <w:tcMar>
              <w:top w:w="0" w:type="dxa"/>
              <w:bottom w:w="0" w:type="dxa"/>
            </w:tcMar>
            <w:vAlign w:val="center"/>
          </w:tcPr>
          <w:p w14:paraId="6058213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115.57</w:t>
            </w:r>
          </w:p>
        </w:tc>
        <w:tc>
          <w:tcPr>
            <w:tcW w:w="502" w:type="pct"/>
            <w:tcMar>
              <w:top w:w="0" w:type="dxa"/>
              <w:bottom w:w="0" w:type="dxa"/>
            </w:tcMar>
            <w:vAlign w:val="center"/>
          </w:tcPr>
          <w:p w14:paraId="3000688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163,755.46</w:t>
            </w:r>
          </w:p>
        </w:tc>
        <w:tc>
          <w:tcPr>
            <w:tcW w:w="1108" w:type="pct"/>
            <w:tcMar>
              <w:top w:w="0" w:type="dxa"/>
              <w:bottom w:w="0" w:type="dxa"/>
            </w:tcMar>
            <w:vAlign w:val="center"/>
          </w:tcPr>
          <w:p w14:paraId="1AB7839A" w14:textId="19422726"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协商定价，基于当时</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公司拟筹划港股上市的背景，乐摇内部国资基金广州科学城创业投资管理有限公司选择退出持股，前深圳市前海千意智合三期因投资计划调整选择部分退出，经协商，由</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公司持股平台乐腾腾受让</w:t>
            </w:r>
            <w:r w:rsidR="00072431" w:rsidRPr="00DA3766">
              <w:rPr>
                <w:rFonts w:ascii="Times New Roman" w:hAnsi="Times New Roman" w:cs="Times New Roman"/>
                <w:bCs/>
                <w:color w:val="000000"/>
                <w:sz w:val="21"/>
                <w:szCs w:val="21"/>
              </w:rPr>
              <w:t>，转让价格系参考前一轮</w:t>
            </w:r>
            <w:r w:rsidR="00072431" w:rsidRPr="00DA3766">
              <w:rPr>
                <w:rFonts w:ascii="Times New Roman" w:hAnsi="Times New Roman" w:cs="Times New Roman"/>
                <w:bCs/>
                <w:color w:val="000000"/>
                <w:sz w:val="21"/>
                <w:szCs w:val="21"/>
              </w:rPr>
              <w:t>D</w:t>
            </w:r>
            <w:r w:rsidR="00072431" w:rsidRPr="00DA3766">
              <w:rPr>
                <w:rFonts w:ascii="Times New Roman" w:hAnsi="Times New Roman" w:cs="Times New Roman"/>
                <w:bCs/>
                <w:color w:val="000000"/>
                <w:sz w:val="21"/>
                <w:szCs w:val="21"/>
              </w:rPr>
              <w:t>轮融资估值后由双方协商确定</w:t>
            </w:r>
            <w:r w:rsidRPr="00DA3766">
              <w:rPr>
                <w:rFonts w:ascii="Times New Roman" w:hAnsi="Times New Roman" w:cs="Times New Roman"/>
                <w:bCs/>
                <w:color w:val="000000"/>
                <w:sz w:val="21"/>
                <w:szCs w:val="21"/>
              </w:rPr>
              <w:t>，价格具有公允性</w:t>
            </w:r>
          </w:p>
        </w:tc>
      </w:tr>
      <w:tr w:rsidR="00C16B5D" w:rsidRPr="00DA3766" w14:paraId="433E28E0" w14:textId="77777777" w:rsidTr="00635015">
        <w:trPr>
          <w:trHeight w:val="397"/>
          <w:jc w:val="center"/>
        </w:trPr>
        <w:tc>
          <w:tcPr>
            <w:tcW w:w="216" w:type="pct"/>
            <w:tcMar>
              <w:top w:w="0" w:type="dxa"/>
              <w:bottom w:w="0" w:type="dxa"/>
            </w:tcMar>
            <w:vAlign w:val="center"/>
          </w:tcPr>
          <w:p w14:paraId="08DB2F2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w:t>
            </w:r>
          </w:p>
        </w:tc>
        <w:tc>
          <w:tcPr>
            <w:tcW w:w="427" w:type="pct"/>
            <w:tcMar>
              <w:top w:w="0" w:type="dxa"/>
              <w:bottom w:w="0" w:type="dxa"/>
            </w:tcMar>
            <w:vAlign w:val="center"/>
          </w:tcPr>
          <w:p w14:paraId="5BAD6D4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2021.11</w:t>
            </w:r>
          </w:p>
        </w:tc>
        <w:tc>
          <w:tcPr>
            <w:tcW w:w="838" w:type="pct"/>
            <w:tcMar>
              <w:top w:w="0" w:type="dxa"/>
              <w:bottom w:w="0" w:type="dxa"/>
            </w:tcMar>
            <w:vAlign w:val="center"/>
          </w:tcPr>
          <w:p w14:paraId="2746CCE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第十二次转让，乐腾腾因前次受让乐摇股权需要资金，经与外部投资</w:t>
            </w:r>
            <w:r w:rsidRPr="00DA3766">
              <w:rPr>
                <w:rFonts w:ascii="Times New Roman" w:hAnsi="Times New Roman" w:cs="Times New Roman"/>
                <w:bCs/>
                <w:color w:val="000000"/>
                <w:sz w:val="21"/>
                <w:szCs w:val="21"/>
              </w:rPr>
              <w:lastRenderedPageBreak/>
              <w:t>人</w:t>
            </w:r>
            <w:hyperlink r:id="rId69" w:tgtFrame="https://www.qcc.com/firm/_blank" w:history="1">
              <w:r w:rsidRPr="00DA3766">
                <w:rPr>
                  <w:rFonts w:ascii="Times New Roman" w:hAnsi="Times New Roman" w:cs="Times New Roman"/>
                  <w:bCs/>
                  <w:color w:val="000000"/>
                  <w:sz w:val="21"/>
                  <w:szCs w:val="21"/>
                </w:rPr>
                <w:t>睿信创投</w:t>
              </w:r>
            </w:hyperlink>
            <w:r w:rsidRPr="00DA3766">
              <w:rPr>
                <w:rFonts w:ascii="Times New Roman" w:hAnsi="Times New Roman" w:cs="Times New Roman"/>
                <w:bCs/>
                <w:color w:val="000000"/>
                <w:sz w:val="21"/>
                <w:szCs w:val="21"/>
              </w:rPr>
              <w:t>、</w:t>
            </w:r>
            <w:hyperlink r:id="rId70" w:tgtFrame="https://www.qcc.com/firm/_blank" w:history="1">
              <w:r w:rsidRPr="00DA3766">
                <w:rPr>
                  <w:rFonts w:ascii="Times New Roman" w:hAnsi="Times New Roman" w:cs="Times New Roman"/>
                  <w:bCs/>
                  <w:color w:val="000000"/>
                  <w:sz w:val="21"/>
                  <w:szCs w:val="21"/>
                </w:rPr>
                <w:t>睿启创投</w:t>
              </w:r>
            </w:hyperlink>
            <w:r w:rsidRPr="00DA3766">
              <w:rPr>
                <w:rFonts w:ascii="Times New Roman" w:hAnsi="Times New Roman" w:cs="Times New Roman"/>
                <w:bCs/>
                <w:color w:val="000000"/>
                <w:sz w:val="21"/>
                <w:szCs w:val="21"/>
              </w:rPr>
              <w:t>、蕙富皓玥、</w:t>
            </w:r>
            <w:hyperlink r:id="rId71" w:tgtFrame="https://www.qcc.com/firm/_blank" w:history="1">
              <w:r w:rsidRPr="00DA3766">
                <w:rPr>
                  <w:rFonts w:ascii="Times New Roman" w:hAnsi="Times New Roman" w:cs="Times New Roman"/>
                  <w:bCs/>
                  <w:color w:val="000000"/>
                  <w:sz w:val="21"/>
                  <w:szCs w:val="21"/>
                </w:rPr>
                <w:t>汇垠众富</w:t>
              </w:r>
            </w:hyperlink>
            <w:r w:rsidRPr="00DA3766">
              <w:rPr>
                <w:rFonts w:ascii="Times New Roman" w:hAnsi="Times New Roman" w:cs="Times New Roman"/>
                <w:bCs/>
                <w:color w:val="000000"/>
                <w:sz w:val="21"/>
                <w:szCs w:val="21"/>
              </w:rPr>
              <w:t>、科金二号、</w:t>
            </w:r>
            <w:hyperlink r:id="rId72" w:tgtFrame="https://www.qcc.com/firm/_blank" w:history="1">
              <w:r w:rsidRPr="00DA3766">
                <w:rPr>
                  <w:rFonts w:ascii="Times New Roman" w:hAnsi="Times New Roman" w:cs="Times New Roman"/>
                  <w:bCs/>
                  <w:color w:val="000000"/>
                  <w:sz w:val="21"/>
                  <w:szCs w:val="21"/>
                </w:rPr>
                <w:t>枣庄哈拿</w:t>
              </w:r>
            </w:hyperlink>
            <w:r w:rsidRPr="00DA3766">
              <w:rPr>
                <w:rFonts w:ascii="Times New Roman" w:hAnsi="Times New Roman" w:cs="Times New Roman"/>
                <w:bCs/>
                <w:color w:val="000000"/>
                <w:sz w:val="21"/>
                <w:szCs w:val="21"/>
              </w:rPr>
              <w:t>协商一致，决定由前述投资人受让乐腾腾股权</w:t>
            </w:r>
          </w:p>
        </w:tc>
        <w:tc>
          <w:tcPr>
            <w:tcW w:w="543" w:type="pct"/>
            <w:tcMar>
              <w:top w:w="0" w:type="dxa"/>
              <w:bottom w:w="0" w:type="dxa"/>
            </w:tcMar>
            <w:vAlign w:val="center"/>
          </w:tcPr>
          <w:p w14:paraId="6230BBD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3" w:tgtFrame="https://www.qcc.com/firm/_blank" w:history="1">
              <w:r w:rsidRPr="00DA3766">
                <w:rPr>
                  <w:rFonts w:ascii="Times New Roman" w:hAnsi="Times New Roman" w:cs="Times New Roman"/>
                  <w:bCs/>
                  <w:color w:val="000000"/>
                  <w:sz w:val="21"/>
                  <w:szCs w:val="21"/>
                </w:rPr>
                <w:t>睿信创投</w:t>
              </w:r>
            </w:hyperlink>
            <w:r w:rsidRPr="00DA3766">
              <w:rPr>
                <w:rFonts w:ascii="Times New Roman" w:hAnsi="Times New Roman" w:cs="Times New Roman"/>
                <w:bCs/>
                <w:color w:val="000000"/>
                <w:sz w:val="21"/>
                <w:szCs w:val="21"/>
              </w:rPr>
              <w:t>、</w:t>
            </w:r>
            <w:hyperlink r:id="rId74" w:tgtFrame="https://www.qcc.com/firm/_blank" w:history="1">
              <w:r w:rsidRPr="00DA3766">
                <w:rPr>
                  <w:rFonts w:ascii="Times New Roman" w:hAnsi="Times New Roman" w:cs="Times New Roman"/>
                  <w:bCs/>
                  <w:color w:val="000000"/>
                  <w:sz w:val="21"/>
                  <w:szCs w:val="21"/>
                </w:rPr>
                <w:t>睿启创投</w:t>
              </w:r>
            </w:hyperlink>
            <w:r w:rsidRPr="00DA3766">
              <w:rPr>
                <w:rFonts w:ascii="Times New Roman" w:hAnsi="Times New Roman" w:cs="Times New Roman"/>
                <w:bCs/>
                <w:color w:val="000000"/>
                <w:sz w:val="21"/>
                <w:szCs w:val="21"/>
              </w:rPr>
              <w:t>、蕙富皓玥、</w:t>
            </w:r>
            <w:hyperlink r:id="rId75" w:tgtFrame="https://www.qcc.com/firm/_blank" w:history="1">
              <w:r w:rsidRPr="00DA3766">
                <w:rPr>
                  <w:rFonts w:ascii="Times New Roman" w:hAnsi="Times New Roman" w:cs="Times New Roman"/>
                  <w:bCs/>
                  <w:color w:val="000000"/>
                  <w:sz w:val="21"/>
                  <w:szCs w:val="21"/>
                </w:rPr>
                <w:t>汇垠众</w:t>
              </w:r>
              <w:r w:rsidRPr="00DA3766">
                <w:rPr>
                  <w:rFonts w:ascii="Times New Roman" w:hAnsi="Times New Roman" w:cs="Times New Roman"/>
                  <w:bCs/>
                  <w:color w:val="000000"/>
                  <w:sz w:val="21"/>
                  <w:szCs w:val="21"/>
                </w:rPr>
                <w:lastRenderedPageBreak/>
                <w:t>富</w:t>
              </w:r>
            </w:hyperlink>
            <w:r w:rsidRPr="00DA3766">
              <w:rPr>
                <w:rFonts w:ascii="Times New Roman" w:hAnsi="Times New Roman" w:cs="Times New Roman"/>
                <w:bCs/>
                <w:color w:val="000000"/>
                <w:sz w:val="21"/>
                <w:szCs w:val="21"/>
              </w:rPr>
              <w:t>、科金二号、</w:t>
            </w:r>
            <w:hyperlink r:id="rId76" w:tgtFrame="https://www.qcc.com/firm/_blank" w:history="1">
              <w:r w:rsidRPr="00DA3766">
                <w:rPr>
                  <w:rFonts w:ascii="Times New Roman" w:hAnsi="Times New Roman" w:cs="Times New Roman"/>
                  <w:bCs/>
                  <w:color w:val="000000"/>
                  <w:sz w:val="21"/>
                  <w:szCs w:val="21"/>
                </w:rPr>
                <w:t>枣庄哈拿</w:t>
              </w:r>
            </w:hyperlink>
          </w:p>
        </w:tc>
        <w:tc>
          <w:tcPr>
            <w:tcW w:w="461" w:type="pct"/>
            <w:tcMar>
              <w:top w:w="0" w:type="dxa"/>
              <w:bottom w:w="0" w:type="dxa"/>
            </w:tcMar>
            <w:vAlign w:val="center"/>
          </w:tcPr>
          <w:p w14:paraId="02A44C0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乐腾腾</w:t>
            </w:r>
          </w:p>
        </w:tc>
        <w:tc>
          <w:tcPr>
            <w:tcW w:w="417" w:type="pct"/>
            <w:tcMar>
              <w:top w:w="0" w:type="dxa"/>
              <w:bottom w:w="0" w:type="dxa"/>
            </w:tcMar>
            <w:vAlign w:val="center"/>
          </w:tcPr>
          <w:p w14:paraId="74067A1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55.1632</w:t>
            </w:r>
          </w:p>
        </w:tc>
        <w:tc>
          <w:tcPr>
            <w:tcW w:w="488" w:type="pct"/>
            <w:tcMar>
              <w:top w:w="0" w:type="dxa"/>
              <w:bottom w:w="0" w:type="dxa"/>
            </w:tcMar>
            <w:vAlign w:val="center"/>
          </w:tcPr>
          <w:p w14:paraId="3786CFB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135.96</w:t>
            </w:r>
          </w:p>
        </w:tc>
        <w:tc>
          <w:tcPr>
            <w:tcW w:w="502" w:type="pct"/>
            <w:tcMar>
              <w:top w:w="0" w:type="dxa"/>
              <w:bottom w:w="0" w:type="dxa"/>
            </w:tcMar>
            <w:vAlign w:val="center"/>
          </w:tcPr>
          <w:p w14:paraId="49DBD76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192,658.69</w:t>
            </w:r>
          </w:p>
        </w:tc>
        <w:tc>
          <w:tcPr>
            <w:tcW w:w="1108" w:type="pct"/>
            <w:tcMar>
              <w:top w:w="0" w:type="dxa"/>
              <w:bottom w:w="0" w:type="dxa"/>
            </w:tcMar>
            <w:vAlign w:val="center"/>
          </w:tcPr>
          <w:p w14:paraId="11E46E08"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协商定价，由外部投资人与乐腾腾协商按照前一轮融资估值价格确定的本次转让价格，价格具有</w:t>
            </w:r>
            <w:r w:rsidRPr="00DA3766">
              <w:rPr>
                <w:rFonts w:ascii="Times New Roman" w:hAnsi="Times New Roman" w:cs="Times New Roman"/>
                <w:bCs/>
                <w:color w:val="000000"/>
                <w:sz w:val="21"/>
                <w:szCs w:val="21"/>
              </w:rPr>
              <w:lastRenderedPageBreak/>
              <w:t>公允性</w:t>
            </w:r>
          </w:p>
        </w:tc>
      </w:tr>
      <w:tr w:rsidR="00C16B5D" w:rsidRPr="00DA3766" w14:paraId="28EBF1F0" w14:textId="77777777" w:rsidTr="00635015">
        <w:trPr>
          <w:trHeight w:val="397"/>
          <w:jc w:val="center"/>
        </w:trPr>
        <w:tc>
          <w:tcPr>
            <w:tcW w:w="216" w:type="pct"/>
            <w:tcMar>
              <w:top w:w="0" w:type="dxa"/>
              <w:bottom w:w="0" w:type="dxa"/>
            </w:tcMar>
            <w:vAlign w:val="center"/>
          </w:tcPr>
          <w:p w14:paraId="723D434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20</w:t>
            </w:r>
          </w:p>
        </w:tc>
        <w:tc>
          <w:tcPr>
            <w:tcW w:w="427" w:type="pct"/>
            <w:tcMar>
              <w:top w:w="0" w:type="dxa"/>
              <w:bottom w:w="0" w:type="dxa"/>
            </w:tcMar>
            <w:vAlign w:val="center"/>
          </w:tcPr>
          <w:p w14:paraId="3349D68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2022.06</w:t>
            </w:r>
          </w:p>
        </w:tc>
        <w:tc>
          <w:tcPr>
            <w:tcW w:w="838" w:type="pct"/>
            <w:tcMar>
              <w:top w:w="0" w:type="dxa"/>
              <w:bottom w:w="0" w:type="dxa"/>
            </w:tcMar>
            <w:vAlign w:val="center"/>
          </w:tcPr>
          <w:p w14:paraId="32B8B3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标的公司整体变更为股份公司</w:t>
            </w:r>
          </w:p>
        </w:tc>
        <w:tc>
          <w:tcPr>
            <w:tcW w:w="543" w:type="pct"/>
            <w:tcMar>
              <w:top w:w="0" w:type="dxa"/>
              <w:bottom w:w="0" w:type="dxa"/>
            </w:tcMar>
            <w:vAlign w:val="center"/>
          </w:tcPr>
          <w:p w14:paraId="72BA76D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61" w:type="pct"/>
            <w:tcMar>
              <w:top w:w="0" w:type="dxa"/>
              <w:bottom w:w="0" w:type="dxa"/>
            </w:tcMar>
            <w:vAlign w:val="center"/>
          </w:tcPr>
          <w:p w14:paraId="766D932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17" w:type="pct"/>
            <w:tcMar>
              <w:top w:w="0" w:type="dxa"/>
              <w:bottom w:w="0" w:type="dxa"/>
            </w:tcMar>
            <w:vAlign w:val="center"/>
          </w:tcPr>
          <w:p w14:paraId="64B448C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88" w:type="pct"/>
            <w:tcMar>
              <w:top w:w="0" w:type="dxa"/>
              <w:bottom w:w="0" w:type="dxa"/>
            </w:tcMar>
            <w:vAlign w:val="center"/>
          </w:tcPr>
          <w:p w14:paraId="7358672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02" w:type="pct"/>
            <w:tcMar>
              <w:top w:w="0" w:type="dxa"/>
              <w:bottom w:w="0" w:type="dxa"/>
            </w:tcMar>
            <w:vAlign w:val="center"/>
          </w:tcPr>
          <w:p w14:paraId="217B6A1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16A0C88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1D024E1B" w14:textId="77777777" w:rsidTr="00635015">
        <w:trPr>
          <w:trHeight w:val="397"/>
          <w:jc w:val="center"/>
        </w:trPr>
        <w:tc>
          <w:tcPr>
            <w:tcW w:w="216" w:type="pct"/>
            <w:tcMar>
              <w:top w:w="0" w:type="dxa"/>
              <w:bottom w:w="0" w:type="dxa"/>
            </w:tcMar>
            <w:vAlign w:val="center"/>
          </w:tcPr>
          <w:p w14:paraId="7EAD4E8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21</w:t>
            </w:r>
          </w:p>
        </w:tc>
        <w:tc>
          <w:tcPr>
            <w:tcW w:w="427" w:type="pct"/>
            <w:tcMar>
              <w:top w:w="0" w:type="dxa"/>
              <w:bottom w:w="0" w:type="dxa"/>
            </w:tcMar>
            <w:vAlign w:val="center"/>
          </w:tcPr>
          <w:p w14:paraId="59A9FEF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2024.12</w:t>
            </w:r>
          </w:p>
        </w:tc>
        <w:tc>
          <w:tcPr>
            <w:tcW w:w="838" w:type="pct"/>
            <w:tcMar>
              <w:top w:w="0" w:type="dxa"/>
              <w:bottom w:w="0" w:type="dxa"/>
            </w:tcMar>
            <w:vAlign w:val="center"/>
          </w:tcPr>
          <w:p w14:paraId="69A7EC1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第一次股份转让，外部投资人原本俱甲调整投资计划退出持股，经协商由原同一控制下的外部机构股东璀璨远见、璀璨德商受让</w:t>
            </w:r>
          </w:p>
        </w:tc>
        <w:tc>
          <w:tcPr>
            <w:tcW w:w="543" w:type="pct"/>
            <w:tcMar>
              <w:top w:w="0" w:type="dxa"/>
              <w:bottom w:w="0" w:type="dxa"/>
            </w:tcMar>
            <w:vAlign w:val="center"/>
          </w:tcPr>
          <w:p w14:paraId="6A188FA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璀璨远见、璀璨德商</w:t>
            </w:r>
          </w:p>
        </w:tc>
        <w:tc>
          <w:tcPr>
            <w:tcW w:w="461" w:type="pct"/>
            <w:tcMar>
              <w:top w:w="0" w:type="dxa"/>
              <w:bottom w:w="0" w:type="dxa"/>
            </w:tcMar>
            <w:vAlign w:val="center"/>
          </w:tcPr>
          <w:p w14:paraId="4B4B27E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原本俱甲</w:t>
            </w:r>
          </w:p>
        </w:tc>
        <w:tc>
          <w:tcPr>
            <w:tcW w:w="417" w:type="pct"/>
            <w:tcMar>
              <w:top w:w="0" w:type="dxa"/>
              <w:bottom w:w="0" w:type="dxa"/>
            </w:tcMar>
            <w:vAlign w:val="center"/>
          </w:tcPr>
          <w:p w14:paraId="1D475C0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18.4353</w:t>
            </w:r>
          </w:p>
        </w:tc>
        <w:tc>
          <w:tcPr>
            <w:tcW w:w="488" w:type="pct"/>
            <w:tcMar>
              <w:top w:w="0" w:type="dxa"/>
              <w:bottom w:w="0" w:type="dxa"/>
            </w:tcMar>
            <w:vAlign w:val="center"/>
          </w:tcPr>
          <w:p w14:paraId="55A35E5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80.37</w:t>
            </w:r>
          </w:p>
        </w:tc>
        <w:tc>
          <w:tcPr>
            <w:tcW w:w="502" w:type="pct"/>
            <w:tcMar>
              <w:top w:w="0" w:type="dxa"/>
              <w:bottom w:w="0" w:type="dxa"/>
            </w:tcMar>
            <w:vAlign w:val="center"/>
          </w:tcPr>
          <w:p w14:paraId="77667CC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91,056.53</w:t>
            </w:r>
          </w:p>
        </w:tc>
        <w:tc>
          <w:tcPr>
            <w:tcW w:w="1108" w:type="pct"/>
            <w:tcMar>
              <w:top w:w="0" w:type="dxa"/>
              <w:bottom w:w="0" w:type="dxa"/>
            </w:tcMar>
            <w:vAlign w:val="center"/>
          </w:tcPr>
          <w:p w14:paraId="31CEBED5"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协商定价，由原同一控制下的外部投资机构受让，价格具有公允性</w:t>
            </w:r>
          </w:p>
        </w:tc>
      </w:tr>
      <w:tr w:rsidR="00C16B5D" w:rsidRPr="00DA3766" w14:paraId="22034113" w14:textId="77777777" w:rsidTr="00635015">
        <w:trPr>
          <w:trHeight w:val="397"/>
          <w:jc w:val="center"/>
        </w:trPr>
        <w:tc>
          <w:tcPr>
            <w:tcW w:w="216" w:type="pct"/>
            <w:tcMar>
              <w:top w:w="0" w:type="dxa"/>
              <w:bottom w:w="0" w:type="dxa"/>
            </w:tcMar>
            <w:vAlign w:val="center"/>
          </w:tcPr>
          <w:p w14:paraId="7C7B350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22</w:t>
            </w:r>
          </w:p>
        </w:tc>
        <w:tc>
          <w:tcPr>
            <w:tcW w:w="427" w:type="pct"/>
            <w:tcMar>
              <w:top w:w="0" w:type="dxa"/>
              <w:bottom w:w="0" w:type="dxa"/>
            </w:tcMar>
            <w:vAlign w:val="center"/>
          </w:tcPr>
          <w:p w14:paraId="1DAF2C5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2025.03</w:t>
            </w:r>
          </w:p>
        </w:tc>
        <w:tc>
          <w:tcPr>
            <w:tcW w:w="838" w:type="pct"/>
            <w:tcMar>
              <w:top w:w="0" w:type="dxa"/>
              <w:bottom w:w="0" w:type="dxa"/>
            </w:tcMar>
            <w:vAlign w:val="center"/>
          </w:tcPr>
          <w:p w14:paraId="644589F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第二次股份转让，外部投资人蜜芽宝贝调整投资计划退出持股，经协商由杨裕雄受让</w:t>
            </w:r>
          </w:p>
        </w:tc>
        <w:tc>
          <w:tcPr>
            <w:tcW w:w="543" w:type="pct"/>
            <w:tcMar>
              <w:top w:w="0" w:type="dxa"/>
              <w:bottom w:w="0" w:type="dxa"/>
            </w:tcMar>
            <w:vAlign w:val="center"/>
          </w:tcPr>
          <w:p w14:paraId="5ACB43B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杨裕雄</w:t>
            </w:r>
          </w:p>
        </w:tc>
        <w:tc>
          <w:tcPr>
            <w:tcW w:w="461" w:type="pct"/>
            <w:tcMar>
              <w:top w:w="0" w:type="dxa"/>
              <w:bottom w:w="0" w:type="dxa"/>
            </w:tcMar>
            <w:vAlign w:val="center"/>
          </w:tcPr>
          <w:p w14:paraId="42F2968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蜜芽宝贝</w:t>
            </w:r>
          </w:p>
        </w:tc>
        <w:tc>
          <w:tcPr>
            <w:tcW w:w="417" w:type="pct"/>
            <w:tcMar>
              <w:top w:w="0" w:type="dxa"/>
              <w:bottom w:w="0" w:type="dxa"/>
            </w:tcMar>
            <w:vAlign w:val="center"/>
          </w:tcPr>
          <w:p w14:paraId="6F85B65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sz w:val="21"/>
                <w:szCs w:val="21"/>
              </w:rPr>
              <w:t>15.9620</w:t>
            </w:r>
          </w:p>
        </w:tc>
        <w:tc>
          <w:tcPr>
            <w:tcW w:w="488" w:type="pct"/>
            <w:tcMar>
              <w:top w:w="0" w:type="dxa"/>
              <w:bottom w:w="0" w:type="dxa"/>
            </w:tcMar>
            <w:vAlign w:val="center"/>
          </w:tcPr>
          <w:p w14:paraId="77B05C9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12.22</w:t>
            </w:r>
          </w:p>
        </w:tc>
        <w:tc>
          <w:tcPr>
            <w:tcW w:w="502" w:type="pct"/>
            <w:tcMar>
              <w:top w:w="0" w:type="dxa"/>
              <w:bottom w:w="0" w:type="dxa"/>
            </w:tcMar>
            <w:vAlign w:val="center"/>
          </w:tcPr>
          <w:p w14:paraId="43DD60A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13,571.83</w:t>
            </w:r>
          </w:p>
        </w:tc>
        <w:tc>
          <w:tcPr>
            <w:tcW w:w="1108" w:type="pct"/>
            <w:tcMar>
              <w:top w:w="0" w:type="dxa"/>
              <w:bottom w:w="0" w:type="dxa"/>
            </w:tcMar>
            <w:vAlign w:val="center"/>
          </w:tcPr>
          <w:p w14:paraId="1ED2B9DF"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协商定价，投资人蜜芽宝贝在标的公司面临较大回购压力且其所持标的公司股份无回购权等保障，其持股权益存在较大不确定性情况下，综合投入成本及历史已取得回报情况，选择以较低价格退出，具有公允性</w:t>
            </w:r>
          </w:p>
        </w:tc>
      </w:tr>
      <w:tr w:rsidR="00C16B5D" w:rsidRPr="00DA3766" w14:paraId="14DFDA5A" w14:textId="77777777" w:rsidTr="00635015">
        <w:trPr>
          <w:trHeight w:val="397"/>
          <w:jc w:val="center"/>
        </w:trPr>
        <w:tc>
          <w:tcPr>
            <w:tcW w:w="216" w:type="pct"/>
            <w:tcMar>
              <w:top w:w="0" w:type="dxa"/>
              <w:bottom w:w="0" w:type="dxa"/>
            </w:tcMar>
            <w:vAlign w:val="center"/>
          </w:tcPr>
          <w:p w14:paraId="71E430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w:t>
            </w:r>
          </w:p>
        </w:tc>
        <w:tc>
          <w:tcPr>
            <w:tcW w:w="427" w:type="pct"/>
            <w:tcMar>
              <w:top w:w="0" w:type="dxa"/>
              <w:bottom w:w="0" w:type="dxa"/>
            </w:tcMar>
            <w:vAlign w:val="center"/>
          </w:tcPr>
          <w:p w14:paraId="5A3692D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2025.06</w:t>
            </w:r>
          </w:p>
        </w:tc>
        <w:tc>
          <w:tcPr>
            <w:tcW w:w="838" w:type="pct"/>
            <w:tcMar>
              <w:top w:w="0" w:type="dxa"/>
              <w:bottom w:w="0" w:type="dxa"/>
            </w:tcMar>
            <w:vAlign w:val="center"/>
          </w:tcPr>
          <w:p w14:paraId="7AAC6E10" w14:textId="21D4CF01"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第三次股份转让，</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公司管理层杨凯然、张杰波、胡俊、王佳将其在员工持股平台间接持有的股权转为直接持股，由持股平台将上述</w:t>
            </w:r>
            <w:r w:rsidRPr="00DA3766">
              <w:rPr>
                <w:rFonts w:ascii="Times New Roman" w:hAnsi="Times New Roman" w:cs="Times New Roman"/>
                <w:bCs/>
                <w:color w:val="000000"/>
                <w:sz w:val="21"/>
                <w:szCs w:val="21"/>
              </w:rPr>
              <w:lastRenderedPageBreak/>
              <w:t>管理层在平台内的持股份额对应星云开物股份直接转让至管理层本人名下，同时管理层股东在持股平台完成退出</w:t>
            </w:r>
          </w:p>
        </w:tc>
        <w:tc>
          <w:tcPr>
            <w:tcW w:w="543" w:type="pct"/>
            <w:tcMar>
              <w:top w:w="0" w:type="dxa"/>
              <w:bottom w:w="0" w:type="dxa"/>
            </w:tcMar>
            <w:vAlign w:val="center"/>
          </w:tcPr>
          <w:p w14:paraId="791C3F3F" w14:textId="77777777" w:rsidR="00635015"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杨凯然、张杰波、胡俊、</w:t>
            </w:r>
          </w:p>
          <w:p w14:paraId="440756D8" w14:textId="4BB35CC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王佳</w:t>
            </w:r>
          </w:p>
        </w:tc>
        <w:tc>
          <w:tcPr>
            <w:tcW w:w="461" w:type="pct"/>
            <w:tcMar>
              <w:top w:w="0" w:type="dxa"/>
              <w:bottom w:w="0" w:type="dxa"/>
            </w:tcMar>
            <w:vAlign w:val="center"/>
          </w:tcPr>
          <w:p w14:paraId="689B803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sz w:val="21"/>
                <w:szCs w:val="21"/>
              </w:rPr>
              <w:t>乐哈哈、乐腾腾、乐熙熙、乐洋洋、乐摇</w:t>
            </w:r>
          </w:p>
        </w:tc>
        <w:tc>
          <w:tcPr>
            <w:tcW w:w="417" w:type="pct"/>
            <w:tcMar>
              <w:top w:w="0" w:type="dxa"/>
              <w:bottom w:w="0" w:type="dxa"/>
            </w:tcMar>
            <w:vAlign w:val="center"/>
          </w:tcPr>
          <w:p w14:paraId="3091F54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130.0344</w:t>
            </w:r>
          </w:p>
        </w:tc>
        <w:tc>
          <w:tcPr>
            <w:tcW w:w="488" w:type="pct"/>
            <w:tcMar>
              <w:top w:w="0" w:type="dxa"/>
              <w:bottom w:w="0" w:type="dxa"/>
            </w:tcMar>
            <w:vAlign w:val="center"/>
          </w:tcPr>
          <w:p w14:paraId="6A7C5D77" w14:textId="117E00A4" w:rsidR="00C16B5D" w:rsidRPr="00DA3766" w:rsidRDefault="008473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02" w:type="pct"/>
            <w:tcMar>
              <w:top w:w="0" w:type="dxa"/>
              <w:bottom w:w="0" w:type="dxa"/>
            </w:tcMar>
            <w:vAlign w:val="center"/>
          </w:tcPr>
          <w:p w14:paraId="401A9DE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08" w:type="pct"/>
            <w:tcMar>
              <w:top w:w="0" w:type="dxa"/>
              <w:bottom w:w="0" w:type="dxa"/>
            </w:tcMar>
            <w:vAlign w:val="center"/>
          </w:tcPr>
          <w:p w14:paraId="5828BAE6" w14:textId="0A965808" w:rsidR="00C16B5D" w:rsidRPr="00DA3766" w:rsidRDefault="008144F1"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公司管理层选择将通过员工持股平台间接持股转变为直接持股，便于其未来对股份的管理，不涉及实质权益转让，具有公允性</w:t>
            </w:r>
          </w:p>
        </w:tc>
      </w:tr>
    </w:tbl>
    <w:p w14:paraId="7CFCB8BB" w14:textId="00D845F3" w:rsidR="00C16B5D" w:rsidRPr="00DA3766" w:rsidRDefault="00C16B5D" w:rsidP="00C16B5D">
      <w:pPr>
        <w:pStyle w:val="005"/>
        <w:spacing w:before="120" w:after="120"/>
        <w:ind w:firstLine="480"/>
        <w:rPr>
          <w:b/>
        </w:rPr>
      </w:pPr>
      <w:r w:rsidRPr="00DA3766">
        <w:t>因此，标的资产及前身历次增资及股权转让的作价公允</w:t>
      </w:r>
      <w:r w:rsidR="00884014" w:rsidRPr="00DA3766">
        <w:t>。</w:t>
      </w:r>
      <w:bookmarkEnd w:id="219"/>
    </w:p>
    <w:p w14:paraId="7D53C313" w14:textId="0647D9DE" w:rsidR="00C16B5D" w:rsidRPr="00DA3766" w:rsidRDefault="00C16B5D" w:rsidP="00DA3766">
      <w:pPr>
        <w:tabs>
          <w:tab w:val="left" w:pos="1504"/>
        </w:tabs>
        <w:spacing w:before="120" w:after="120"/>
        <w:ind w:firstLine="480"/>
        <w:jc w:val="both"/>
        <w:rPr>
          <w:rFonts w:ascii="Times New Roman" w:hAnsi="Times New Roman" w:cs="Times New Roman"/>
        </w:rPr>
        <w:sectPr w:rsidR="00C16B5D" w:rsidRPr="00DA3766" w:rsidSect="00C16B5D">
          <w:pgSz w:w="16838" w:h="11906" w:orient="landscape"/>
          <w:pgMar w:top="1797" w:right="1440" w:bottom="1797" w:left="1440" w:header="851" w:footer="992" w:gutter="0"/>
          <w:cols w:space="425"/>
          <w:docGrid w:linePitch="326"/>
        </w:sectPr>
      </w:pPr>
      <w:r w:rsidRPr="00DA3766">
        <w:rPr>
          <w:rFonts w:ascii="Times New Roman" w:hAnsi="Times New Roman" w:cs="Times New Roman"/>
        </w:rPr>
        <w:tab/>
      </w:r>
    </w:p>
    <w:p w14:paraId="41590571" w14:textId="77777777" w:rsidR="00841B38" w:rsidRPr="00DA3766" w:rsidRDefault="00841B38" w:rsidP="00841B38">
      <w:pPr>
        <w:pStyle w:val="003"/>
        <w:spacing w:before="120" w:after="120"/>
        <w:ind w:firstLine="482"/>
      </w:pPr>
      <w:r w:rsidRPr="00DA3766">
        <w:lastRenderedPageBreak/>
        <w:t>（二）</w:t>
      </w:r>
      <w:bookmarkStart w:id="221" w:name="_Hlk219372828"/>
      <w:bookmarkStart w:id="222" w:name="OLE_LINK138"/>
      <w:r w:rsidRPr="00DA3766">
        <w:t>标的资产</w:t>
      </w:r>
      <w:bookmarkStart w:id="223" w:name="OLE_LINK125"/>
      <w:r w:rsidRPr="00DA3766">
        <w:t>管理层及相关持股平台入股</w:t>
      </w:r>
      <w:bookmarkStart w:id="224" w:name="_Hlk219372921"/>
      <w:bookmarkEnd w:id="221"/>
      <w:bookmarkEnd w:id="223"/>
      <w:r w:rsidRPr="00DA3766">
        <w:t>是否存在股份支付，股份支付费用计提是否准确，申报文件中相关财务数据是否准确</w:t>
      </w:r>
      <w:bookmarkEnd w:id="220"/>
      <w:bookmarkEnd w:id="222"/>
      <w:bookmarkEnd w:id="224"/>
    </w:p>
    <w:p w14:paraId="30C640B4" w14:textId="07B19A5D" w:rsidR="000A715F" w:rsidRPr="00DA3766" w:rsidRDefault="00841B38" w:rsidP="00E0423A">
      <w:pPr>
        <w:keepNext/>
        <w:keepLines/>
        <w:spacing w:before="120" w:after="120"/>
        <w:ind w:firstLine="482"/>
        <w:jc w:val="both"/>
        <w:outlineLvl w:val="3"/>
        <w:rPr>
          <w:rFonts w:ascii="Times New Roman" w:hAnsi="Times New Roman" w:cs="Times New Roman"/>
          <w:b/>
          <w:bCs/>
          <w:szCs w:val="28"/>
        </w:rPr>
      </w:pPr>
      <w:bookmarkStart w:id="225" w:name="_Hlk219372940"/>
      <w:r w:rsidRPr="00DA3766">
        <w:rPr>
          <w:rFonts w:ascii="Times New Roman" w:hAnsi="Times New Roman" w:cs="Times New Roman"/>
          <w:b/>
          <w:bCs/>
          <w:szCs w:val="28"/>
        </w:rPr>
        <w:t>1</w:t>
      </w:r>
      <w:r w:rsidRPr="00DA3766">
        <w:rPr>
          <w:rFonts w:ascii="Times New Roman" w:hAnsi="Times New Roman" w:cs="Times New Roman"/>
          <w:b/>
          <w:bCs/>
          <w:szCs w:val="28"/>
        </w:rPr>
        <w:t>、标的资产管理层及相关持股平台入股</w:t>
      </w:r>
      <w:r w:rsidR="000A715F" w:rsidRPr="00DA3766">
        <w:rPr>
          <w:rFonts w:ascii="Times New Roman" w:hAnsi="Times New Roman" w:cs="Times New Roman"/>
          <w:b/>
          <w:bCs/>
          <w:szCs w:val="28"/>
        </w:rPr>
        <w:t>情况及股份支付情况</w:t>
      </w:r>
    </w:p>
    <w:p w14:paraId="1C16A679" w14:textId="578BB5F4" w:rsidR="0082641B" w:rsidRPr="00DA3766" w:rsidRDefault="0082641B" w:rsidP="00C93B0F">
      <w:pPr>
        <w:pStyle w:val="005"/>
        <w:spacing w:before="120" w:after="120"/>
        <w:ind w:firstLine="480"/>
      </w:pPr>
      <w:r w:rsidRPr="00DA3766">
        <w:t>标的公司的持股平台通过增资或受让形式入股标的公司时，主要通过标的公司实际控制人陈耿豪持有相关持股平台合伙份额，在未来实施股权激励计划时对标的公司管理层及员工实施授予，并进行股份支付的会计处理。</w:t>
      </w:r>
    </w:p>
    <w:p w14:paraId="0A79D5EC" w14:textId="52B8503A" w:rsidR="00364E4C" w:rsidRPr="00DA3766" w:rsidRDefault="00364E4C" w:rsidP="00C93B0F">
      <w:pPr>
        <w:pStyle w:val="005"/>
        <w:spacing w:before="120" w:after="120"/>
        <w:ind w:firstLine="480"/>
      </w:pPr>
      <w:r w:rsidRPr="00DA3766">
        <w:t>2020</w:t>
      </w:r>
      <w:r w:rsidRPr="00DA3766">
        <w:t>年</w:t>
      </w:r>
      <w:r w:rsidRPr="00DA3766">
        <w:t>10</w:t>
      </w:r>
      <w:r w:rsidRPr="00DA3766">
        <w:t>月</w:t>
      </w:r>
      <w:r w:rsidRPr="00DA3766">
        <w:t>30</w:t>
      </w:r>
      <w:r w:rsidRPr="00DA3766">
        <w:t>日，</w:t>
      </w:r>
      <w:r w:rsidR="008144F1" w:rsidRPr="00DA3766">
        <w:t>标的</w:t>
      </w:r>
      <w:r w:rsidRPr="00DA3766">
        <w:t>公司召开股东会，审议通过了《股权激励计划管理办法》确定了首批激励对象名单及激励份额，并授予</w:t>
      </w:r>
      <w:r w:rsidRPr="00DA3766">
        <w:t>CEO</w:t>
      </w:r>
      <w:r w:rsidRPr="00DA3766">
        <w:t>对激励计划的手续调整、执行及监督权。根据前述激励计划，标的公司分别于</w:t>
      </w:r>
      <w:r w:rsidRPr="00DA3766">
        <w:t>2020</w:t>
      </w:r>
      <w:r w:rsidRPr="00DA3766">
        <w:t>年、</w:t>
      </w:r>
      <w:r w:rsidRPr="00DA3766">
        <w:t>2021</w:t>
      </w:r>
      <w:r w:rsidRPr="00DA3766">
        <w:t>年及</w:t>
      </w:r>
      <w:r w:rsidRPr="00DA3766">
        <w:t>2022</w:t>
      </w:r>
      <w:r w:rsidRPr="00DA3766">
        <w:t>年实施了合计</w:t>
      </w:r>
      <w:r w:rsidRPr="00DA3766">
        <w:t>4</w:t>
      </w:r>
      <w:r w:rsidRPr="00DA3766">
        <w:t>轮股权激励，通过乐陶陶、乐哈哈、乐腾腾、乐熙熙、乐摇五个持股平台对员工授予，</w:t>
      </w:r>
      <w:r w:rsidR="00D241A0" w:rsidRPr="00DA3766">
        <w:t>管理层</w:t>
      </w:r>
      <w:r w:rsidR="001710A8" w:rsidRPr="00DA3766">
        <w:t>（董事、监事、高级管理人员及核心技术人员）</w:t>
      </w:r>
      <w:r w:rsidR="00D241A0" w:rsidRPr="00DA3766">
        <w:t>及相关持股平台入股情况及股份支付情况</w:t>
      </w:r>
      <w:r w:rsidRPr="00DA3766">
        <w:t>：</w:t>
      </w:r>
    </w:p>
    <w:tbl>
      <w:tblPr>
        <w:tblW w:w="8632"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5"/>
        <w:gridCol w:w="928"/>
        <w:gridCol w:w="851"/>
        <w:gridCol w:w="1260"/>
        <w:gridCol w:w="1134"/>
        <w:gridCol w:w="993"/>
        <w:gridCol w:w="868"/>
        <w:gridCol w:w="1613"/>
      </w:tblGrid>
      <w:tr w:rsidR="00A77411" w:rsidRPr="00DA3766" w14:paraId="4573EFE8" w14:textId="77777777" w:rsidTr="007F36AF">
        <w:trPr>
          <w:trHeight w:val="397"/>
          <w:tblHeader/>
          <w:jc w:val="center"/>
        </w:trPr>
        <w:tc>
          <w:tcPr>
            <w:tcW w:w="985" w:type="dxa"/>
            <w:tcMar>
              <w:top w:w="0" w:type="dxa"/>
              <w:bottom w:w="0" w:type="dxa"/>
            </w:tcMar>
            <w:vAlign w:val="center"/>
          </w:tcPr>
          <w:p w14:paraId="08162C4E" w14:textId="410BD03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股权激励轮次</w:t>
            </w:r>
          </w:p>
        </w:tc>
        <w:tc>
          <w:tcPr>
            <w:tcW w:w="928" w:type="dxa"/>
            <w:tcMar>
              <w:top w:w="0" w:type="dxa"/>
              <w:bottom w:w="0" w:type="dxa"/>
            </w:tcMar>
            <w:vAlign w:val="center"/>
            <w:hideMark/>
          </w:tcPr>
          <w:p w14:paraId="19892368" w14:textId="05B4E73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出让方</w:t>
            </w:r>
          </w:p>
        </w:tc>
        <w:tc>
          <w:tcPr>
            <w:tcW w:w="851" w:type="dxa"/>
            <w:tcMar>
              <w:top w:w="0" w:type="dxa"/>
              <w:bottom w:w="0" w:type="dxa"/>
            </w:tcMar>
            <w:vAlign w:val="center"/>
            <w:hideMark/>
          </w:tcPr>
          <w:p w14:paraId="3D201D2E" w14:textId="2C9B829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受让方</w:t>
            </w:r>
          </w:p>
        </w:tc>
        <w:tc>
          <w:tcPr>
            <w:tcW w:w="1260" w:type="dxa"/>
            <w:tcMar>
              <w:top w:w="0" w:type="dxa"/>
              <w:bottom w:w="0" w:type="dxa"/>
            </w:tcMar>
            <w:vAlign w:val="center"/>
          </w:tcPr>
          <w:p w14:paraId="44F77552" w14:textId="09CD137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受让方类型</w:t>
            </w:r>
          </w:p>
        </w:tc>
        <w:tc>
          <w:tcPr>
            <w:tcW w:w="1134" w:type="dxa"/>
            <w:tcMar>
              <w:top w:w="0" w:type="dxa"/>
              <w:bottom w:w="0" w:type="dxa"/>
            </w:tcMar>
            <w:vAlign w:val="center"/>
            <w:hideMark/>
          </w:tcPr>
          <w:p w14:paraId="140C43BB" w14:textId="618EF91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授予标的公司注册资本（元）</w:t>
            </w:r>
          </w:p>
        </w:tc>
        <w:tc>
          <w:tcPr>
            <w:tcW w:w="993" w:type="dxa"/>
            <w:tcMar>
              <w:top w:w="0" w:type="dxa"/>
              <w:bottom w:w="0" w:type="dxa"/>
            </w:tcMar>
            <w:vAlign w:val="center"/>
            <w:hideMark/>
          </w:tcPr>
          <w:p w14:paraId="1FB871A3" w14:textId="261256C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股份支付费用</w:t>
            </w:r>
          </w:p>
          <w:p w14:paraId="3F53CF03" w14:textId="01EC436D"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（万元）</w:t>
            </w:r>
          </w:p>
        </w:tc>
        <w:tc>
          <w:tcPr>
            <w:tcW w:w="868" w:type="dxa"/>
            <w:tcMar>
              <w:top w:w="0" w:type="dxa"/>
              <w:bottom w:w="0" w:type="dxa"/>
            </w:tcMar>
            <w:vAlign w:val="center"/>
            <w:hideMark/>
          </w:tcPr>
          <w:p w14:paraId="0D398BFF"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公允价值确定依据</w:t>
            </w:r>
          </w:p>
        </w:tc>
        <w:tc>
          <w:tcPr>
            <w:tcW w:w="1613" w:type="dxa"/>
            <w:tcMar>
              <w:top w:w="0" w:type="dxa"/>
              <w:bottom w:w="0" w:type="dxa"/>
            </w:tcMar>
            <w:vAlign w:val="center"/>
            <w:hideMark/>
          </w:tcPr>
          <w:p w14:paraId="73BC6A4F"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授予平台</w:t>
            </w:r>
          </w:p>
        </w:tc>
      </w:tr>
      <w:tr w:rsidR="00A77411" w:rsidRPr="00DA3766" w14:paraId="280C1A0F" w14:textId="77777777" w:rsidTr="007F36AF">
        <w:trPr>
          <w:trHeight w:val="397"/>
          <w:jc w:val="center"/>
        </w:trPr>
        <w:tc>
          <w:tcPr>
            <w:tcW w:w="985" w:type="dxa"/>
            <w:vMerge w:val="restart"/>
            <w:tcMar>
              <w:top w:w="0" w:type="dxa"/>
              <w:bottom w:w="0" w:type="dxa"/>
            </w:tcMar>
            <w:vAlign w:val="center"/>
          </w:tcPr>
          <w:p w14:paraId="1C2E90CA" w14:textId="26BFF540"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年第一次股权激励</w:t>
            </w:r>
          </w:p>
        </w:tc>
        <w:tc>
          <w:tcPr>
            <w:tcW w:w="928" w:type="dxa"/>
            <w:vMerge w:val="restart"/>
            <w:tcMar>
              <w:top w:w="0" w:type="dxa"/>
              <w:bottom w:w="0" w:type="dxa"/>
            </w:tcMar>
            <w:vAlign w:val="center"/>
            <w:hideMark/>
          </w:tcPr>
          <w:p w14:paraId="30671C0C" w14:textId="55AE563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851" w:type="dxa"/>
            <w:tcMar>
              <w:top w:w="0" w:type="dxa"/>
              <w:bottom w:w="0" w:type="dxa"/>
            </w:tcMar>
            <w:vAlign w:val="center"/>
            <w:hideMark/>
          </w:tcPr>
          <w:p w14:paraId="7EABB426" w14:textId="7E911F9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260" w:type="dxa"/>
            <w:tcMar>
              <w:top w:w="0" w:type="dxa"/>
              <w:bottom w:w="0" w:type="dxa"/>
            </w:tcMar>
            <w:vAlign w:val="center"/>
          </w:tcPr>
          <w:p w14:paraId="53BC8849" w14:textId="5E50FA1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hideMark/>
          </w:tcPr>
          <w:p w14:paraId="1C2B1410" w14:textId="1BFEE23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154,412</w:t>
            </w:r>
          </w:p>
        </w:tc>
        <w:tc>
          <w:tcPr>
            <w:tcW w:w="993" w:type="dxa"/>
            <w:tcMar>
              <w:top w:w="0" w:type="dxa"/>
              <w:bottom w:w="0" w:type="dxa"/>
            </w:tcMar>
            <w:vAlign w:val="center"/>
            <w:hideMark/>
          </w:tcPr>
          <w:p w14:paraId="60627E42" w14:textId="16C51CE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1,020.01</w:t>
            </w:r>
          </w:p>
        </w:tc>
        <w:tc>
          <w:tcPr>
            <w:tcW w:w="868" w:type="dxa"/>
            <w:vMerge w:val="restart"/>
            <w:tcMar>
              <w:top w:w="0" w:type="dxa"/>
              <w:bottom w:w="0" w:type="dxa"/>
            </w:tcMar>
            <w:vAlign w:val="center"/>
            <w:hideMark/>
          </w:tcPr>
          <w:p w14:paraId="3D9284F1"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最近一轮投资者（</w:t>
            </w:r>
            <w:r w:rsidRPr="00DA3766">
              <w:rPr>
                <w:rFonts w:ascii="Times New Roman" w:hAnsi="Times New Roman" w:cs="Times New Roman"/>
                <w:color w:val="000000"/>
                <w:sz w:val="21"/>
                <w:szCs w:val="21"/>
              </w:rPr>
              <w:t>C</w:t>
            </w:r>
            <w:r w:rsidRPr="00DA3766">
              <w:rPr>
                <w:rFonts w:ascii="Times New Roman" w:hAnsi="Times New Roman" w:cs="Times New Roman"/>
                <w:color w:val="000000"/>
                <w:sz w:val="21"/>
                <w:szCs w:val="21"/>
              </w:rPr>
              <w:t>轮）投资价格</w:t>
            </w:r>
          </w:p>
        </w:tc>
        <w:tc>
          <w:tcPr>
            <w:tcW w:w="1613" w:type="dxa"/>
            <w:tcMar>
              <w:top w:w="0" w:type="dxa"/>
              <w:bottom w:w="0" w:type="dxa"/>
            </w:tcMar>
            <w:vAlign w:val="center"/>
            <w:hideMark/>
          </w:tcPr>
          <w:p w14:paraId="3902D8A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乐洋洋</w:t>
            </w:r>
          </w:p>
        </w:tc>
      </w:tr>
      <w:tr w:rsidR="00A77411" w:rsidRPr="00DA3766" w14:paraId="04C66901" w14:textId="77777777" w:rsidTr="007F36AF">
        <w:trPr>
          <w:trHeight w:val="397"/>
          <w:jc w:val="center"/>
        </w:trPr>
        <w:tc>
          <w:tcPr>
            <w:tcW w:w="985" w:type="dxa"/>
            <w:vMerge/>
            <w:tcMar>
              <w:top w:w="0" w:type="dxa"/>
              <w:bottom w:w="0" w:type="dxa"/>
            </w:tcMar>
            <w:vAlign w:val="center"/>
          </w:tcPr>
          <w:p w14:paraId="4FB780B5" w14:textId="3B50D31E"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23C0C9BA" w14:textId="4175652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3607A1DD" w14:textId="5BAB591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260" w:type="dxa"/>
            <w:tcMar>
              <w:top w:w="0" w:type="dxa"/>
              <w:bottom w:w="0" w:type="dxa"/>
            </w:tcMar>
            <w:vAlign w:val="center"/>
          </w:tcPr>
          <w:p w14:paraId="63299995" w14:textId="639725F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hideMark/>
          </w:tcPr>
          <w:p w14:paraId="5DD96517" w14:textId="0D480B6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135,552</w:t>
            </w:r>
          </w:p>
        </w:tc>
        <w:tc>
          <w:tcPr>
            <w:tcW w:w="993" w:type="dxa"/>
            <w:tcMar>
              <w:top w:w="0" w:type="dxa"/>
              <w:bottom w:w="0" w:type="dxa"/>
            </w:tcMar>
            <w:vAlign w:val="center"/>
            <w:hideMark/>
          </w:tcPr>
          <w:p w14:paraId="568279E8" w14:textId="351F6B74"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895.43</w:t>
            </w:r>
          </w:p>
        </w:tc>
        <w:tc>
          <w:tcPr>
            <w:tcW w:w="868" w:type="dxa"/>
            <w:vMerge/>
            <w:tcMar>
              <w:top w:w="0" w:type="dxa"/>
              <w:bottom w:w="0" w:type="dxa"/>
            </w:tcMar>
            <w:vAlign w:val="center"/>
            <w:hideMark/>
          </w:tcPr>
          <w:p w14:paraId="668BA4B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163B5F8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r>
      <w:tr w:rsidR="00A77411" w:rsidRPr="00DA3766" w14:paraId="209FF2C2" w14:textId="77777777" w:rsidTr="007F36AF">
        <w:trPr>
          <w:trHeight w:val="397"/>
          <w:jc w:val="center"/>
        </w:trPr>
        <w:tc>
          <w:tcPr>
            <w:tcW w:w="985" w:type="dxa"/>
            <w:vMerge/>
            <w:tcMar>
              <w:top w:w="0" w:type="dxa"/>
              <w:bottom w:w="0" w:type="dxa"/>
            </w:tcMar>
            <w:vAlign w:val="center"/>
          </w:tcPr>
          <w:p w14:paraId="7A65F48A" w14:textId="73579DA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1F71F2DC" w14:textId="4DD1884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717E97CB" w14:textId="22311C1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6ABB1072" w14:textId="3899286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董事、副总经理、核心技术人员</w:t>
            </w:r>
          </w:p>
        </w:tc>
        <w:tc>
          <w:tcPr>
            <w:tcW w:w="1134" w:type="dxa"/>
            <w:tcMar>
              <w:top w:w="0" w:type="dxa"/>
              <w:bottom w:w="0" w:type="dxa"/>
            </w:tcMar>
            <w:vAlign w:val="center"/>
            <w:hideMark/>
          </w:tcPr>
          <w:p w14:paraId="20923797" w14:textId="53DD50AB"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60,291</w:t>
            </w:r>
          </w:p>
        </w:tc>
        <w:tc>
          <w:tcPr>
            <w:tcW w:w="993" w:type="dxa"/>
            <w:tcMar>
              <w:top w:w="0" w:type="dxa"/>
              <w:bottom w:w="0" w:type="dxa"/>
            </w:tcMar>
            <w:vAlign w:val="center"/>
            <w:hideMark/>
          </w:tcPr>
          <w:p w14:paraId="5730108F" w14:textId="27D5F4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398.27</w:t>
            </w:r>
          </w:p>
        </w:tc>
        <w:tc>
          <w:tcPr>
            <w:tcW w:w="868" w:type="dxa"/>
            <w:vMerge/>
            <w:tcMar>
              <w:top w:w="0" w:type="dxa"/>
              <w:bottom w:w="0" w:type="dxa"/>
            </w:tcMar>
            <w:vAlign w:val="center"/>
            <w:hideMark/>
          </w:tcPr>
          <w:p w14:paraId="69F829D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706A32E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r>
      <w:tr w:rsidR="00A77411" w:rsidRPr="00DA3766" w14:paraId="5452668B" w14:textId="77777777" w:rsidTr="007F36AF">
        <w:trPr>
          <w:trHeight w:val="397"/>
          <w:jc w:val="center"/>
        </w:trPr>
        <w:tc>
          <w:tcPr>
            <w:tcW w:w="985" w:type="dxa"/>
            <w:vMerge/>
            <w:tcMar>
              <w:top w:w="0" w:type="dxa"/>
              <w:bottom w:w="0" w:type="dxa"/>
            </w:tcMar>
            <w:vAlign w:val="center"/>
          </w:tcPr>
          <w:p w14:paraId="60F8C362" w14:textId="09BBABA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68F1038F" w14:textId="34634FCA"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01228049" w14:textId="6FE3C61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260" w:type="dxa"/>
            <w:tcMar>
              <w:top w:w="0" w:type="dxa"/>
              <w:bottom w:w="0" w:type="dxa"/>
            </w:tcMar>
            <w:vAlign w:val="center"/>
          </w:tcPr>
          <w:p w14:paraId="3F6D6349" w14:textId="66AF30C2"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监事、核心技术人员</w:t>
            </w:r>
          </w:p>
        </w:tc>
        <w:tc>
          <w:tcPr>
            <w:tcW w:w="1134" w:type="dxa"/>
            <w:tcMar>
              <w:top w:w="0" w:type="dxa"/>
              <w:bottom w:w="0" w:type="dxa"/>
            </w:tcMar>
            <w:vAlign w:val="center"/>
            <w:hideMark/>
          </w:tcPr>
          <w:p w14:paraId="23A02340" w14:textId="505BAC03"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29,627</w:t>
            </w:r>
          </w:p>
        </w:tc>
        <w:tc>
          <w:tcPr>
            <w:tcW w:w="993" w:type="dxa"/>
            <w:tcMar>
              <w:top w:w="0" w:type="dxa"/>
              <w:bottom w:w="0" w:type="dxa"/>
            </w:tcMar>
            <w:vAlign w:val="center"/>
            <w:hideMark/>
          </w:tcPr>
          <w:p w14:paraId="245841BE" w14:textId="6E95472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195.71</w:t>
            </w:r>
          </w:p>
        </w:tc>
        <w:tc>
          <w:tcPr>
            <w:tcW w:w="868" w:type="dxa"/>
            <w:vMerge/>
            <w:tcMar>
              <w:top w:w="0" w:type="dxa"/>
              <w:bottom w:w="0" w:type="dxa"/>
            </w:tcMar>
            <w:vAlign w:val="center"/>
            <w:hideMark/>
          </w:tcPr>
          <w:p w14:paraId="68DECF57"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46C53B1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乐熙熙、乐洋洋</w:t>
            </w:r>
          </w:p>
        </w:tc>
      </w:tr>
      <w:tr w:rsidR="00A77411" w:rsidRPr="00DA3766" w14:paraId="33CAB573" w14:textId="77777777" w:rsidTr="007F36AF">
        <w:trPr>
          <w:trHeight w:val="397"/>
          <w:jc w:val="center"/>
        </w:trPr>
        <w:tc>
          <w:tcPr>
            <w:tcW w:w="985" w:type="dxa"/>
            <w:vMerge/>
            <w:tcMar>
              <w:top w:w="0" w:type="dxa"/>
              <w:bottom w:w="0" w:type="dxa"/>
            </w:tcMar>
            <w:vAlign w:val="center"/>
          </w:tcPr>
          <w:p w14:paraId="5776CA46" w14:textId="2355D64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05B39AEB" w14:textId="426C7FF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564AEEFA" w14:textId="17B408D8"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260" w:type="dxa"/>
            <w:tcMar>
              <w:top w:w="0" w:type="dxa"/>
              <w:bottom w:w="0" w:type="dxa"/>
            </w:tcMar>
            <w:vAlign w:val="center"/>
          </w:tcPr>
          <w:p w14:paraId="63FD1764" w14:textId="69EE77AA"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w:t>
            </w:r>
          </w:p>
        </w:tc>
        <w:tc>
          <w:tcPr>
            <w:tcW w:w="1134" w:type="dxa"/>
            <w:tcMar>
              <w:top w:w="0" w:type="dxa"/>
              <w:bottom w:w="0" w:type="dxa"/>
            </w:tcMar>
            <w:vAlign w:val="center"/>
            <w:hideMark/>
          </w:tcPr>
          <w:p w14:paraId="13BEE336" w14:textId="1BDB12F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9,184</w:t>
            </w:r>
          </w:p>
        </w:tc>
        <w:tc>
          <w:tcPr>
            <w:tcW w:w="993" w:type="dxa"/>
            <w:tcMar>
              <w:top w:w="0" w:type="dxa"/>
              <w:bottom w:w="0" w:type="dxa"/>
            </w:tcMar>
            <w:vAlign w:val="center"/>
            <w:hideMark/>
          </w:tcPr>
          <w:p w14:paraId="55F98227" w14:textId="5F6930D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60.67</w:t>
            </w:r>
          </w:p>
        </w:tc>
        <w:tc>
          <w:tcPr>
            <w:tcW w:w="868" w:type="dxa"/>
            <w:vMerge/>
            <w:tcMar>
              <w:top w:w="0" w:type="dxa"/>
              <w:bottom w:w="0" w:type="dxa"/>
            </w:tcMar>
            <w:vAlign w:val="center"/>
            <w:hideMark/>
          </w:tcPr>
          <w:p w14:paraId="6003054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6EED8ED0"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乐熙熙、乐洋洋</w:t>
            </w:r>
          </w:p>
        </w:tc>
      </w:tr>
      <w:tr w:rsidR="00A77411" w:rsidRPr="00DA3766" w14:paraId="422C868B" w14:textId="77777777" w:rsidTr="007F36AF">
        <w:trPr>
          <w:trHeight w:val="397"/>
          <w:jc w:val="center"/>
        </w:trPr>
        <w:tc>
          <w:tcPr>
            <w:tcW w:w="985" w:type="dxa"/>
            <w:vMerge/>
            <w:tcMar>
              <w:top w:w="0" w:type="dxa"/>
              <w:bottom w:w="0" w:type="dxa"/>
            </w:tcMar>
            <w:vAlign w:val="center"/>
          </w:tcPr>
          <w:p w14:paraId="03464B2D" w14:textId="7A10001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73B8FC1E" w14:textId="033AD69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1AAD0D6D" w14:textId="299AA79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260" w:type="dxa"/>
            <w:tcMar>
              <w:top w:w="0" w:type="dxa"/>
              <w:bottom w:w="0" w:type="dxa"/>
            </w:tcMar>
            <w:vAlign w:val="center"/>
          </w:tcPr>
          <w:p w14:paraId="1A8F1155" w14:textId="7C7191E4"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核心技术人员</w:t>
            </w:r>
          </w:p>
        </w:tc>
        <w:tc>
          <w:tcPr>
            <w:tcW w:w="1134" w:type="dxa"/>
            <w:tcMar>
              <w:top w:w="0" w:type="dxa"/>
              <w:bottom w:w="0" w:type="dxa"/>
            </w:tcMar>
            <w:vAlign w:val="center"/>
            <w:hideMark/>
          </w:tcPr>
          <w:p w14:paraId="7BE8D241" w14:textId="3773C425"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5,925</w:t>
            </w:r>
          </w:p>
        </w:tc>
        <w:tc>
          <w:tcPr>
            <w:tcW w:w="993" w:type="dxa"/>
            <w:tcMar>
              <w:top w:w="0" w:type="dxa"/>
              <w:bottom w:w="0" w:type="dxa"/>
            </w:tcMar>
            <w:vAlign w:val="center"/>
            <w:hideMark/>
          </w:tcPr>
          <w:p w14:paraId="3B6A4983" w14:textId="31343973"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39.14</w:t>
            </w:r>
          </w:p>
        </w:tc>
        <w:tc>
          <w:tcPr>
            <w:tcW w:w="868" w:type="dxa"/>
            <w:vMerge/>
            <w:tcMar>
              <w:top w:w="0" w:type="dxa"/>
              <w:bottom w:w="0" w:type="dxa"/>
            </w:tcMar>
            <w:vAlign w:val="center"/>
            <w:hideMark/>
          </w:tcPr>
          <w:p w14:paraId="7792F0B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5B28A8C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r>
      <w:tr w:rsidR="00A77411" w:rsidRPr="00DA3766" w14:paraId="6B8E7CE6" w14:textId="77777777" w:rsidTr="007F36AF">
        <w:trPr>
          <w:trHeight w:val="397"/>
          <w:jc w:val="center"/>
        </w:trPr>
        <w:tc>
          <w:tcPr>
            <w:tcW w:w="985" w:type="dxa"/>
            <w:vMerge/>
            <w:tcMar>
              <w:top w:w="0" w:type="dxa"/>
              <w:bottom w:w="0" w:type="dxa"/>
            </w:tcMar>
            <w:vAlign w:val="center"/>
          </w:tcPr>
          <w:p w14:paraId="407E583A" w14:textId="7369125A"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5272632B" w14:textId="3ABEB04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hideMark/>
          </w:tcPr>
          <w:p w14:paraId="09533F04" w14:textId="4B9A41D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260" w:type="dxa"/>
            <w:tcMar>
              <w:top w:w="0" w:type="dxa"/>
              <w:bottom w:w="0" w:type="dxa"/>
            </w:tcMar>
            <w:vAlign w:val="center"/>
          </w:tcPr>
          <w:p w14:paraId="61FF078F" w14:textId="2BF6CF91"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财务负责人</w:t>
            </w:r>
          </w:p>
        </w:tc>
        <w:tc>
          <w:tcPr>
            <w:tcW w:w="1134" w:type="dxa"/>
            <w:tcMar>
              <w:top w:w="0" w:type="dxa"/>
              <w:bottom w:w="0" w:type="dxa"/>
            </w:tcMar>
            <w:vAlign w:val="center"/>
            <w:hideMark/>
          </w:tcPr>
          <w:p w14:paraId="59A5407D" w14:textId="4B335D1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1,481</w:t>
            </w:r>
          </w:p>
        </w:tc>
        <w:tc>
          <w:tcPr>
            <w:tcW w:w="993" w:type="dxa"/>
            <w:tcMar>
              <w:top w:w="0" w:type="dxa"/>
              <w:bottom w:w="0" w:type="dxa"/>
            </w:tcMar>
            <w:vAlign w:val="center"/>
            <w:hideMark/>
          </w:tcPr>
          <w:p w14:paraId="25E45810" w14:textId="4CBF2CF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9.79</w:t>
            </w:r>
          </w:p>
        </w:tc>
        <w:tc>
          <w:tcPr>
            <w:tcW w:w="868" w:type="dxa"/>
            <w:vMerge/>
            <w:tcMar>
              <w:top w:w="0" w:type="dxa"/>
              <w:bottom w:w="0" w:type="dxa"/>
            </w:tcMar>
            <w:vAlign w:val="center"/>
            <w:hideMark/>
          </w:tcPr>
          <w:p w14:paraId="44131E8D"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2C87DEA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w:t>
            </w:r>
          </w:p>
        </w:tc>
      </w:tr>
      <w:tr w:rsidR="00A77411" w:rsidRPr="00DA3766" w14:paraId="1F7995DF" w14:textId="77777777" w:rsidTr="007F36AF">
        <w:trPr>
          <w:trHeight w:val="397"/>
          <w:jc w:val="center"/>
        </w:trPr>
        <w:tc>
          <w:tcPr>
            <w:tcW w:w="985" w:type="dxa"/>
            <w:vMerge/>
            <w:tcMar>
              <w:top w:w="0" w:type="dxa"/>
              <w:bottom w:w="0" w:type="dxa"/>
            </w:tcMar>
            <w:vAlign w:val="center"/>
          </w:tcPr>
          <w:p w14:paraId="386A6224" w14:textId="48CB905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28409DBF" w14:textId="4A0B8E9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51F07171" w14:textId="517E551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陈岳政等</w:t>
            </w:r>
            <w:r w:rsidRPr="00DA3766">
              <w:rPr>
                <w:rFonts w:ascii="Times New Roman" w:hAnsi="Times New Roman" w:cs="Times New Roman"/>
                <w:color w:val="000000"/>
                <w:sz w:val="21"/>
                <w:szCs w:val="21"/>
              </w:rPr>
              <w:t>74</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103CD9B7" w14:textId="0E1BB858"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14:paraId="0978F6E8" w14:textId="5D2DE7F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894,491</w:t>
            </w:r>
          </w:p>
        </w:tc>
        <w:tc>
          <w:tcPr>
            <w:tcW w:w="993" w:type="dxa"/>
            <w:tcMar>
              <w:top w:w="0" w:type="dxa"/>
              <w:bottom w:w="0" w:type="dxa"/>
            </w:tcMar>
            <w:vAlign w:val="center"/>
          </w:tcPr>
          <w:p w14:paraId="3C9891A9" w14:textId="5C34373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5,908.78</w:t>
            </w:r>
          </w:p>
        </w:tc>
        <w:tc>
          <w:tcPr>
            <w:tcW w:w="868" w:type="dxa"/>
            <w:vMerge/>
            <w:tcMar>
              <w:top w:w="0" w:type="dxa"/>
              <w:bottom w:w="0" w:type="dxa"/>
            </w:tcMar>
            <w:vAlign w:val="center"/>
          </w:tcPr>
          <w:p w14:paraId="4418C8C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5DB3F9B" w14:textId="7108497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乐陶陶、乐熙熙、乐洋洋、乐哈哈、乐悠悠、乐陶陶</w:t>
            </w:r>
          </w:p>
        </w:tc>
      </w:tr>
      <w:tr w:rsidR="007F36AF" w:rsidRPr="00DA3766" w14:paraId="0AFCD40B" w14:textId="77777777" w:rsidTr="007F36AF">
        <w:trPr>
          <w:trHeight w:val="397"/>
          <w:jc w:val="center"/>
        </w:trPr>
        <w:tc>
          <w:tcPr>
            <w:tcW w:w="985" w:type="dxa"/>
            <w:vMerge/>
            <w:tcMar>
              <w:top w:w="0" w:type="dxa"/>
              <w:bottom w:w="0" w:type="dxa"/>
            </w:tcMar>
            <w:vAlign w:val="center"/>
          </w:tcPr>
          <w:p w14:paraId="1B38B1C9" w14:textId="4D303D72" w:rsidR="007F36AF" w:rsidRPr="00DA3766" w:rsidRDefault="007F36AF"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14:paraId="4799FAF6" w14:textId="31BEB4AE" w:rsidR="007F36AF" w:rsidRPr="00DA3766" w:rsidRDefault="007F36AF" w:rsidP="007F36AF">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793D93D8" w14:textId="07F4B008" w:rsidR="007F36AF" w:rsidRPr="00DA3766" w:rsidRDefault="007F36AF"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1,290,963</w:t>
            </w:r>
          </w:p>
        </w:tc>
        <w:tc>
          <w:tcPr>
            <w:tcW w:w="993" w:type="dxa"/>
            <w:tcMar>
              <w:top w:w="0" w:type="dxa"/>
              <w:bottom w:w="0" w:type="dxa"/>
            </w:tcMar>
            <w:vAlign w:val="center"/>
          </w:tcPr>
          <w:p w14:paraId="2E95CE6E" w14:textId="035355C2" w:rsidR="007F36AF" w:rsidRPr="00DA3766" w:rsidRDefault="007F36AF"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8,527.81</w:t>
            </w:r>
          </w:p>
        </w:tc>
        <w:tc>
          <w:tcPr>
            <w:tcW w:w="868" w:type="dxa"/>
            <w:tcMar>
              <w:top w:w="0" w:type="dxa"/>
              <w:bottom w:w="0" w:type="dxa"/>
            </w:tcMar>
            <w:vAlign w:val="center"/>
          </w:tcPr>
          <w:p w14:paraId="441D1C5D" w14:textId="2F0DB437" w:rsidR="007F36AF" w:rsidRPr="00DA3766" w:rsidRDefault="007F36AF"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2BD603CA" w14:textId="3BC7796D" w:rsidR="007F36AF" w:rsidRPr="00DA3766" w:rsidRDefault="007F36AF"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w:t>
            </w:r>
          </w:p>
        </w:tc>
      </w:tr>
      <w:tr w:rsidR="00A77411" w:rsidRPr="00DA3766" w14:paraId="03E5B61F" w14:textId="77777777" w:rsidTr="007F36AF">
        <w:trPr>
          <w:trHeight w:val="397"/>
          <w:jc w:val="center"/>
        </w:trPr>
        <w:tc>
          <w:tcPr>
            <w:tcW w:w="985" w:type="dxa"/>
            <w:vMerge w:val="restart"/>
            <w:tcMar>
              <w:top w:w="0" w:type="dxa"/>
              <w:bottom w:w="0" w:type="dxa"/>
            </w:tcMar>
            <w:vAlign w:val="center"/>
          </w:tcPr>
          <w:p w14:paraId="1FD6081E" w14:textId="522A05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年第二次股权激励</w:t>
            </w:r>
          </w:p>
        </w:tc>
        <w:tc>
          <w:tcPr>
            <w:tcW w:w="928" w:type="dxa"/>
            <w:vMerge w:val="restart"/>
            <w:tcMar>
              <w:top w:w="0" w:type="dxa"/>
              <w:bottom w:w="0" w:type="dxa"/>
            </w:tcMar>
            <w:vAlign w:val="center"/>
          </w:tcPr>
          <w:p w14:paraId="3B773E0C" w14:textId="3967D56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851" w:type="dxa"/>
            <w:tcMar>
              <w:top w:w="0" w:type="dxa"/>
              <w:bottom w:w="0" w:type="dxa"/>
            </w:tcMar>
            <w:vAlign w:val="center"/>
          </w:tcPr>
          <w:p w14:paraId="68943710" w14:textId="58EA77F0"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260" w:type="dxa"/>
            <w:tcMar>
              <w:top w:w="0" w:type="dxa"/>
              <w:bottom w:w="0" w:type="dxa"/>
            </w:tcMar>
            <w:vAlign w:val="center"/>
          </w:tcPr>
          <w:p w14:paraId="19113F73" w14:textId="3608077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45BBE210" w14:textId="680E49B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66,705</w:t>
            </w:r>
          </w:p>
        </w:tc>
        <w:tc>
          <w:tcPr>
            <w:tcW w:w="993" w:type="dxa"/>
            <w:tcMar>
              <w:top w:w="0" w:type="dxa"/>
              <w:bottom w:w="0" w:type="dxa"/>
            </w:tcMar>
            <w:vAlign w:val="center"/>
          </w:tcPr>
          <w:p w14:paraId="7E9439A6" w14:textId="5C9EE0B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377.16</w:t>
            </w:r>
          </w:p>
        </w:tc>
        <w:tc>
          <w:tcPr>
            <w:tcW w:w="868" w:type="dxa"/>
            <w:vMerge w:val="restart"/>
            <w:tcMar>
              <w:top w:w="0" w:type="dxa"/>
              <w:bottom w:w="0" w:type="dxa"/>
            </w:tcMar>
            <w:vAlign w:val="center"/>
          </w:tcPr>
          <w:p w14:paraId="17749FA0" w14:textId="08F1A69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最近一轮投资者（</w:t>
            </w:r>
            <w:r w:rsidRPr="00DA3766">
              <w:rPr>
                <w:rFonts w:ascii="Times New Roman" w:hAnsi="Times New Roman" w:cs="Times New Roman"/>
                <w:color w:val="000000"/>
                <w:sz w:val="21"/>
                <w:szCs w:val="21"/>
              </w:rPr>
              <w:t>D</w:t>
            </w:r>
            <w:r w:rsidRPr="00DA3766">
              <w:rPr>
                <w:rFonts w:ascii="Times New Roman" w:hAnsi="Times New Roman" w:cs="Times New Roman"/>
                <w:color w:val="000000"/>
                <w:sz w:val="21"/>
                <w:szCs w:val="21"/>
              </w:rPr>
              <w:t>轮）投资价格</w:t>
            </w:r>
          </w:p>
        </w:tc>
        <w:tc>
          <w:tcPr>
            <w:tcW w:w="1613" w:type="dxa"/>
            <w:tcMar>
              <w:top w:w="0" w:type="dxa"/>
              <w:bottom w:w="0" w:type="dxa"/>
            </w:tcMar>
            <w:vAlign w:val="center"/>
          </w:tcPr>
          <w:p w14:paraId="701C7C96" w14:textId="0E4AEA4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30BE00AA" w14:textId="77777777" w:rsidTr="007F36AF">
        <w:trPr>
          <w:trHeight w:val="397"/>
          <w:jc w:val="center"/>
        </w:trPr>
        <w:tc>
          <w:tcPr>
            <w:tcW w:w="985" w:type="dxa"/>
            <w:vMerge/>
            <w:tcMar>
              <w:top w:w="0" w:type="dxa"/>
              <w:bottom w:w="0" w:type="dxa"/>
            </w:tcMar>
            <w:vAlign w:val="center"/>
          </w:tcPr>
          <w:p w14:paraId="7D553185"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5599ECA" w14:textId="7102391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6A2DA13E" w14:textId="6D12E21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738FBD02" w14:textId="0878EE0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6C52EEBC" w14:textId="6732217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60,641</w:t>
            </w:r>
          </w:p>
        </w:tc>
        <w:tc>
          <w:tcPr>
            <w:tcW w:w="993" w:type="dxa"/>
            <w:tcMar>
              <w:top w:w="0" w:type="dxa"/>
              <w:bottom w:w="0" w:type="dxa"/>
            </w:tcMar>
            <w:vAlign w:val="center"/>
          </w:tcPr>
          <w:p w14:paraId="50C32F8B" w14:textId="5A1561F2"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342.87</w:t>
            </w:r>
          </w:p>
        </w:tc>
        <w:tc>
          <w:tcPr>
            <w:tcW w:w="868" w:type="dxa"/>
            <w:vMerge/>
            <w:tcMar>
              <w:top w:w="0" w:type="dxa"/>
              <w:bottom w:w="0" w:type="dxa"/>
            </w:tcMar>
            <w:vAlign w:val="center"/>
          </w:tcPr>
          <w:p w14:paraId="6B03CEA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C1C7AE6" w14:textId="4EC503A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23F74225" w14:textId="77777777" w:rsidTr="007F36AF">
        <w:trPr>
          <w:trHeight w:val="397"/>
          <w:jc w:val="center"/>
        </w:trPr>
        <w:tc>
          <w:tcPr>
            <w:tcW w:w="985" w:type="dxa"/>
            <w:vMerge/>
            <w:tcMar>
              <w:top w:w="0" w:type="dxa"/>
              <w:bottom w:w="0" w:type="dxa"/>
            </w:tcMar>
            <w:vAlign w:val="center"/>
          </w:tcPr>
          <w:p w14:paraId="352B32AF"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02C47F98" w14:textId="4859B96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475F9EF8" w14:textId="2250D35F"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3A626524" w14:textId="11C99FE8"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董事、副总经理、核心</w:t>
            </w:r>
            <w:r w:rsidRPr="00DA3766">
              <w:rPr>
                <w:rFonts w:ascii="Times New Roman" w:hAnsi="Times New Roman" w:cs="Times New Roman"/>
                <w:color w:val="000000"/>
                <w:sz w:val="21"/>
                <w:szCs w:val="21"/>
              </w:rPr>
              <w:lastRenderedPageBreak/>
              <w:t>技术人员</w:t>
            </w:r>
          </w:p>
        </w:tc>
        <w:tc>
          <w:tcPr>
            <w:tcW w:w="1134" w:type="dxa"/>
            <w:tcMar>
              <w:top w:w="0" w:type="dxa"/>
              <w:bottom w:w="0" w:type="dxa"/>
            </w:tcMar>
            <w:vAlign w:val="center"/>
          </w:tcPr>
          <w:p w14:paraId="6BCEE6C6" w14:textId="6B55A9B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30,277</w:t>
            </w:r>
          </w:p>
        </w:tc>
        <w:tc>
          <w:tcPr>
            <w:tcW w:w="993" w:type="dxa"/>
            <w:tcMar>
              <w:top w:w="0" w:type="dxa"/>
              <w:bottom w:w="0" w:type="dxa"/>
            </w:tcMar>
            <w:vAlign w:val="center"/>
          </w:tcPr>
          <w:p w14:paraId="4CFA4A87" w14:textId="667F807D"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171.19</w:t>
            </w:r>
          </w:p>
        </w:tc>
        <w:tc>
          <w:tcPr>
            <w:tcW w:w="868" w:type="dxa"/>
            <w:vMerge/>
            <w:tcMar>
              <w:top w:w="0" w:type="dxa"/>
              <w:bottom w:w="0" w:type="dxa"/>
            </w:tcMar>
            <w:vAlign w:val="center"/>
          </w:tcPr>
          <w:p w14:paraId="3909F76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4E652CDE" w14:textId="7729B7D1"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52E3C866" w14:textId="77777777" w:rsidTr="007F36AF">
        <w:trPr>
          <w:trHeight w:val="397"/>
          <w:jc w:val="center"/>
        </w:trPr>
        <w:tc>
          <w:tcPr>
            <w:tcW w:w="985" w:type="dxa"/>
            <w:vMerge/>
            <w:tcMar>
              <w:top w:w="0" w:type="dxa"/>
              <w:bottom w:w="0" w:type="dxa"/>
            </w:tcMar>
            <w:vAlign w:val="center"/>
          </w:tcPr>
          <w:p w14:paraId="36FA716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F71AEC9" w14:textId="554444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274B5094" w14:textId="14DC567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陈伟镇等</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0F5F0566" w14:textId="5A03FB0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14:paraId="4B5EE668" w14:textId="2572C76D"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152,448</w:t>
            </w:r>
          </w:p>
        </w:tc>
        <w:tc>
          <w:tcPr>
            <w:tcW w:w="993" w:type="dxa"/>
            <w:tcMar>
              <w:top w:w="0" w:type="dxa"/>
              <w:bottom w:w="0" w:type="dxa"/>
            </w:tcMar>
            <w:vAlign w:val="center"/>
          </w:tcPr>
          <w:p w14:paraId="6DA98293" w14:textId="431DECC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861.95</w:t>
            </w:r>
          </w:p>
        </w:tc>
        <w:tc>
          <w:tcPr>
            <w:tcW w:w="868" w:type="dxa"/>
            <w:vMerge/>
            <w:tcMar>
              <w:top w:w="0" w:type="dxa"/>
              <w:bottom w:w="0" w:type="dxa"/>
            </w:tcMar>
            <w:vAlign w:val="center"/>
          </w:tcPr>
          <w:p w14:paraId="1B03213D"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621EE0EC" w14:textId="167DB5D4"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35672FFC" w14:textId="77777777" w:rsidTr="007F36AF">
        <w:trPr>
          <w:trHeight w:val="397"/>
          <w:jc w:val="center"/>
        </w:trPr>
        <w:tc>
          <w:tcPr>
            <w:tcW w:w="985" w:type="dxa"/>
            <w:vMerge/>
            <w:tcMar>
              <w:top w:w="0" w:type="dxa"/>
              <w:bottom w:w="0" w:type="dxa"/>
            </w:tcMar>
            <w:vAlign w:val="center"/>
          </w:tcPr>
          <w:p w14:paraId="12FBC120"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14:paraId="235B6091" w14:textId="1C89AB79"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03945580" w14:textId="3F449AF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310,071</w:t>
            </w:r>
          </w:p>
        </w:tc>
        <w:tc>
          <w:tcPr>
            <w:tcW w:w="993" w:type="dxa"/>
            <w:tcMar>
              <w:top w:w="0" w:type="dxa"/>
              <w:bottom w:w="0" w:type="dxa"/>
            </w:tcMar>
            <w:vAlign w:val="center"/>
          </w:tcPr>
          <w:p w14:paraId="467CEE4F" w14:textId="5A9D37F4"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1,753.16</w:t>
            </w:r>
          </w:p>
        </w:tc>
        <w:tc>
          <w:tcPr>
            <w:tcW w:w="868" w:type="dxa"/>
            <w:tcMar>
              <w:top w:w="0" w:type="dxa"/>
              <w:bottom w:w="0" w:type="dxa"/>
            </w:tcMar>
            <w:vAlign w:val="center"/>
          </w:tcPr>
          <w:p w14:paraId="41CF1FA5" w14:textId="5C78636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sz w:val="21"/>
                <w:szCs w:val="21"/>
              </w:rPr>
              <w:t>-</w:t>
            </w:r>
          </w:p>
        </w:tc>
        <w:tc>
          <w:tcPr>
            <w:tcW w:w="1613" w:type="dxa"/>
            <w:tcMar>
              <w:top w:w="0" w:type="dxa"/>
              <w:bottom w:w="0" w:type="dxa"/>
            </w:tcMar>
            <w:vAlign w:val="center"/>
          </w:tcPr>
          <w:p w14:paraId="41FDD9B4" w14:textId="118974F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sz w:val="21"/>
                <w:szCs w:val="21"/>
              </w:rPr>
              <w:t>-</w:t>
            </w:r>
          </w:p>
        </w:tc>
      </w:tr>
      <w:tr w:rsidR="00A77411" w:rsidRPr="00DA3766" w14:paraId="5CA09BE6" w14:textId="77777777" w:rsidTr="007F36AF">
        <w:trPr>
          <w:trHeight w:val="397"/>
          <w:jc w:val="center"/>
        </w:trPr>
        <w:tc>
          <w:tcPr>
            <w:tcW w:w="985" w:type="dxa"/>
            <w:vMerge w:val="restart"/>
            <w:tcMar>
              <w:top w:w="0" w:type="dxa"/>
              <w:bottom w:w="0" w:type="dxa"/>
            </w:tcMar>
            <w:vAlign w:val="center"/>
          </w:tcPr>
          <w:p w14:paraId="4F08709F" w14:textId="6748E62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年第三次股权激励</w:t>
            </w:r>
          </w:p>
        </w:tc>
        <w:tc>
          <w:tcPr>
            <w:tcW w:w="928" w:type="dxa"/>
            <w:vMerge w:val="restart"/>
            <w:tcMar>
              <w:top w:w="0" w:type="dxa"/>
              <w:bottom w:w="0" w:type="dxa"/>
            </w:tcMar>
            <w:vAlign w:val="center"/>
          </w:tcPr>
          <w:p w14:paraId="5766E56A" w14:textId="3A98EA8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851" w:type="dxa"/>
            <w:tcMar>
              <w:top w:w="0" w:type="dxa"/>
              <w:bottom w:w="0" w:type="dxa"/>
            </w:tcMar>
            <w:vAlign w:val="center"/>
          </w:tcPr>
          <w:p w14:paraId="217BEF60" w14:textId="279F0C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2A9AE8FA" w14:textId="1BA4F12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13E89404" w14:textId="7B04F63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137,880</w:t>
            </w:r>
          </w:p>
        </w:tc>
        <w:tc>
          <w:tcPr>
            <w:tcW w:w="993" w:type="dxa"/>
            <w:tcMar>
              <w:top w:w="0" w:type="dxa"/>
              <w:bottom w:w="0" w:type="dxa"/>
            </w:tcMar>
            <w:vAlign w:val="center"/>
          </w:tcPr>
          <w:p w14:paraId="63CBD254" w14:textId="6089722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1,133.02</w:t>
            </w:r>
          </w:p>
        </w:tc>
        <w:tc>
          <w:tcPr>
            <w:tcW w:w="868" w:type="dxa"/>
            <w:vMerge w:val="restart"/>
            <w:tcMar>
              <w:top w:w="0" w:type="dxa"/>
              <w:bottom w:w="0" w:type="dxa"/>
            </w:tcMar>
            <w:vAlign w:val="center"/>
          </w:tcPr>
          <w:p w14:paraId="1D50C6CC" w14:textId="0C0FBFC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14:paraId="3EE73143" w14:textId="40852CF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乐熙熙、乐陶陶、乐腾腾、乐洋洋、乐悠悠</w:t>
            </w:r>
          </w:p>
        </w:tc>
      </w:tr>
      <w:tr w:rsidR="00A77411" w:rsidRPr="00DA3766" w14:paraId="68B22862" w14:textId="77777777" w:rsidTr="007F36AF">
        <w:trPr>
          <w:trHeight w:val="397"/>
          <w:jc w:val="center"/>
        </w:trPr>
        <w:tc>
          <w:tcPr>
            <w:tcW w:w="985" w:type="dxa"/>
            <w:vMerge/>
            <w:tcMar>
              <w:top w:w="0" w:type="dxa"/>
              <w:bottom w:w="0" w:type="dxa"/>
            </w:tcMar>
            <w:vAlign w:val="center"/>
          </w:tcPr>
          <w:p w14:paraId="450F651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762B73E" w14:textId="11D575A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011CB1CD" w14:textId="21C5189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260" w:type="dxa"/>
            <w:tcMar>
              <w:top w:w="0" w:type="dxa"/>
              <w:bottom w:w="0" w:type="dxa"/>
            </w:tcMar>
            <w:vAlign w:val="center"/>
          </w:tcPr>
          <w:p w14:paraId="44DDA4A5" w14:textId="214D89D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06021700" w14:textId="6B5B63BB"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60,641</w:t>
            </w:r>
          </w:p>
        </w:tc>
        <w:tc>
          <w:tcPr>
            <w:tcW w:w="993" w:type="dxa"/>
            <w:tcMar>
              <w:top w:w="0" w:type="dxa"/>
              <w:bottom w:w="0" w:type="dxa"/>
            </w:tcMar>
            <w:vAlign w:val="center"/>
          </w:tcPr>
          <w:p w14:paraId="52735E5B" w14:textId="2AC7B2F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498.31</w:t>
            </w:r>
          </w:p>
        </w:tc>
        <w:tc>
          <w:tcPr>
            <w:tcW w:w="868" w:type="dxa"/>
            <w:vMerge/>
            <w:tcMar>
              <w:top w:w="0" w:type="dxa"/>
              <w:bottom w:w="0" w:type="dxa"/>
            </w:tcMar>
            <w:vAlign w:val="center"/>
          </w:tcPr>
          <w:p w14:paraId="2EF7BD5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7127D592" w14:textId="501B67A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7363E2E0" w14:textId="77777777" w:rsidTr="007F36AF">
        <w:trPr>
          <w:trHeight w:val="397"/>
          <w:jc w:val="center"/>
        </w:trPr>
        <w:tc>
          <w:tcPr>
            <w:tcW w:w="985" w:type="dxa"/>
            <w:vMerge/>
            <w:tcMar>
              <w:top w:w="0" w:type="dxa"/>
              <w:bottom w:w="0" w:type="dxa"/>
            </w:tcMar>
            <w:vAlign w:val="center"/>
          </w:tcPr>
          <w:p w14:paraId="0AB4E82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93B5318"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53EFB6A1" w14:textId="36ADB1E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2E3E2272" w14:textId="408FD37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20BC2EBB" w14:textId="4A04064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57,624</w:t>
            </w:r>
          </w:p>
        </w:tc>
        <w:tc>
          <w:tcPr>
            <w:tcW w:w="993" w:type="dxa"/>
            <w:tcMar>
              <w:top w:w="0" w:type="dxa"/>
              <w:bottom w:w="0" w:type="dxa"/>
            </w:tcMar>
            <w:vAlign w:val="center"/>
          </w:tcPr>
          <w:p w14:paraId="70218A2A" w14:textId="689B121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473.52</w:t>
            </w:r>
          </w:p>
        </w:tc>
        <w:tc>
          <w:tcPr>
            <w:tcW w:w="868" w:type="dxa"/>
            <w:vMerge/>
            <w:tcMar>
              <w:top w:w="0" w:type="dxa"/>
              <w:bottom w:w="0" w:type="dxa"/>
            </w:tcMar>
            <w:vAlign w:val="center"/>
          </w:tcPr>
          <w:p w14:paraId="51BE531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D864724" w14:textId="4663928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05631193" w14:textId="77777777" w:rsidTr="007F36AF">
        <w:trPr>
          <w:trHeight w:val="397"/>
          <w:jc w:val="center"/>
        </w:trPr>
        <w:tc>
          <w:tcPr>
            <w:tcW w:w="985" w:type="dxa"/>
            <w:vMerge/>
            <w:tcMar>
              <w:top w:w="0" w:type="dxa"/>
              <w:bottom w:w="0" w:type="dxa"/>
            </w:tcMar>
            <w:vAlign w:val="center"/>
          </w:tcPr>
          <w:p w14:paraId="5A03B16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ABA546C"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3945AB6C" w14:textId="68B0A4E4"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260" w:type="dxa"/>
            <w:tcMar>
              <w:top w:w="0" w:type="dxa"/>
              <w:bottom w:w="0" w:type="dxa"/>
            </w:tcMar>
            <w:vAlign w:val="center"/>
          </w:tcPr>
          <w:p w14:paraId="40CE0F33" w14:textId="5BB2BA2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监事、核心技术人员</w:t>
            </w:r>
          </w:p>
        </w:tc>
        <w:tc>
          <w:tcPr>
            <w:tcW w:w="1134" w:type="dxa"/>
            <w:tcMar>
              <w:top w:w="0" w:type="dxa"/>
              <w:bottom w:w="0" w:type="dxa"/>
            </w:tcMar>
            <w:vAlign w:val="center"/>
          </w:tcPr>
          <w:p w14:paraId="3C29DD83" w14:textId="6216EAD4"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11,850</w:t>
            </w:r>
          </w:p>
        </w:tc>
        <w:tc>
          <w:tcPr>
            <w:tcW w:w="993" w:type="dxa"/>
            <w:tcMar>
              <w:top w:w="0" w:type="dxa"/>
              <w:bottom w:w="0" w:type="dxa"/>
            </w:tcMar>
            <w:vAlign w:val="center"/>
          </w:tcPr>
          <w:p w14:paraId="360B5CB4" w14:textId="7137BE0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97.38</w:t>
            </w:r>
          </w:p>
        </w:tc>
        <w:tc>
          <w:tcPr>
            <w:tcW w:w="868" w:type="dxa"/>
            <w:vMerge/>
            <w:tcMar>
              <w:top w:w="0" w:type="dxa"/>
              <w:bottom w:w="0" w:type="dxa"/>
            </w:tcMar>
            <w:vAlign w:val="center"/>
          </w:tcPr>
          <w:p w14:paraId="6CF03DA7"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77A2ED2" w14:textId="74F86B33"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45638302" w14:textId="77777777" w:rsidTr="007F36AF">
        <w:trPr>
          <w:trHeight w:val="397"/>
          <w:jc w:val="center"/>
        </w:trPr>
        <w:tc>
          <w:tcPr>
            <w:tcW w:w="985" w:type="dxa"/>
            <w:vMerge/>
            <w:tcMar>
              <w:top w:w="0" w:type="dxa"/>
              <w:bottom w:w="0" w:type="dxa"/>
            </w:tcMar>
            <w:vAlign w:val="center"/>
          </w:tcPr>
          <w:p w14:paraId="7ED85D2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4D7A0EA9"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14:paraId="5E91487A" w14:textId="729C8FF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陈伟镇等</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06965D6B" w14:textId="7B4C8F4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其他员工</w:t>
            </w:r>
          </w:p>
        </w:tc>
        <w:tc>
          <w:tcPr>
            <w:tcW w:w="1134" w:type="dxa"/>
            <w:tcMar>
              <w:top w:w="0" w:type="dxa"/>
              <w:bottom w:w="0" w:type="dxa"/>
            </w:tcMar>
            <w:vAlign w:val="center"/>
          </w:tcPr>
          <w:p w14:paraId="518A9754" w14:textId="27DC99D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139,694</w:t>
            </w:r>
          </w:p>
        </w:tc>
        <w:tc>
          <w:tcPr>
            <w:tcW w:w="993" w:type="dxa"/>
            <w:tcMar>
              <w:top w:w="0" w:type="dxa"/>
              <w:bottom w:w="0" w:type="dxa"/>
            </w:tcMar>
            <w:vAlign w:val="center"/>
          </w:tcPr>
          <w:p w14:paraId="51F58F00" w14:textId="3059C16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17.64</w:t>
            </w:r>
          </w:p>
        </w:tc>
        <w:tc>
          <w:tcPr>
            <w:tcW w:w="868" w:type="dxa"/>
            <w:vMerge/>
            <w:tcMar>
              <w:top w:w="0" w:type="dxa"/>
              <w:bottom w:w="0" w:type="dxa"/>
            </w:tcMar>
            <w:vAlign w:val="center"/>
          </w:tcPr>
          <w:p w14:paraId="547BE3E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2FE37DF2" w14:textId="79358BE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乐熙熙、乐哈哈、乐腾腾</w:t>
            </w:r>
          </w:p>
        </w:tc>
      </w:tr>
      <w:tr w:rsidR="00A77411" w:rsidRPr="00DA3766" w14:paraId="265D39FF" w14:textId="77777777" w:rsidTr="007F36AF">
        <w:trPr>
          <w:trHeight w:val="397"/>
          <w:jc w:val="center"/>
        </w:trPr>
        <w:tc>
          <w:tcPr>
            <w:tcW w:w="985" w:type="dxa"/>
            <w:vMerge/>
            <w:tcMar>
              <w:top w:w="0" w:type="dxa"/>
              <w:bottom w:w="0" w:type="dxa"/>
            </w:tcMar>
            <w:vAlign w:val="center"/>
          </w:tcPr>
          <w:p w14:paraId="15A5B24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14:paraId="5702E8D0" w14:textId="35C16EB3"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25AA605C" w14:textId="7B2508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407,689</w:t>
            </w:r>
          </w:p>
        </w:tc>
        <w:tc>
          <w:tcPr>
            <w:tcW w:w="993" w:type="dxa"/>
            <w:tcMar>
              <w:top w:w="0" w:type="dxa"/>
              <w:bottom w:w="0" w:type="dxa"/>
            </w:tcMar>
            <w:vAlign w:val="center"/>
          </w:tcPr>
          <w:p w14:paraId="014979EA" w14:textId="43E8602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3,350.15</w:t>
            </w:r>
          </w:p>
        </w:tc>
        <w:tc>
          <w:tcPr>
            <w:tcW w:w="868" w:type="dxa"/>
            <w:tcMar>
              <w:top w:w="0" w:type="dxa"/>
              <w:bottom w:w="0" w:type="dxa"/>
            </w:tcMar>
            <w:vAlign w:val="center"/>
          </w:tcPr>
          <w:p w14:paraId="7AD6C924" w14:textId="7BBC53BD"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1CEF60B1" w14:textId="02E565D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r w:rsidR="00A77411" w:rsidRPr="00DA3766" w14:paraId="2C668C7A" w14:textId="77777777" w:rsidTr="007F36AF">
        <w:trPr>
          <w:trHeight w:val="397"/>
          <w:jc w:val="center"/>
        </w:trPr>
        <w:tc>
          <w:tcPr>
            <w:tcW w:w="985" w:type="dxa"/>
            <w:vMerge w:val="restart"/>
            <w:tcMar>
              <w:top w:w="0" w:type="dxa"/>
              <w:bottom w:w="0" w:type="dxa"/>
            </w:tcMar>
            <w:vAlign w:val="center"/>
          </w:tcPr>
          <w:p w14:paraId="6186C15A" w14:textId="7C416F0F"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年第四次股权激励</w:t>
            </w:r>
          </w:p>
        </w:tc>
        <w:tc>
          <w:tcPr>
            <w:tcW w:w="928" w:type="dxa"/>
            <w:vMerge w:val="restart"/>
            <w:tcMar>
              <w:top w:w="0" w:type="dxa"/>
              <w:bottom w:w="0" w:type="dxa"/>
            </w:tcMar>
            <w:vAlign w:val="center"/>
          </w:tcPr>
          <w:p w14:paraId="09B4921C" w14:textId="1E5D4A6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851" w:type="dxa"/>
            <w:tcMar>
              <w:top w:w="0" w:type="dxa"/>
              <w:bottom w:w="0" w:type="dxa"/>
            </w:tcMar>
            <w:vAlign w:val="center"/>
          </w:tcPr>
          <w:p w14:paraId="6F55EBAD" w14:textId="1F64174B"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4E3F2BD5" w14:textId="5DDE589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68815814" w14:textId="6CAE444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108,275</w:t>
            </w:r>
          </w:p>
        </w:tc>
        <w:tc>
          <w:tcPr>
            <w:tcW w:w="993" w:type="dxa"/>
            <w:tcMar>
              <w:top w:w="0" w:type="dxa"/>
              <w:bottom w:w="0" w:type="dxa"/>
            </w:tcMar>
            <w:vAlign w:val="center"/>
          </w:tcPr>
          <w:p w14:paraId="1ADD2FD9" w14:textId="69E633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889.75</w:t>
            </w:r>
          </w:p>
        </w:tc>
        <w:tc>
          <w:tcPr>
            <w:tcW w:w="868" w:type="dxa"/>
            <w:vMerge w:val="restart"/>
            <w:tcMar>
              <w:top w:w="0" w:type="dxa"/>
              <w:bottom w:w="0" w:type="dxa"/>
            </w:tcMar>
            <w:vAlign w:val="center"/>
          </w:tcPr>
          <w:p w14:paraId="32815ECA" w14:textId="3817F241"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14:paraId="281E45C0" w14:textId="7A50881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乐哈哈、乐洋洋、乐悠悠</w:t>
            </w:r>
          </w:p>
        </w:tc>
      </w:tr>
      <w:tr w:rsidR="00A77411" w:rsidRPr="00DA3766" w14:paraId="5093690C" w14:textId="77777777" w:rsidTr="007F36AF">
        <w:trPr>
          <w:trHeight w:val="397"/>
          <w:jc w:val="center"/>
        </w:trPr>
        <w:tc>
          <w:tcPr>
            <w:tcW w:w="985" w:type="dxa"/>
            <w:vMerge/>
            <w:tcMar>
              <w:top w:w="0" w:type="dxa"/>
              <w:bottom w:w="0" w:type="dxa"/>
            </w:tcMar>
            <w:vAlign w:val="center"/>
          </w:tcPr>
          <w:p w14:paraId="7527E0D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15EA4F2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58EAA4E4" w14:textId="35FA33A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3CC49AFE" w14:textId="5A9BBB52"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5D7AC5C8" w14:textId="319151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57,624</w:t>
            </w:r>
          </w:p>
        </w:tc>
        <w:tc>
          <w:tcPr>
            <w:tcW w:w="993" w:type="dxa"/>
            <w:tcMar>
              <w:top w:w="0" w:type="dxa"/>
              <w:bottom w:w="0" w:type="dxa"/>
            </w:tcMar>
            <w:vAlign w:val="center"/>
          </w:tcPr>
          <w:p w14:paraId="169BD3BF" w14:textId="60F7E272"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473.52</w:t>
            </w:r>
          </w:p>
        </w:tc>
        <w:tc>
          <w:tcPr>
            <w:tcW w:w="868" w:type="dxa"/>
            <w:vMerge/>
            <w:tcMar>
              <w:top w:w="0" w:type="dxa"/>
              <w:bottom w:w="0" w:type="dxa"/>
            </w:tcMar>
            <w:vAlign w:val="center"/>
          </w:tcPr>
          <w:p w14:paraId="7316F96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36B25BB" w14:textId="7E82FDE0"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乐洋洋</w:t>
            </w:r>
          </w:p>
        </w:tc>
      </w:tr>
      <w:tr w:rsidR="00A77411" w:rsidRPr="00DA3766" w14:paraId="3EA9444B" w14:textId="77777777" w:rsidTr="007F36AF">
        <w:trPr>
          <w:trHeight w:val="397"/>
          <w:jc w:val="center"/>
        </w:trPr>
        <w:tc>
          <w:tcPr>
            <w:tcW w:w="985" w:type="dxa"/>
            <w:vMerge/>
            <w:tcMar>
              <w:top w:w="0" w:type="dxa"/>
              <w:bottom w:w="0" w:type="dxa"/>
            </w:tcMar>
            <w:vAlign w:val="center"/>
          </w:tcPr>
          <w:p w14:paraId="621029C4"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211F21D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4262F713" w14:textId="236E211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260" w:type="dxa"/>
            <w:tcMar>
              <w:top w:w="0" w:type="dxa"/>
              <w:bottom w:w="0" w:type="dxa"/>
            </w:tcMar>
            <w:vAlign w:val="center"/>
          </w:tcPr>
          <w:p w14:paraId="69AD5AEF" w14:textId="52F8433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w:t>
            </w:r>
          </w:p>
        </w:tc>
        <w:tc>
          <w:tcPr>
            <w:tcW w:w="1134" w:type="dxa"/>
            <w:tcMar>
              <w:top w:w="0" w:type="dxa"/>
              <w:bottom w:w="0" w:type="dxa"/>
            </w:tcMar>
            <w:vAlign w:val="center"/>
          </w:tcPr>
          <w:p w14:paraId="3A866428" w14:textId="43133A4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1,185</w:t>
            </w:r>
          </w:p>
        </w:tc>
        <w:tc>
          <w:tcPr>
            <w:tcW w:w="993" w:type="dxa"/>
            <w:tcMar>
              <w:top w:w="0" w:type="dxa"/>
              <w:bottom w:w="0" w:type="dxa"/>
            </w:tcMar>
            <w:vAlign w:val="center"/>
          </w:tcPr>
          <w:p w14:paraId="151F2F33" w14:textId="35FC0AE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9.74</w:t>
            </w:r>
          </w:p>
        </w:tc>
        <w:tc>
          <w:tcPr>
            <w:tcW w:w="868" w:type="dxa"/>
            <w:vMerge/>
            <w:tcMar>
              <w:top w:w="0" w:type="dxa"/>
              <w:bottom w:w="0" w:type="dxa"/>
            </w:tcMar>
            <w:vAlign w:val="center"/>
          </w:tcPr>
          <w:p w14:paraId="68627C6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254AB909" w14:textId="02527AE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135E708B" w14:textId="77777777" w:rsidTr="007F36AF">
        <w:trPr>
          <w:trHeight w:val="397"/>
          <w:jc w:val="center"/>
        </w:trPr>
        <w:tc>
          <w:tcPr>
            <w:tcW w:w="985" w:type="dxa"/>
            <w:vMerge/>
            <w:tcMar>
              <w:top w:w="0" w:type="dxa"/>
              <w:bottom w:w="0" w:type="dxa"/>
            </w:tcMar>
            <w:vAlign w:val="center"/>
          </w:tcPr>
          <w:p w14:paraId="7EADC9A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6C1E3F1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5F68634C" w14:textId="1936DF2F"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260" w:type="dxa"/>
            <w:tcMar>
              <w:top w:w="0" w:type="dxa"/>
              <w:bottom w:w="0" w:type="dxa"/>
            </w:tcMar>
            <w:vAlign w:val="center"/>
          </w:tcPr>
          <w:p w14:paraId="42B64F1F" w14:textId="691CD7E0"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核心技术人员</w:t>
            </w:r>
          </w:p>
        </w:tc>
        <w:tc>
          <w:tcPr>
            <w:tcW w:w="1134" w:type="dxa"/>
            <w:tcMar>
              <w:top w:w="0" w:type="dxa"/>
              <w:bottom w:w="0" w:type="dxa"/>
            </w:tcMar>
            <w:vAlign w:val="center"/>
          </w:tcPr>
          <w:p w14:paraId="67064368" w14:textId="4761009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2,962</w:t>
            </w:r>
          </w:p>
        </w:tc>
        <w:tc>
          <w:tcPr>
            <w:tcW w:w="993" w:type="dxa"/>
            <w:tcMar>
              <w:top w:w="0" w:type="dxa"/>
              <w:bottom w:w="0" w:type="dxa"/>
            </w:tcMar>
            <w:vAlign w:val="center"/>
          </w:tcPr>
          <w:p w14:paraId="2DBAE4F3" w14:textId="01824D8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24.35</w:t>
            </w:r>
          </w:p>
        </w:tc>
        <w:tc>
          <w:tcPr>
            <w:tcW w:w="868" w:type="dxa"/>
            <w:vMerge/>
            <w:tcMar>
              <w:top w:w="0" w:type="dxa"/>
              <w:bottom w:w="0" w:type="dxa"/>
            </w:tcMar>
            <w:vAlign w:val="center"/>
          </w:tcPr>
          <w:p w14:paraId="75EE022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46D5CE76" w14:textId="3140D0F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4B3115F1" w14:textId="77777777" w:rsidTr="007F36AF">
        <w:trPr>
          <w:trHeight w:val="397"/>
          <w:jc w:val="center"/>
        </w:trPr>
        <w:tc>
          <w:tcPr>
            <w:tcW w:w="985" w:type="dxa"/>
            <w:vMerge/>
            <w:tcMar>
              <w:top w:w="0" w:type="dxa"/>
              <w:bottom w:w="0" w:type="dxa"/>
            </w:tcMar>
            <w:vAlign w:val="center"/>
          </w:tcPr>
          <w:p w14:paraId="291038A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6E59FBF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0D240D66" w14:textId="1292A95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260" w:type="dxa"/>
            <w:tcMar>
              <w:top w:w="0" w:type="dxa"/>
              <w:bottom w:w="0" w:type="dxa"/>
            </w:tcMar>
            <w:vAlign w:val="center"/>
          </w:tcPr>
          <w:p w14:paraId="3B22AD70" w14:textId="1F77E100"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财务负责人</w:t>
            </w:r>
          </w:p>
        </w:tc>
        <w:tc>
          <w:tcPr>
            <w:tcW w:w="1134" w:type="dxa"/>
            <w:tcMar>
              <w:top w:w="0" w:type="dxa"/>
              <w:bottom w:w="0" w:type="dxa"/>
            </w:tcMar>
            <w:vAlign w:val="center"/>
          </w:tcPr>
          <w:p w14:paraId="3C64820C" w14:textId="477EABF5"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4,444</w:t>
            </w:r>
          </w:p>
        </w:tc>
        <w:tc>
          <w:tcPr>
            <w:tcW w:w="993" w:type="dxa"/>
            <w:tcMar>
              <w:top w:w="0" w:type="dxa"/>
              <w:bottom w:w="0" w:type="dxa"/>
            </w:tcMar>
            <w:vAlign w:val="center"/>
          </w:tcPr>
          <w:p w14:paraId="47D95EE1" w14:textId="7FE217D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36.52</w:t>
            </w:r>
          </w:p>
        </w:tc>
        <w:tc>
          <w:tcPr>
            <w:tcW w:w="868" w:type="dxa"/>
            <w:vMerge/>
            <w:tcMar>
              <w:top w:w="0" w:type="dxa"/>
              <w:bottom w:w="0" w:type="dxa"/>
            </w:tcMar>
            <w:vAlign w:val="center"/>
          </w:tcPr>
          <w:p w14:paraId="7919AA0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689C31D8" w14:textId="1E9E9684"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2A536093" w14:textId="77777777" w:rsidTr="007F36AF">
        <w:trPr>
          <w:trHeight w:val="397"/>
          <w:jc w:val="center"/>
        </w:trPr>
        <w:tc>
          <w:tcPr>
            <w:tcW w:w="985" w:type="dxa"/>
            <w:vMerge/>
            <w:tcMar>
              <w:top w:w="0" w:type="dxa"/>
              <w:bottom w:w="0" w:type="dxa"/>
            </w:tcMar>
            <w:vAlign w:val="center"/>
          </w:tcPr>
          <w:p w14:paraId="35239CA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323DDEA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14:paraId="0A929B29" w14:textId="54FF87C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张超等</w:t>
            </w:r>
            <w:r w:rsidRPr="00DA3766">
              <w:rPr>
                <w:rFonts w:ascii="Times New Roman" w:hAnsi="Times New Roman" w:cs="Times New Roman"/>
                <w:color w:val="000000"/>
                <w:sz w:val="21"/>
                <w:szCs w:val="21"/>
              </w:rPr>
              <w:t>21</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3557311D" w14:textId="6A08C1C5"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除管理层外的其他员工</w:t>
            </w:r>
          </w:p>
        </w:tc>
        <w:tc>
          <w:tcPr>
            <w:tcW w:w="1134" w:type="dxa"/>
            <w:tcMar>
              <w:top w:w="0" w:type="dxa"/>
              <w:bottom w:w="0" w:type="dxa"/>
            </w:tcMar>
            <w:vAlign w:val="center"/>
          </w:tcPr>
          <w:p w14:paraId="6D03E85E" w14:textId="29A4C0AF"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56,366</w:t>
            </w:r>
          </w:p>
        </w:tc>
        <w:tc>
          <w:tcPr>
            <w:tcW w:w="993" w:type="dxa"/>
            <w:tcMar>
              <w:top w:w="0" w:type="dxa"/>
              <w:bottom w:w="0" w:type="dxa"/>
            </w:tcMar>
            <w:vAlign w:val="center"/>
          </w:tcPr>
          <w:p w14:paraId="1E62EA19" w14:textId="04715B6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463.17</w:t>
            </w:r>
          </w:p>
        </w:tc>
        <w:tc>
          <w:tcPr>
            <w:tcW w:w="868" w:type="dxa"/>
            <w:vMerge/>
            <w:tcMar>
              <w:top w:w="0" w:type="dxa"/>
              <w:bottom w:w="0" w:type="dxa"/>
            </w:tcMar>
            <w:vAlign w:val="center"/>
          </w:tcPr>
          <w:p w14:paraId="53BB8FA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D83F4CE" w14:textId="4501023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w:t>
            </w:r>
          </w:p>
        </w:tc>
      </w:tr>
      <w:tr w:rsidR="00A77411" w:rsidRPr="00DA3766" w14:paraId="4DFD8402" w14:textId="77777777" w:rsidTr="007F36AF">
        <w:trPr>
          <w:trHeight w:val="397"/>
          <w:jc w:val="center"/>
        </w:trPr>
        <w:tc>
          <w:tcPr>
            <w:tcW w:w="985" w:type="dxa"/>
            <w:vMerge/>
            <w:tcMar>
              <w:top w:w="0" w:type="dxa"/>
              <w:bottom w:w="0" w:type="dxa"/>
            </w:tcMar>
            <w:vAlign w:val="center"/>
          </w:tcPr>
          <w:p w14:paraId="5BACA3C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14:paraId="35785220" w14:textId="17795523"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63F3645F" w14:textId="5A5B45C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230,856</w:t>
            </w:r>
          </w:p>
        </w:tc>
        <w:tc>
          <w:tcPr>
            <w:tcW w:w="993" w:type="dxa"/>
            <w:tcMar>
              <w:top w:w="0" w:type="dxa"/>
              <w:bottom w:w="0" w:type="dxa"/>
            </w:tcMar>
            <w:vAlign w:val="center"/>
          </w:tcPr>
          <w:p w14:paraId="03FA02EB" w14:textId="65A27FD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1,897.04</w:t>
            </w:r>
          </w:p>
        </w:tc>
        <w:tc>
          <w:tcPr>
            <w:tcW w:w="868" w:type="dxa"/>
            <w:tcMar>
              <w:top w:w="0" w:type="dxa"/>
              <w:bottom w:w="0" w:type="dxa"/>
            </w:tcMar>
            <w:vAlign w:val="center"/>
          </w:tcPr>
          <w:p w14:paraId="294EAD3E" w14:textId="14925AA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4A58DC05" w14:textId="4DAC54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53BEAEF0" w14:textId="48099031" w:rsidR="000A715F" w:rsidRPr="00DA3766" w:rsidRDefault="000A715F" w:rsidP="00E0423A">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、标的公司股份支付费用符合企业会计准则的相关规定，具有合理性</w:t>
      </w:r>
    </w:p>
    <w:tbl>
      <w:tblPr>
        <w:tblW w:w="512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268"/>
        <w:gridCol w:w="6402"/>
      </w:tblGrid>
      <w:tr w:rsidR="00F41D7D" w:rsidRPr="00DA3766" w14:paraId="7FE2B31E"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C9E6E90"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年度</w:t>
            </w:r>
          </w:p>
        </w:tc>
        <w:tc>
          <w:tcPr>
            <w:tcW w:w="3692" w:type="pct"/>
            <w:shd w:val="clear" w:color="auto" w:fill="FFFFFF"/>
            <w:tcMar>
              <w:top w:w="0" w:type="dxa"/>
              <w:left w:w="75" w:type="dxa"/>
              <w:bottom w:w="0" w:type="dxa"/>
              <w:right w:w="75" w:type="dxa"/>
            </w:tcMar>
            <w:vAlign w:val="center"/>
            <w:hideMark/>
          </w:tcPr>
          <w:p w14:paraId="35044548"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股份支付金额（万元）</w:t>
            </w:r>
          </w:p>
        </w:tc>
      </w:tr>
      <w:tr w:rsidR="00F41D7D" w:rsidRPr="00DA3766" w14:paraId="1A1AF8A8"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F2E0D8D" w14:textId="41C396B2"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2020</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74CA909E" w14:textId="6FADAAB5"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8,527.81</w:t>
            </w:r>
          </w:p>
        </w:tc>
      </w:tr>
      <w:tr w:rsidR="00F41D7D" w:rsidRPr="00DA3766" w14:paraId="415C3C1E"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17C2173B" w14:textId="1567007F"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2021</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0C01EFE1" w14:textId="288BEDB7"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1,753.16</w:t>
            </w:r>
          </w:p>
        </w:tc>
      </w:tr>
      <w:tr w:rsidR="00F41D7D" w:rsidRPr="00DA3766" w14:paraId="2C91A500"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A7B1947" w14:textId="5F000507"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2022</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2F856C1F" w14:textId="696AA4AB"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5,247.19</w:t>
            </w:r>
          </w:p>
        </w:tc>
      </w:tr>
      <w:tr w:rsidR="00F41D7D" w:rsidRPr="00DA3766" w14:paraId="73F26A1C"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627D5725"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合计</w:t>
            </w:r>
          </w:p>
        </w:tc>
        <w:tc>
          <w:tcPr>
            <w:tcW w:w="3692" w:type="pct"/>
            <w:shd w:val="clear" w:color="auto" w:fill="FFFFFF"/>
            <w:tcMar>
              <w:top w:w="0" w:type="dxa"/>
              <w:left w:w="75" w:type="dxa"/>
              <w:bottom w:w="0" w:type="dxa"/>
              <w:right w:w="75" w:type="dxa"/>
            </w:tcMar>
            <w:vAlign w:val="center"/>
            <w:hideMark/>
          </w:tcPr>
          <w:p w14:paraId="7D850A8B" w14:textId="4689B14D" w:rsidR="00F41D7D" w:rsidRPr="00DA3766" w:rsidRDefault="00F41D7D" w:rsidP="007F36AF">
            <w:pPr>
              <w:pStyle w:val="005"/>
              <w:adjustRightInd w:val="0"/>
              <w:snapToGrid w:val="0"/>
              <w:spacing w:beforeLines="0" w:before="0" w:afterLines="0" w:after="0" w:line="240" w:lineRule="auto"/>
              <w:ind w:firstLineChars="0" w:firstLine="0"/>
              <w:jc w:val="right"/>
              <w:rPr>
                <w:b/>
                <w:bCs/>
                <w:sz w:val="21"/>
                <w:szCs w:val="21"/>
              </w:rPr>
            </w:pPr>
            <w:r w:rsidRPr="00DA3766">
              <w:rPr>
                <w:b/>
                <w:bCs/>
                <w:color w:val="000000"/>
                <w:sz w:val="21"/>
                <w:szCs w:val="21"/>
              </w:rPr>
              <w:t>15,528.16</w:t>
            </w:r>
          </w:p>
        </w:tc>
      </w:tr>
    </w:tbl>
    <w:p w14:paraId="5CD56AD2" w14:textId="7CEC02EE" w:rsidR="000A715F" w:rsidRPr="00DA3766" w:rsidRDefault="000A715F" w:rsidP="007D6CF8">
      <w:pPr>
        <w:pStyle w:val="005"/>
        <w:spacing w:before="120" w:after="120"/>
        <w:ind w:firstLine="464"/>
        <w:rPr>
          <w:spacing w:val="-4"/>
        </w:rPr>
      </w:pPr>
      <w:r w:rsidRPr="00DA3766">
        <w:rPr>
          <w:spacing w:val="-4"/>
        </w:rPr>
        <w:t>前述股权激励股份授予价格低于同期市场公允价格，同期市场公允价格采用最近一次外部投资者入股价格或资产评估报告价值。根据《企业会计准则第</w:t>
      </w:r>
      <w:r w:rsidRPr="00DA3766">
        <w:rPr>
          <w:spacing w:val="-4"/>
        </w:rPr>
        <w:t xml:space="preserve"> 11 </w:t>
      </w:r>
      <w:r w:rsidRPr="00DA3766">
        <w:rPr>
          <w:spacing w:val="-4"/>
        </w:rPr>
        <w:t>号</w:t>
      </w:r>
      <w:r w:rsidRPr="00DA3766">
        <w:rPr>
          <w:spacing w:val="-4"/>
        </w:rPr>
        <w:lastRenderedPageBreak/>
        <w:t>——</w:t>
      </w:r>
      <w:r w:rsidRPr="00DA3766">
        <w:rPr>
          <w:spacing w:val="-4"/>
        </w:rPr>
        <w:t>股份支付》规定：授予后立即可行权的换取职工服务的以权益结算的股份支付，应当在授予日按照权益工具的公允价值计入相关成本或费用，相应增加资本公积。标的公司实施的股权激励</w:t>
      </w:r>
      <w:r w:rsidR="007C3951" w:rsidRPr="00DA3766">
        <w:rPr>
          <w:spacing w:val="-4"/>
        </w:rPr>
        <w:t>未设定服务期、业绩条件等可行权条件，股权系直接转让且不存在分期转让的情形。</w:t>
      </w:r>
      <w:bookmarkStart w:id="226" w:name="OLE_LINK131"/>
      <w:r w:rsidR="007C3951" w:rsidRPr="00DA3766">
        <w:rPr>
          <w:spacing w:val="-4"/>
        </w:rPr>
        <w:t>标的公司以授予日的公允价值</w:t>
      </w:r>
      <w:bookmarkEnd w:id="226"/>
      <w:r w:rsidRPr="00DA3766">
        <w:rPr>
          <w:spacing w:val="-4"/>
        </w:rPr>
        <w:t>与激励对象入股价格的差额</w:t>
      </w:r>
      <w:r w:rsidR="007C3951" w:rsidRPr="00DA3766">
        <w:rPr>
          <w:spacing w:val="-4"/>
        </w:rPr>
        <w:t>计算</w:t>
      </w:r>
      <w:r w:rsidRPr="00DA3766">
        <w:rPr>
          <w:spacing w:val="-4"/>
        </w:rPr>
        <w:t>股份支付</w:t>
      </w:r>
      <w:r w:rsidR="007C3951" w:rsidRPr="00DA3766">
        <w:rPr>
          <w:spacing w:val="-4"/>
        </w:rPr>
        <w:t>，以授予日为股份支付的确认时间，一次性确认股份支付</w:t>
      </w:r>
      <w:r w:rsidRPr="00DA3766">
        <w:rPr>
          <w:spacing w:val="-4"/>
        </w:rPr>
        <w:t>。</w:t>
      </w:r>
    </w:p>
    <w:p w14:paraId="5C4C2BE3" w14:textId="3C01EFA1" w:rsidR="00815BEE" w:rsidRPr="00DA3766" w:rsidRDefault="00C16B5D" w:rsidP="008A1B9E">
      <w:pPr>
        <w:pStyle w:val="005"/>
        <w:spacing w:before="120" w:after="120"/>
        <w:ind w:firstLine="480"/>
      </w:pPr>
      <w:r w:rsidRPr="00DA3766">
        <w:t>因此</w:t>
      </w:r>
      <w:r w:rsidR="00815BEE" w:rsidRPr="00DA3766">
        <w:t>，报告期前标的资产管理层及相关持股平台入股存在股份支付，股份支付费用计提准确，申报文件中相关财务数据准确。</w:t>
      </w:r>
      <w:bookmarkEnd w:id="225"/>
    </w:p>
    <w:p w14:paraId="75E2A16A" w14:textId="4A4CFF6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补充披露。</w:t>
      </w:r>
    </w:p>
    <w:p w14:paraId="0139322B" w14:textId="0AD8C3E6" w:rsidR="00884014" w:rsidRPr="00DA3766" w:rsidRDefault="00884014" w:rsidP="00884014">
      <w:pPr>
        <w:pStyle w:val="002"/>
        <w:spacing w:before="120" w:after="120"/>
        <w:ind w:firstLine="482"/>
      </w:pPr>
      <w:bookmarkStart w:id="227" w:name="_Hlk219330664"/>
      <w:r w:rsidRPr="00DA3766">
        <w:t>二、</w:t>
      </w:r>
      <w:bookmarkStart w:id="228" w:name="_Hlk219373448"/>
      <w:r w:rsidRPr="00DA3766">
        <w:t>广发信德科文、珠海康远增资对应的价格和受让股权对应的价格存在差异的原因及合理性</w:t>
      </w:r>
      <w:bookmarkEnd w:id="228"/>
    </w:p>
    <w:p w14:paraId="7F7946B1" w14:textId="22BD801D" w:rsidR="00884014" w:rsidRPr="00DA3766" w:rsidRDefault="00884014" w:rsidP="008A1B9E">
      <w:pPr>
        <w:pStyle w:val="005"/>
        <w:spacing w:before="120" w:after="120"/>
        <w:ind w:firstLine="480"/>
      </w:pPr>
      <w:bookmarkStart w:id="229" w:name="_Hlk219373456"/>
      <w:bookmarkEnd w:id="227"/>
      <w:r w:rsidRPr="00DA3766">
        <w:t>2017</w:t>
      </w:r>
      <w:r w:rsidRPr="00DA3766">
        <w:t>年</w:t>
      </w:r>
      <w:r w:rsidRPr="00DA3766">
        <w:t>1</w:t>
      </w:r>
      <w:r w:rsidRPr="00DA3766">
        <w:t>月</w:t>
      </w:r>
      <w:r w:rsidRPr="00DA3766">
        <w:t>13</w:t>
      </w:r>
      <w:r w:rsidRPr="00DA3766">
        <w:t>日，广发信德科文、珠海康远与星云开物及乐摇签订了《投资及股权转让协议》，对本次增资及股权转让事项进行明确约定。</w:t>
      </w:r>
      <w:r w:rsidRPr="00DA3766">
        <w:t>2017</w:t>
      </w:r>
      <w:r w:rsidRPr="00DA3766">
        <w:t>年</w:t>
      </w:r>
      <w:r w:rsidRPr="00DA3766">
        <w:t>3</w:t>
      </w:r>
      <w:r w:rsidRPr="00DA3766">
        <w:t>月</w:t>
      </w:r>
      <w:r w:rsidRPr="00DA3766">
        <w:t>15</w:t>
      </w:r>
      <w:r w:rsidRPr="00DA3766">
        <w:t>日，星云开物就本次股权转让及增资事宜完成工商变更登记。广发信德科文、珠海康远向星云开物增资和受让股权价格情况如下：</w:t>
      </w:r>
    </w:p>
    <w:tbl>
      <w:tblPr>
        <w:tblStyle w:val="280"/>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1066"/>
        <w:gridCol w:w="1584"/>
        <w:gridCol w:w="1048"/>
        <w:gridCol w:w="1628"/>
        <w:gridCol w:w="1694"/>
        <w:gridCol w:w="1503"/>
      </w:tblGrid>
      <w:tr w:rsidR="00884014" w:rsidRPr="00DA3766" w14:paraId="59A556FD" w14:textId="77777777" w:rsidTr="00DA3766">
        <w:trPr>
          <w:trHeight w:val="397"/>
          <w:jc w:val="center"/>
        </w:trPr>
        <w:tc>
          <w:tcPr>
            <w:tcW w:w="626" w:type="pct"/>
            <w:tcMar>
              <w:top w:w="0" w:type="dxa"/>
              <w:bottom w:w="0" w:type="dxa"/>
            </w:tcMar>
            <w:vAlign w:val="center"/>
          </w:tcPr>
          <w:p w14:paraId="6A99E2AB"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事项</w:t>
            </w:r>
          </w:p>
        </w:tc>
        <w:tc>
          <w:tcPr>
            <w:tcW w:w="928" w:type="pct"/>
            <w:tcMar>
              <w:top w:w="0" w:type="dxa"/>
              <w:bottom w:w="0" w:type="dxa"/>
            </w:tcMar>
            <w:vAlign w:val="center"/>
          </w:tcPr>
          <w:p w14:paraId="2C99A964"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受让方</w:t>
            </w:r>
          </w:p>
        </w:tc>
        <w:tc>
          <w:tcPr>
            <w:tcW w:w="615" w:type="pct"/>
            <w:tcMar>
              <w:top w:w="0" w:type="dxa"/>
              <w:bottom w:w="0" w:type="dxa"/>
            </w:tcMar>
            <w:vAlign w:val="center"/>
          </w:tcPr>
          <w:p w14:paraId="1E04310E"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转让方</w:t>
            </w:r>
          </w:p>
        </w:tc>
        <w:tc>
          <w:tcPr>
            <w:tcW w:w="954" w:type="pct"/>
            <w:tcMar>
              <w:top w:w="0" w:type="dxa"/>
              <w:bottom w:w="0" w:type="dxa"/>
            </w:tcMar>
            <w:vAlign w:val="center"/>
          </w:tcPr>
          <w:p w14:paraId="21DAA3C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转让注册资本数量（元）</w:t>
            </w:r>
          </w:p>
        </w:tc>
        <w:tc>
          <w:tcPr>
            <w:tcW w:w="993" w:type="pct"/>
            <w:tcMar>
              <w:top w:w="0" w:type="dxa"/>
              <w:bottom w:w="0" w:type="dxa"/>
            </w:tcMar>
            <w:vAlign w:val="center"/>
          </w:tcPr>
          <w:p w14:paraId="5BC8E965"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转让价格（元</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注册资本）</w:t>
            </w:r>
          </w:p>
        </w:tc>
        <w:tc>
          <w:tcPr>
            <w:tcW w:w="881" w:type="pct"/>
            <w:tcMar>
              <w:top w:w="0" w:type="dxa"/>
              <w:bottom w:w="0" w:type="dxa"/>
            </w:tcMar>
            <w:vAlign w:val="center"/>
          </w:tcPr>
          <w:p w14:paraId="45AEB01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对应标的公司估值（万元）</w:t>
            </w:r>
          </w:p>
        </w:tc>
      </w:tr>
      <w:tr w:rsidR="00884014" w:rsidRPr="00DA3766" w14:paraId="3349B81B" w14:textId="77777777" w:rsidTr="00DA3766">
        <w:trPr>
          <w:trHeight w:val="397"/>
          <w:jc w:val="center"/>
        </w:trPr>
        <w:tc>
          <w:tcPr>
            <w:tcW w:w="626" w:type="pct"/>
            <w:tcMar>
              <w:top w:w="0" w:type="dxa"/>
              <w:bottom w:w="0" w:type="dxa"/>
            </w:tcMar>
            <w:vAlign w:val="center"/>
          </w:tcPr>
          <w:p w14:paraId="37070772"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增资</w:t>
            </w:r>
          </w:p>
        </w:tc>
        <w:tc>
          <w:tcPr>
            <w:tcW w:w="928" w:type="pct"/>
            <w:tcMar>
              <w:top w:w="0" w:type="dxa"/>
              <w:bottom w:w="0" w:type="dxa"/>
            </w:tcMar>
            <w:vAlign w:val="center"/>
          </w:tcPr>
          <w:p w14:paraId="23B56A98"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7"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78" w:tgtFrame="https://www.qcc.com/firm/_blank" w:history="1">
              <w:r w:rsidRPr="00DA3766">
                <w:rPr>
                  <w:rFonts w:ascii="Times New Roman" w:hAnsi="Times New Roman" w:cs="Times New Roman"/>
                  <w:bCs/>
                  <w:color w:val="000000"/>
                  <w:sz w:val="21"/>
                  <w:szCs w:val="21"/>
                </w:rPr>
                <w:t>珠海康远</w:t>
              </w:r>
            </w:hyperlink>
          </w:p>
        </w:tc>
        <w:tc>
          <w:tcPr>
            <w:tcW w:w="615" w:type="pct"/>
            <w:tcMar>
              <w:top w:w="0" w:type="dxa"/>
              <w:bottom w:w="0" w:type="dxa"/>
            </w:tcMar>
            <w:vAlign w:val="center"/>
          </w:tcPr>
          <w:p w14:paraId="01C71C5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954" w:type="pct"/>
            <w:tcMar>
              <w:top w:w="0" w:type="dxa"/>
              <w:bottom w:w="0" w:type="dxa"/>
            </w:tcMar>
            <w:vAlign w:val="center"/>
          </w:tcPr>
          <w:p w14:paraId="4E9613C3"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16,774.00</w:t>
            </w:r>
          </w:p>
        </w:tc>
        <w:tc>
          <w:tcPr>
            <w:tcW w:w="993" w:type="pct"/>
            <w:tcMar>
              <w:top w:w="0" w:type="dxa"/>
              <w:bottom w:w="0" w:type="dxa"/>
            </w:tcMar>
            <w:vAlign w:val="center"/>
          </w:tcPr>
          <w:p w14:paraId="6E80EC7E"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596.16</w:t>
            </w:r>
          </w:p>
        </w:tc>
        <w:tc>
          <w:tcPr>
            <w:tcW w:w="881" w:type="pct"/>
            <w:tcMar>
              <w:top w:w="0" w:type="dxa"/>
              <w:bottom w:w="0" w:type="dxa"/>
            </w:tcMar>
            <w:vAlign w:val="center"/>
          </w:tcPr>
          <w:p w14:paraId="62FD87A5"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w:t>
            </w:r>
          </w:p>
        </w:tc>
      </w:tr>
      <w:tr w:rsidR="00884014" w:rsidRPr="00DA3766" w14:paraId="428B461E" w14:textId="77777777" w:rsidTr="00DA3766">
        <w:trPr>
          <w:trHeight w:val="397"/>
          <w:jc w:val="center"/>
        </w:trPr>
        <w:tc>
          <w:tcPr>
            <w:tcW w:w="626" w:type="pct"/>
            <w:tcMar>
              <w:top w:w="0" w:type="dxa"/>
              <w:bottom w:w="0" w:type="dxa"/>
            </w:tcMar>
            <w:vAlign w:val="center"/>
          </w:tcPr>
          <w:p w14:paraId="2E28C49E"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股权转让</w:t>
            </w:r>
          </w:p>
        </w:tc>
        <w:tc>
          <w:tcPr>
            <w:tcW w:w="928" w:type="pct"/>
            <w:tcMar>
              <w:top w:w="0" w:type="dxa"/>
              <w:bottom w:w="0" w:type="dxa"/>
            </w:tcMar>
            <w:vAlign w:val="center"/>
          </w:tcPr>
          <w:p w14:paraId="6D0BAEF2"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9"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80" w:tgtFrame="https://www.qcc.com/firm/_blank" w:history="1">
              <w:r w:rsidRPr="00DA3766">
                <w:rPr>
                  <w:rFonts w:ascii="Times New Roman" w:hAnsi="Times New Roman" w:cs="Times New Roman"/>
                  <w:bCs/>
                  <w:color w:val="000000"/>
                  <w:sz w:val="21"/>
                  <w:szCs w:val="21"/>
                </w:rPr>
                <w:t>珠海康远</w:t>
              </w:r>
            </w:hyperlink>
          </w:p>
        </w:tc>
        <w:tc>
          <w:tcPr>
            <w:tcW w:w="615" w:type="pct"/>
            <w:tcMar>
              <w:top w:w="0" w:type="dxa"/>
              <w:bottom w:w="0" w:type="dxa"/>
            </w:tcMar>
            <w:vAlign w:val="center"/>
          </w:tcPr>
          <w:p w14:paraId="74437A0A"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954" w:type="pct"/>
            <w:tcMar>
              <w:top w:w="0" w:type="dxa"/>
              <w:bottom w:w="0" w:type="dxa"/>
            </w:tcMar>
            <w:vAlign w:val="center"/>
          </w:tcPr>
          <w:p w14:paraId="5BADC2D9"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16,774.00</w:t>
            </w:r>
          </w:p>
        </w:tc>
        <w:tc>
          <w:tcPr>
            <w:tcW w:w="993" w:type="pct"/>
            <w:tcMar>
              <w:top w:w="0" w:type="dxa"/>
              <w:bottom w:w="0" w:type="dxa"/>
            </w:tcMar>
            <w:vAlign w:val="center"/>
          </w:tcPr>
          <w:p w14:paraId="3418EA5B"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238.46</w:t>
            </w:r>
          </w:p>
        </w:tc>
        <w:tc>
          <w:tcPr>
            <w:tcW w:w="881" w:type="pct"/>
            <w:tcMar>
              <w:top w:w="0" w:type="dxa"/>
              <w:bottom w:w="0" w:type="dxa"/>
            </w:tcMar>
            <w:vAlign w:val="center"/>
          </w:tcPr>
          <w:p w14:paraId="3AE371A3"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4,000.00</w:t>
            </w:r>
          </w:p>
        </w:tc>
      </w:tr>
    </w:tbl>
    <w:p w14:paraId="740DC6CF" w14:textId="6F53054A" w:rsidR="00884014" w:rsidRPr="00DA3766" w:rsidRDefault="00884014" w:rsidP="008A1B9E">
      <w:pPr>
        <w:pStyle w:val="005"/>
        <w:spacing w:before="120" w:after="120"/>
        <w:ind w:firstLine="480"/>
      </w:pPr>
      <w:r w:rsidRPr="00DA3766">
        <w:t>本次广发信德科文、珠海康远投资星云开物，系看好星云开物业务发展前景，在与星云开物沟通本轮投资过程中，考虑到乐摇内部投资人退出需要资金，经广发信德科文、珠海康远与星云开物、乐摇商议，决定由广发信德科文、珠海康远采取部分增资加受让乐摇持有的</w:t>
      </w:r>
      <w:r w:rsidR="008144F1" w:rsidRPr="00DA3766">
        <w:t>标的</w:t>
      </w:r>
      <w:r w:rsidRPr="00DA3766">
        <w:t>公司</w:t>
      </w:r>
      <w:r w:rsidR="008144F1" w:rsidRPr="00DA3766">
        <w:t>存量股份</w:t>
      </w:r>
      <w:r w:rsidRPr="00DA3766">
        <w:t>方式进行本轮投资，其中增资部分对应按照星云开物投后估值</w:t>
      </w:r>
      <w:r w:rsidRPr="00DA3766">
        <w:t>10,000.00</w:t>
      </w:r>
      <w:r w:rsidRPr="00DA3766">
        <w:t>万元作价，转让部分按照星云开物估值</w:t>
      </w:r>
      <w:r w:rsidRPr="00DA3766">
        <w:t>4,000</w:t>
      </w:r>
      <w:r w:rsidR="00072431" w:rsidRPr="00DA3766">
        <w:t>万</w:t>
      </w:r>
      <w:r w:rsidRPr="00DA3766">
        <w:t>元作价，综合作价对应星云开物的投后估值为</w:t>
      </w:r>
      <w:r w:rsidR="00111D43" w:rsidRPr="00DA3766">
        <w:t>7</w:t>
      </w:r>
      <w:r w:rsidRPr="00DA3766">
        <w:t>,000</w:t>
      </w:r>
      <w:r w:rsidRPr="00DA3766">
        <w:t>万元，</w:t>
      </w:r>
      <w:r w:rsidR="00072431" w:rsidRPr="00DA3766">
        <w:t>作价公允。</w:t>
      </w:r>
    </w:p>
    <w:p w14:paraId="4563333A" w14:textId="5FFEACA0" w:rsidR="00884014" w:rsidRPr="00DA3766" w:rsidRDefault="00884014" w:rsidP="008A1B9E">
      <w:pPr>
        <w:pStyle w:val="005"/>
        <w:spacing w:before="120" w:after="120"/>
        <w:ind w:firstLine="480"/>
        <w:rPr>
          <w:kern w:val="0"/>
          <w:szCs w:val="24"/>
        </w:rPr>
      </w:pPr>
      <w:r w:rsidRPr="00DA3766">
        <w:rPr>
          <w:kern w:val="0"/>
          <w:szCs w:val="24"/>
        </w:rPr>
        <w:t>因此，</w:t>
      </w:r>
      <w:r w:rsidRPr="00DA3766">
        <w:rPr>
          <w:kern w:val="0"/>
          <w:szCs w:val="24"/>
        </w:rPr>
        <w:t>2017</w:t>
      </w:r>
      <w:r w:rsidRPr="00DA3766">
        <w:rPr>
          <w:kern w:val="0"/>
          <w:szCs w:val="24"/>
        </w:rPr>
        <w:t>年</w:t>
      </w:r>
      <w:r w:rsidRPr="00DA3766">
        <w:rPr>
          <w:kern w:val="0"/>
          <w:szCs w:val="24"/>
        </w:rPr>
        <w:t>3</w:t>
      </w:r>
      <w:r w:rsidRPr="00DA3766">
        <w:rPr>
          <w:kern w:val="0"/>
          <w:szCs w:val="24"/>
        </w:rPr>
        <w:t>月广发信德科文、珠海康远通过增资及股权转让方式对标的公司进行投资，系在考虑乐摇上层合伙人退出诉求后由各方</w:t>
      </w:r>
      <w:r w:rsidR="008778CC" w:rsidRPr="00DA3766">
        <w:rPr>
          <w:kern w:val="0"/>
          <w:szCs w:val="24"/>
        </w:rPr>
        <w:t>进行商业谈判后</w:t>
      </w:r>
      <w:r w:rsidRPr="00DA3766">
        <w:rPr>
          <w:kern w:val="0"/>
          <w:szCs w:val="24"/>
        </w:rPr>
        <w:t>以差异化定价方式协商确定增资及股权转让价格，作价具有合理性。</w:t>
      </w:r>
      <w:bookmarkEnd w:id="229"/>
    </w:p>
    <w:p w14:paraId="67559AAD" w14:textId="1D706965" w:rsidR="00E22816" w:rsidRPr="00DA3766" w:rsidRDefault="00E22816" w:rsidP="008A1B9E">
      <w:pPr>
        <w:pStyle w:val="005"/>
        <w:spacing w:before="120" w:after="120"/>
        <w:ind w:firstLine="480"/>
        <w:rPr>
          <w:kern w:val="0"/>
          <w:szCs w:val="24"/>
        </w:rPr>
      </w:pPr>
      <w:r w:rsidRPr="00DA3766">
        <w:rPr>
          <w:kern w:val="0"/>
          <w:szCs w:val="24"/>
        </w:rPr>
        <w:lastRenderedPageBreak/>
        <w:t>上述内容已在《重组报告书》</w:t>
      </w:r>
      <w:r w:rsidRPr="00DA3766">
        <w:rPr>
          <w:rFonts w:ascii="宋体" w:hAnsi="宋体"/>
          <w:kern w:val="0"/>
          <w:szCs w:val="24"/>
        </w:rPr>
        <w:t>“</w:t>
      </w:r>
      <w:r w:rsidRPr="00DA3766">
        <w:rPr>
          <w:kern w:val="0"/>
          <w:szCs w:val="24"/>
        </w:rPr>
        <w:t>第四节</w:t>
      </w:r>
      <w:r w:rsidRPr="00DA3766">
        <w:rPr>
          <w:kern w:val="0"/>
          <w:szCs w:val="24"/>
        </w:rPr>
        <w:t xml:space="preserve"> </w:t>
      </w:r>
      <w:r w:rsidRPr="00DA3766">
        <w:rPr>
          <w:kern w:val="0"/>
          <w:szCs w:val="24"/>
        </w:rPr>
        <w:t>交易标的基本情况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二、历史沿革</w:t>
      </w:r>
      <w:r w:rsidRPr="00DA3766">
        <w:rPr>
          <w:rFonts w:ascii="宋体" w:hAnsi="宋体"/>
          <w:kern w:val="0"/>
          <w:szCs w:val="24"/>
        </w:rPr>
        <w:t>”</w:t>
      </w:r>
      <w:r w:rsidRPr="00DA3766">
        <w:rPr>
          <w:kern w:val="0"/>
          <w:szCs w:val="24"/>
        </w:rPr>
        <w:t>补充披露。</w:t>
      </w:r>
    </w:p>
    <w:p w14:paraId="4884D4BC" w14:textId="3390ACBD" w:rsidR="008778CC" w:rsidRPr="00DA3766" w:rsidRDefault="008778CC" w:rsidP="008778CC">
      <w:pPr>
        <w:pStyle w:val="002"/>
        <w:spacing w:before="120" w:after="120"/>
        <w:ind w:firstLine="482"/>
      </w:pPr>
      <w:bookmarkStart w:id="230" w:name="_Hlk219330673"/>
      <w:r w:rsidRPr="00DA3766">
        <w:t>三、</w:t>
      </w:r>
      <w:bookmarkStart w:id="231" w:name="_Hlk219373553"/>
      <w:r w:rsidRPr="00DA3766">
        <w:t>乐哈哈在两日内受让即转让、</w:t>
      </w:r>
      <w:bookmarkStart w:id="232" w:name="_Hlk219373572"/>
      <w:r w:rsidRPr="00DA3766">
        <w:t>乐腾腾在受让次日即转让，且受让与转让对应的估值存在差异的原因及商业合理性，同受让方与转让方是否存在关联关系或其他利益关系，是否存在利益输送，价格是否公允，是否构成股份支付，是否计提相关费用，费用计提是否充分、准确、完整，申报文件中相关财务数据是否准确</w:t>
      </w:r>
      <w:bookmarkEnd w:id="231"/>
      <w:bookmarkEnd w:id="232"/>
    </w:p>
    <w:bookmarkEnd w:id="230"/>
    <w:p w14:paraId="50976A2D" w14:textId="509F9F75" w:rsidR="008778CC" w:rsidRPr="00DA3766" w:rsidRDefault="008778CC" w:rsidP="008778CC">
      <w:pPr>
        <w:pStyle w:val="003"/>
        <w:spacing w:before="120" w:after="120"/>
        <w:ind w:firstLine="482"/>
      </w:pPr>
      <w:r w:rsidRPr="00DA3766">
        <w:t>（一）乐哈哈在两日内受让即转让相关情况</w:t>
      </w:r>
    </w:p>
    <w:p w14:paraId="6E6D950B" w14:textId="7C87FAB7" w:rsidR="008778CC" w:rsidRPr="00DA3766" w:rsidRDefault="008778CC" w:rsidP="008778CC">
      <w:pPr>
        <w:pStyle w:val="004"/>
        <w:spacing w:before="120" w:after="120"/>
        <w:ind w:firstLine="482"/>
      </w:pPr>
      <w:bookmarkStart w:id="233" w:name="_Hlk219373602"/>
      <w:r w:rsidRPr="00DA3766">
        <w:t>1</w:t>
      </w:r>
      <w:r w:rsidRPr="00DA3766">
        <w:t>、</w:t>
      </w:r>
      <w:r w:rsidR="00C8649B" w:rsidRPr="00DA3766">
        <w:t>受让与转让对应的估值存在差异的原因及商业合理性</w:t>
      </w:r>
    </w:p>
    <w:p w14:paraId="625EC346" w14:textId="03B2734A" w:rsidR="00F62AD1" w:rsidRPr="00DA3766" w:rsidRDefault="00C8649B" w:rsidP="008A1B9E">
      <w:pPr>
        <w:pStyle w:val="005"/>
        <w:spacing w:before="120" w:after="120"/>
        <w:ind w:firstLine="480"/>
      </w:pPr>
      <w:r w:rsidRPr="00DA3766">
        <w:t>徐德强作为标的公司创始股东之一，其因个人资金需求，拟退出部分持股。考虑到当时正值</w:t>
      </w:r>
      <w:r w:rsidR="008144F1" w:rsidRPr="00DA3766">
        <w:t>标的</w:t>
      </w:r>
      <w:r w:rsidRPr="00DA3766">
        <w:t>公司完成</w:t>
      </w:r>
      <w:r w:rsidRPr="00DA3766">
        <w:t>B</w:t>
      </w:r>
      <w:r w:rsidRPr="00DA3766">
        <w:t>轮融资（</w:t>
      </w:r>
      <w:r w:rsidRPr="00DA3766">
        <w:t>2017</w:t>
      </w:r>
      <w:r w:rsidRPr="00DA3766">
        <w:t>年</w:t>
      </w:r>
      <w:r w:rsidRPr="00DA3766">
        <w:t>7</w:t>
      </w:r>
      <w:r w:rsidRPr="00DA3766">
        <w:t>月南通成为长青投资入股），经与</w:t>
      </w:r>
      <w:r w:rsidR="007B0B46" w:rsidRPr="00DA3766">
        <w:t>标的</w:t>
      </w:r>
      <w:r w:rsidRPr="00DA3766">
        <w:t>公司商议，决定由</w:t>
      </w:r>
      <w:r w:rsidR="008144F1" w:rsidRPr="00DA3766">
        <w:t>标的</w:t>
      </w:r>
      <w:r w:rsidRPr="00DA3766">
        <w:t>公司协调投资人以市场价格承接受让徐德强部分股权，并由徐德强赠予部分股权作为预留激励池用于</w:t>
      </w:r>
      <w:r w:rsidR="00F62AD1" w:rsidRPr="00DA3766">
        <w:t>标的</w:t>
      </w:r>
      <w:r w:rsidRPr="00DA3766">
        <w:t>公司未来股权激励，以促进标的公司良性发展。</w:t>
      </w:r>
      <w:r w:rsidR="00F62AD1" w:rsidRPr="00DA3766">
        <w:t>为实现上述目的，徐德强先向乐哈哈转让标的公司</w:t>
      </w:r>
      <w:r w:rsidR="00F62AD1" w:rsidRPr="00DA3766">
        <w:t>7.6502%</w:t>
      </w:r>
      <w:r w:rsidR="00F62AD1" w:rsidRPr="00DA3766">
        <w:t>股权（对应</w:t>
      </w:r>
      <w:r w:rsidR="00F62AD1" w:rsidRPr="00DA3766">
        <w:t>1.5009</w:t>
      </w:r>
      <w:r w:rsidR="00F62AD1" w:rsidRPr="00DA3766">
        <w:t>万元注册资本），由乐哈哈预留其中一半股权（对应注册资本</w:t>
      </w:r>
      <w:r w:rsidR="00F62AD1" w:rsidRPr="00DA3766">
        <w:t>0.7504</w:t>
      </w:r>
      <w:r w:rsidR="00F62AD1" w:rsidRPr="00DA3766">
        <w:t>万元）作为未来实施股权激励的激励池后，将剩余股权以</w:t>
      </w:r>
      <w:r w:rsidR="00F62AD1" w:rsidRPr="00DA3766">
        <w:t>1,000.00</w:t>
      </w:r>
      <w:r w:rsidR="00F62AD1" w:rsidRPr="00DA3766">
        <w:t>万元作价对外出售予南通成为常青。</w:t>
      </w:r>
    </w:p>
    <w:p w14:paraId="2790AB72" w14:textId="6A3C16C8" w:rsidR="00F62AD1" w:rsidRPr="00DA3766" w:rsidRDefault="00F62AD1" w:rsidP="007D6CF8">
      <w:pPr>
        <w:pStyle w:val="005"/>
        <w:spacing w:before="120" w:after="120"/>
        <w:ind w:firstLine="464"/>
        <w:rPr>
          <w:spacing w:val="-4"/>
        </w:rPr>
      </w:pPr>
      <w:r w:rsidRPr="00DA3766">
        <w:rPr>
          <w:spacing w:val="-4"/>
        </w:rPr>
        <w:t>因此，本次乐哈哈受让徐德强股权对应标的公司估值为</w:t>
      </w:r>
      <w:r w:rsidRPr="00DA3766">
        <w:rPr>
          <w:spacing w:val="-4"/>
        </w:rPr>
        <w:t>13,071.55</w:t>
      </w:r>
      <w:r w:rsidRPr="00DA3766">
        <w:rPr>
          <w:spacing w:val="-4"/>
        </w:rPr>
        <w:t>万元，系后续南通成为常青受让乐哈哈股权对应标的公司估值</w:t>
      </w:r>
      <w:r w:rsidRPr="00DA3766">
        <w:rPr>
          <w:spacing w:val="-4"/>
        </w:rPr>
        <w:t>26,143.11</w:t>
      </w:r>
      <w:r w:rsidRPr="00DA3766">
        <w:rPr>
          <w:spacing w:val="-4"/>
        </w:rPr>
        <w:t>万元的一半。徐德强通过乐哈哈向南通成为长青转让股权的作价系由徐德强、标的公司、南通成为长青共同商议决定，南通成为长青以</w:t>
      </w:r>
      <w:r w:rsidRPr="00DA3766">
        <w:rPr>
          <w:spacing w:val="-4"/>
        </w:rPr>
        <w:t>1,000.00</w:t>
      </w:r>
      <w:r w:rsidRPr="00DA3766">
        <w:rPr>
          <w:spacing w:val="-4"/>
        </w:rPr>
        <w:t>万元受让标的公司</w:t>
      </w:r>
      <w:r w:rsidRPr="00DA3766">
        <w:rPr>
          <w:spacing w:val="-4"/>
        </w:rPr>
        <w:t>0.7504</w:t>
      </w:r>
      <w:r w:rsidRPr="00DA3766">
        <w:rPr>
          <w:spacing w:val="-4"/>
        </w:rPr>
        <w:t>万元注册资本的股权，对应</w:t>
      </w:r>
      <w:r w:rsidR="007B0B46" w:rsidRPr="00DA3766">
        <w:rPr>
          <w:spacing w:val="-4"/>
        </w:rPr>
        <w:t>标的</w:t>
      </w:r>
      <w:r w:rsidRPr="00DA3766">
        <w:rPr>
          <w:spacing w:val="-4"/>
        </w:rPr>
        <w:t>公司估值为</w:t>
      </w:r>
      <w:r w:rsidRPr="00DA3766">
        <w:rPr>
          <w:spacing w:val="-4"/>
        </w:rPr>
        <w:t>26,143.11</w:t>
      </w:r>
      <w:r w:rsidRPr="00DA3766">
        <w:rPr>
          <w:spacing w:val="-4"/>
        </w:rPr>
        <w:t>万元。该估值与南通成为长青</w:t>
      </w:r>
      <w:r w:rsidRPr="00DA3766">
        <w:rPr>
          <w:spacing w:val="-4"/>
        </w:rPr>
        <w:t>2017</w:t>
      </w:r>
      <w:r w:rsidRPr="00DA3766">
        <w:rPr>
          <w:spacing w:val="-4"/>
        </w:rPr>
        <w:t>年</w:t>
      </w:r>
      <w:r w:rsidRPr="00DA3766">
        <w:rPr>
          <w:spacing w:val="-4"/>
        </w:rPr>
        <w:t>7</w:t>
      </w:r>
      <w:r w:rsidRPr="00DA3766">
        <w:rPr>
          <w:spacing w:val="-4"/>
        </w:rPr>
        <w:t>月增资入股标的公司时的投后估值</w:t>
      </w:r>
      <w:r w:rsidRPr="00DA3766">
        <w:rPr>
          <w:spacing w:val="-4"/>
        </w:rPr>
        <w:t>26,143.18</w:t>
      </w:r>
      <w:r w:rsidRPr="00DA3766">
        <w:rPr>
          <w:spacing w:val="-4"/>
        </w:rPr>
        <w:t>万元基本一致，具有商业合理性。</w:t>
      </w:r>
    </w:p>
    <w:p w14:paraId="7258E530" w14:textId="13340DF1" w:rsidR="008778CC" w:rsidRPr="00DA3766" w:rsidRDefault="00F62AD1" w:rsidP="008A1B9E">
      <w:pPr>
        <w:pStyle w:val="005"/>
        <w:spacing w:before="120" w:after="120"/>
        <w:ind w:firstLine="480"/>
      </w:pPr>
      <w:r w:rsidRPr="00DA3766">
        <w:t>综上所述，徐德强转让给乐哈哈的股权因存在一半赠予员工持股平台的预留激励池，其整体对应标的公司估值为其通过乐哈哈后续转让给外部投资者股权对应</w:t>
      </w:r>
      <w:r w:rsidR="007B0B46" w:rsidRPr="00DA3766">
        <w:t>标的</w:t>
      </w:r>
      <w:r w:rsidRPr="00DA3766">
        <w:t>公司估值的一半，具有合理性。</w:t>
      </w:r>
    </w:p>
    <w:p w14:paraId="5F387728" w14:textId="4F079950" w:rsidR="008778CC" w:rsidRPr="00DA3766" w:rsidRDefault="00F62AD1" w:rsidP="008778CC">
      <w:pPr>
        <w:pStyle w:val="004"/>
        <w:spacing w:before="120" w:after="120"/>
        <w:ind w:firstLine="482"/>
      </w:pPr>
      <w:r w:rsidRPr="00DA3766">
        <w:lastRenderedPageBreak/>
        <w:t>2</w:t>
      </w:r>
      <w:r w:rsidR="008778CC" w:rsidRPr="00DA3766">
        <w:t>、同受让方与转让方不存在关联关系或其他利益关系，不存在利益输送，价格公允</w:t>
      </w:r>
    </w:p>
    <w:p w14:paraId="3E55D1A0" w14:textId="77777777" w:rsidR="008778CC" w:rsidRPr="00DA3766" w:rsidRDefault="008778CC" w:rsidP="008A1B9E">
      <w:pPr>
        <w:pStyle w:val="005"/>
        <w:spacing w:before="120" w:after="120"/>
        <w:ind w:firstLine="480"/>
      </w:pPr>
      <w:r w:rsidRPr="00DA3766">
        <w:t>乐哈哈系标的公司员工持股平台，</w:t>
      </w:r>
      <w:r w:rsidRPr="00DA3766">
        <w:t>2017</w:t>
      </w:r>
      <w:r w:rsidRPr="00DA3766">
        <w:t>年</w:t>
      </w:r>
      <w:r w:rsidRPr="00DA3766">
        <w:t>9</w:t>
      </w:r>
      <w:r w:rsidRPr="00DA3766">
        <w:t>月股权转让时其内部合伙人为陈耿豪、张杰波，后该员工持股平台陆续实施股权激励，合伙人均为标的公司受激励员工，截至本回复出具日，乐哈哈的出资结构如下：</w:t>
      </w:r>
    </w:p>
    <w:tbl>
      <w:tblPr>
        <w:tblStyle w:val="29"/>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2125"/>
        <w:gridCol w:w="2088"/>
        <w:gridCol w:w="1884"/>
        <w:gridCol w:w="1681"/>
      </w:tblGrid>
      <w:tr w:rsidR="008778CC" w:rsidRPr="00DA3766" w14:paraId="71F0D1D7" w14:textId="77777777" w:rsidTr="00DA3766">
        <w:trPr>
          <w:trHeight w:val="397"/>
          <w:jc w:val="center"/>
        </w:trPr>
        <w:tc>
          <w:tcPr>
            <w:tcW w:w="750" w:type="dxa"/>
            <w:tcMar>
              <w:top w:w="0" w:type="dxa"/>
              <w:left w:w="108" w:type="dxa"/>
              <w:bottom w:w="0" w:type="dxa"/>
              <w:right w:w="108" w:type="dxa"/>
            </w:tcMar>
            <w:vAlign w:val="center"/>
          </w:tcPr>
          <w:p w14:paraId="7D57CA8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2125" w:type="dxa"/>
            <w:tcMar>
              <w:top w:w="0" w:type="dxa"/>
              <w:left w:w="108" w:type="dxa"/>
              <w:bottom w:w="0" w:type="dxa"/>
              <w:right w:w="108" w:type="dxa"/>
            </w:tcMar>
            <w:vAlign w:val="center"/>
          </w:tcPr>
          <w:p w14:paraId="2C0284D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2088" w:type="dxa"/>
            <w:tcMar>
              <w:top w:w="0" w:type="dxa"/>
              <w:left w:w="108" w:type="dxa"/>
              <w:bottom w:w="0" w:type="dxa"/>
              <w:right w:w="108" w:type="dxa"/>
            </w:tcMar>
            <w:vAlign w:val="center"/>
          </w:tcPr>
          <w:p w14:paraId="77AF5BF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1884" w:type="dxa"/>
            <w:tcMar>
              <w:top w:w="0" w:type="dxa"/>
              <w:left w:w="108" w:type="dxa"/>
              <w:bottom w:w="0" w:type="dxa"/>
              <w:right w:w="108" w:type="dxa"/>
            </w:tcMar>
            <w:vAlign w:val="center"/>
          </w:tcPr>
          <w:p w14:paraId="1D67D21F"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认缴出资额（元）</w:t>
            </w:r>
          </w:p>
        </w:tc>
        <w:tc>
          <w:tcPr>
            <w:tcW w:w="1681" w:type="dxa"/>
            <w:tcMar>
              <w:top w:w="0" w:type="dxa"/>
              <w:left w:w="108" w:type="dxa"/>
              <w:bottom w:w="0" w:type="dxa"/>
              <w:right w:w="108" w:type="dxa"/>
            </w:tcMar>
            <w:vAlign w:val="center"/>
          </w:tcPr>
          <w:p w14:paraId="32F4BC8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8778CC" w:rsidRPr="00DA3766" w14:paraId="0D6DEEB4" w14:textId="77777777" w:rsidTr="00DA3766">
        <w:trPr>
          <w:trHeight w:val="397"/>
          <w:jc w:val="center"/>
        </w:trPr>
        <w:tc>
          <w:tcPr>
            <w:tcW w:w="750" w:type="dxa"/>
            <w:tcMar>
              <w:top w:w="0" w:type="dxa"/>
              <w:left w:w="108" w:type="dxa"/>
              <w:bottom w:w="0" w:type="dxa"/>
              <w:right w:w="108" w:type="dxa"/>
            </w:tcMar>
            <w:vAlign w:val="center"/>
          </w:tcPr>
          <w:p w14:paraId="3EAF26A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2125" w:type="dxa"/>
            <w:tcMar>
              <w:top w:w="0" w:type="dxa"/>
              <w:left w:w="108" w:type="dxa"/>
              <w:bottom w:w="0" w:type="dxa"/>
              <w:right w:w="108" w:type="dxa"/>
            </w:tcMar>
            <w:vAlign w:val="center"/>
          </w:tcPr>
          <w:p w14:paraId="606AD71E"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唐小卓</w:t>
            </w:r>
          </w:p>
        </w:tc>
        <w:tc>
          <w:tcPr>
            <w:tcW w:w="2088" w:type="dxa"/>
            <w:tcMar>
              <w:top w:w="0" w:type="dxa"/>
              <w:left w:w="108" w:type="dxa"/>
              <w:bottom w:w="0" w:type="dxa"/>
              <w:right w:w="108" w:type="dxa"/>
            </w:tcMar>
            <w:vAlign w:val="center"/>
          </w:tcPr>
          <w:p w14:paraId="7DCB7CC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sz w:val="21"/>
                <w:szCs w:val="21"/>
                <w:lang w:bidi="ar"/>
              </w:rPr>
              <w:t>执行事务合伙人</w:t>
            </w:r>
          </w:p>
        </w:tc>
        <w:tc>
          <w:tcPr>
            <w:tcW w:w="1884" w:type="dxa"/>
            <w:tcMar>
              <w:top w:w="0" w:type="dxa"/>
              <w:left w:w="108" w:type="dxa"/>
              <w:bottom w:w="0" w:type="dxa"/>
              <w:right w:w="108" w:type="dxa"/>
            </w:tcMar>
            <w:vAlign w:val="center"/>
          </w:tcPr>
          <w:p w14:paraId="027FBBB0"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7950021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w:t>
            </w:r>
          </w:p>
        </w:tc>
      </w:tr>
      <w:tr w:rsidR="008778CC" w:rsidRPr="00DA3766" w14:paraId="1C08E198" w14:textId="77777777" w:rsidTr="00DA3766">
        <w:trPr>
          <w:trHeight w:val="397"/>
          <w:jc w:val="center"/>
        </w:trPr>
        <w:tc>
          <w:tcPr>
            <w:tcW w:w="750" w:type="dxa"/>
            <w:tcMar>
              <w:top w:w="0" w:type="dxa"/>
              <w:left w:w="108" w:type="dxa"/>
              <w:bottom w:w="0" w:type="dxa"/>
              <w:right w:w="108" w:type="dxa"/>
            </w:tcMar>
            <w:vAlign w:val="center"/>
          </w:tcPr>
          <w:p w14:paraId="4D6B239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2125" w:type="dxa"/>
            <w:tcMar>
              <w:top w:w="0" w:type="dxa"/>
              <w:left w:w="108" w:type="dxa"/>
              <w:bottom w:w="0" w:type="dxa"/>
              <w:right w:w="108" w:type="dxa"/>
            </w:tcMar>
            <w:vAlign w:val="center"/>
          </w:tcPr>
          <w:p w14:paraId="22422F07"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刘名敏</w:t>
            </w:r>
          </w:p>
        </w:tc>
        <w:tc>
          <w:tcPr>
            <w:tcW w:w="2088" w:type="dxa"/>
            <w:tcMar>
              <w:top w:w="0" w:type="dxa"/>
              <w:left w:w="108" w:type="dxa"/>
              <w:bottom w:w="0" w:type="dxa"/>
              <w:right w:w="108" w:type="dxa"/>
            </w:tcMar>
            <w:vAlign w:val="center"/>
          </w:tcPr>
          <w:p w14:paraId="6012F61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2777BF7"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3,433.00</w:t>
            </w:r>
          </w:p>
        </w:tc>
        <w:tc>
          <w:tcPr>
            <w:tcW w:w="1681" w:type="dxa"/>
            <w:tcMar>
              <w:top w:w="0" w:type="dxa"/>
              <w:left w:w="108" w:type="dxa"/>
              <w:bottom w:w="0" w:type="dxa"/>
              <w:right w:w="108" w:type="dxa"/>
            </w:tcMar>
            <w:vAlign w:val="center"/>
          </w:tcPr>
          <w:p w14:paraId="4CDB81A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50.70</w:t>
            </w:r>
          </w:p>
        </w:tc>
      </w:tr>
      <w:tr w:rsidR="008778CC" w:rsidRPr="00DA3766" w14:paraId="4463249C" w14:textId="77777777" w:rsidTr="00DA3766">
        <w:trPr>
          <w:trHeight w:val="397"/>
          <w:jc w:val="center"/>
        </w:trPr>
        <w:tc>
          <w:tcPr>
            <w:tcW w:w="750" w:type="dxa"/>
            <w:tcMar>
              <w:top w:w="0" w:type="dxa"/>
              <w:left w:w="108" w:type="dxa"/>
              <w:bottom w:w="0" w:type="dxa"/>
              <w:right w:w="108" w:type="dxa"/>
            </w:tcMar>
            <w:vAlign w:val="center"/>
          </w:tcPr>
          <w:p w14:paraId="1BC3517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2125" w:type="dxa"/>
            <w:tcMar>
              <w:top w:w="0" w:type="dxa"/>
              <w:left w:w="108" w:type="dxa"/>
              <w:bottom w:w="0" w:type="dxa"/>
              <w:right w:w="108" w:type="dxa"/>
            </w:tcMar>
            <w:vAlign w:val="center"/>
          </w:tcPr>
          <w:p w14:paraId="2F194CD9"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朱国强</w:t>
            </w:r>
          </w:p>
        </w:tc>
        <w:tc>
          <w:tcPr>
            <w:tcW w:w="2088" w:type="dxa"/>
            <w:tcMar>
              <w:top w:w="0" w:type="dxa"/>
              <w:left w:w="108" w:type="dxa"/>
              <w:bottom w:w="0" w:type="dxa"/>
              <w:right w:w="108" w:type="dxa"/>
            </w:tcMar>
            <w:vAlign w:val="center"/>
          </w:tcPr>
          <w:p w14:paraId="78A5FC0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12C227D5"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2,272.00</w:t>
            </w:r>
          </w:p>
        </w:tc>
        <w:tc>
          <w:tcPr>
            <w:tcW w:w="1681" w:type="dxa"/>
            <w:tcMar>
              <w:top w:w="0" w:type="dxa"/>
              <w:left w:w="108" w:type="dxa"/>
              <w:bottom w:w="0" w:type="dxa"/>
              <w:right w:w="108" w:type="dxa"/>
            </w:tcMar>
            <w:vAlign w:val="center"/>
          </w:tcPr>
          <w:p w14:paraId="3D7ECBF4"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33.55</w:t>
            </w:r>
          </w:p>
        </w:tc>
      </w:tr>
      <w:tr w:rsidR="008778CC" w:rsidRPr="00DA3766" w14:paraId="3BD83B38" w14:textId="77777777" w:rsidTr="00DA3766">
        <w:trPr>
          <w:trHeight w:val="397"/>
          <w:jc w:val="center"/>
        </w:trPr>
        <w:tc>
          <w:tcPr>
            <w:tcW w:w="750" w:type="dxa"/>
            <w:tcMar>
              <w:top w:w="0" w:type="dxa"/>
              <w:left w:w="108" w:type="dxa"/>
              <w:bottom w:w="0" w:type="dxa"/>
              <w:right w:w="108" w:type="dxa"/>
            </w:tcMar>
            <w:vAlign w:val="center"/>
          </w:tcPr>
          <w:p w14:paraId="2A804DC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2125" w:type="dxa"/>
            <w:tcMar>
              <w:top w:w="0" w:type="dxa"/>
              <w:left w:w="108" w:type="dxa"/>
              <w:bottom w:w="0" w:type="dxa"/>
              <w:right w:w="108" w:type="dxa"/>
            </w:tcMar>
            <w:vAlign w:val="center"/>
          </w:tcPr>
          <w:p w14:paraId="17340A8F"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杨振彪</w:t>
            </w:r>
          </w:p>
        </w:tc>
        <w:tc>
          <w:tcPr>
            <w:tcW w:w="2088" w:type="dxa"/>
            <w:tcMar>
              <w:top w:w="0" w:type="dxa"/>
              <w:left w:w="108" w:type="dxa"/>
              <w:bottom w:w="0" w:type="dxa"/>
              <w:right w:w="108" w:type="dxa"/>
            </w:tcMar>
            <w:vAlign w:val="center"/>
          </w:tcPr>
          <w:p w14:paraId="4285C5D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2102FA22"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0A42B2F6"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53F8A884" w14:textId="77777777" w:rsidTr="00DA3766">
        <w:trPr>
          <w:trHeight w:val="397"/>
          <w:jc w:val="center"/>
        </w:trPr>
        <w:tc>
          <w:tcPr>
            <w:tcW w:w="750" w:type="dxa"/>
            <w:tcMar>
              <w:top w:w="0" w:type="dxa"/>
              <w:left w:w="108" w:type="dxa"/>
              <w:bottom w:w="0" w:type="dxa"/>
              <w:right w:w="108" w:type="dxa"/>
            </w:tcMar>
            <w:vAlign w:val="center"/>
          </w:tcPr>
          <w:p w14:paraId="7164A17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2125" w:type="dxa"/>
            <w:tcMar>
              <w:top w:w="0" w:type="dxa"/>
              <w:left w:w="108" w:type="dxa"/>
              <w:bottom w:w="0" w:type="dxa"/>
              <w:right w:w="108" w:type="dxa"/>
            </w:tcMar>
            <w:vAlign w:val="center"/>
          </w:tcPr>
          <w:p w14:paraId="3C9449EC"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陈泽彬</w:t>
            </w:r>
          </w:p>
        </w:tc>
        <w:tc>
          <w:tcPr>
            <w:tcW w:w="2088" w:type="dxa"/>
            <w:tcMar>
              <w:top w:w="0" w:type="dxa"/>
              <w:left w:w="108" w:type="dxa"/>
              <w:bottom w:w="0" w:type="dxa"/>
              <w:right w:w="108" w:type="dxa"/>
            </w:tcMar>
            <w:vAlign w:val="center"/>
          </w:tcPr>
          <w:p w14:paraId="1FE4B2FC"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23B335A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2D1D314A"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66707399" w14:textId="77777777" w:rsidTr="00DA3766">
        <w:trPr>
          <w:trHeight w:val="397"/>
          <w:jc w:val="center"/>
        </w:trPr>
        <w:tc>
          <w:tcPr>
            <w:tcW w:w="750" w:type="dxa"/>
            <w:tcMar>
              <w:top w:w="0" w:type="dxa"/>
              <w:left w:w="108" w:type="dxa"/>
              <w:bottom w:w="0" w:type="dxa"/>
              <w:right w:w="108" w:type="dxa"/>
            </w:tcMar>
            <w:vAlign w:val="center"/>
          </w:tcPr>
          <w:p w14:paraId="0565B87B"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2125" w:type="dxa"/>
            <w:tcMar>
              <w:top w:w="0" w:type="dxa"/>
              <w:left w:w="108" w:type="dxa"/>
              <w:bottom w:w="0" w:type="dxa"/>
              <w:right w:w="108" w:type="dxa"/>
            </w:tcMar>
            <w:vAlign w:val="center"/>
          </w:tcPr>
          <w:p w14:paraId="2A630912"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伍蒋峰</w:t>
            </w:r>
          </w:p>
        </w:tc>
        <w:tc>
          <w:tcPr>
            <w:tcW w:w="2088" w:type="dxa"/>
            <w:tcMar>
              <w:top w:w="0" w:type="dxa"/>
              <w:left w:w="108" w:type="dxa"/>
              <w:bottom w:w="0" w:type="dxa"/>
              <w:right w:w="108" w:type="dxa"/>
            </w:tcMar>
            <w:vAlign w:val="center"/>
          </w:tcPr>
          <w:p w14:paraId="345FCED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A8E8C4E"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29A97EC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339A1C1F" w14:textId="77777777" w:rsidTr="00DA3766">
        <w:trPr>
          <w:trHeight w:val="397"/>
          <w:jc w:val="center"/>
        </w:trPr>
        <w:tc>
          <w:tcPr>
            <w:tcW w:w="750" w:type="dxa"/>
            <w:tcMar>
              <w:top w:w="0" w:type="dxa"/>
              <w:left w:w="108" w:type="dxa"/>
              <w:bottom w:w="0" w:type="dxa"/>
              <w:right w:w="108" w:type="dxa"/>
            </w:tcMar>
            <w:vAlign w:val="center"/>
          </w:tcPr>
          <w:p w14:paraId="030FAB5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7</w:t>
            </w:r>
          </w:p>
        </w:tc>
        <w:tc>
          <w:tcPr>
            <w:tcW w:w="2125" w:type="dxa"/>
            <w:tcMar>
              <w:top w:w="0" w:type="dxa"/>
              <w:left w:w="108" w:type="dxa"/>
              <w:bottom w:w="0" w:type="dxa"/>
              <w:right w:w="108" w:type="dxa"/>
            </w:tcMar>
            <w:vAlign w:val="center"/>
          </w:tcPr>
          <w:p w14:paraId="0B2D24FD"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谢福明</w:t>
            </w:r>
          </w:p>
        </w:tc>
        <w:tc>
          <w:tcPr>
            <w:tcW w:w="2088" w:type="dxa"/>
            <w:tcMar>
              <w:top w:w="0" w:type="dxa"/>
              <w:left w:w="108" w:type="dxa"/>
              <w:bottom w:w="0" w:type="dxa"/>
              <w:right w:w="108" w:type="dxa"/>
            </w:tcMar>
            <w:vAlign w:val="center"/>
          </w:tcPr>
          <w:p w14:paraId="5DF0C57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78D468F8"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07CBE197"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CC8DFC9" w14:textId="77777777" w:rsidTr="00DA3766">
        <w:trPr>
          <w:trHeight w:val="397"/>
          <w:jc w:val="center"/>
        </w:trPr>
        <w:tc>
          <w:tcPr>
            <w:tcW w:w="750" w:type="dxa"/>
            <w:tcMar>
              <w:top w:w="0" w:type="dxa"/>
              <w:left w:w="108" w:type="dxa"/>
              <w:bottom w:w="0" w:type="dxa"/>
              <w:right w:w="108" w:type="dxa"/>
            </w:tcMar>
            <w:vAlign w:val="center"/>
          </w:tcPr>
          <w:p w14:paraId="3A35A8E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8</w:t>
            </w:r>
          </w:p>
        </w:tc>
        <w:tc>
          <w:tcPr>
            <w:tcW w:w="2125" w:type="dxa"/>
            <w:tcMar>
              <w:top w:w="0" w:type="dxa"/>
              <w:left w:w="108" w:type="dxa"/>
              <w:bottom w:w="0" w:type="dxa"/>
              <w:right w:w="108" w:type="dxa"/>
            </w:tcMar>
            <w:vAlign w:val="center"/>
          </w:tcPr>
          <w:p w14:paraId="379E79DE"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陈珠虹</w:t>
            </w:r>
          </w:p>
        </w:tc>
        <w:tc>
          <w:tcPr>
            <w:tcW w:w="2088" w:type="dxa"/>
            <w:tcMar>
              <w:top w:w="0" w:type="dxa"/>
              <w:left w:w="108" w:type="dxa"/>
              <w:bottom w:w="0" w:type="dxa"/>
              <w:right w:w="108" w:type="dxa"/>
            </w:tcMar>
            <w:vAlign w:val="center"/>
          </w:tcPr>
          <w:p w14:paraId="55B6177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45AECD3A"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5E040F39"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93865E8" w14:textId="77777777" w:rsidTr="00DA3766">
        <w:trPr>
          <w:trHeight w:val="397"/>
          <w:jc w:val="center"/>
        </w:trPr>
        <w:tc>
          <w:tcPr>
            <w:tcW w:w="750" w:type="dxa"/>
            <w:tcMar>
              <w:top w:w="0" w:type="dxa"/>
              <w:left w:w="108" w:type="dxa"/>
              <w:bottom w:w="0" w:type="dxa"/>
              <w:right w:w="108" w:type="dxa"/>
            </w:tcMar>
            <w:vAlign w:val="center"/>
          </w:tcPr>
          <w:p w14:paraId="213E194F"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9</w:t>
            </w:r>
          </w:p>
        </w:tc>
        <w:tc>
          <w:tcPr>
            <w:tcW w:w="2125" w:type="dxa"/>
            <w:tcMar>
              <w:top w:w="0" w:type="dxa"/>
              <w:left w:w="108" w:type="dxa"/>
              <w:bottom w:w="0" w:type="dxa"/>
              <w:right w:w="108" w:type="dxa"/>
            </w:tcMar>
            <w:vAlign w:val="center"/>
          </w:tcPr>
          <w:p w14:paraId="665DA5C4"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王维</w:t>
            </w:r>
          </w:p>
        </w:tc>
        <w:tc>
          <w:tcPr>
            <w:tcW w:w="2088" w:type="dxa"/>
            <w:tcMar>
              <w:top w:w="0" w:type="dxa"/>
              <w:left w:w="108" w:type="dxa"/>
              <w:bottom w:w="0" w:type="dxa"/>
              <w:right w:w="108" w:type="dxa"/>
            </w:tcMar>
            <w:vAlign w:val="center"/>
          </w:tcPr>
          <w:p w14:paraId="31AD47A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FA22695"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6AAF1152"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E7FE3FB" w14:textId="77777777" w:rsidTr="00DA3766">
        <w:trPr>
          <w:trHeight w:val="397"/>
          <w:jc w:val="center"/>
        </w:trPr>
        <w:tc>
          <w:tcPr>
            <w:tcW w:w="750" w:type="dxa"/>
            <w:tcMar>
              <w:top w:w="0" w:type="dxa"/>
              <w:left w:w="108" w:type="dxa"/>
              <w:bottom w:w="0" w:type="dxa"/>
              <w:right w:w="108" w:type="dxa"/>
            </w:tcMar>
            <w:vAlign w:val="center"/>
          </w:tcPr>
          <w:p w14:paraId="63AA5D6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10</w:t>
            </w:r>
          </w:p>
        </w:tc>
        <w:tc>
          <w:tcPr>
            <w:tcW w:w="2125" w:type="dxa"/>
            <w:tcMar>
              <w:top w:w="0" w:type="dxa"/>
              <w:left w:w="108" w:type="dxa"/>
              <w:bottom w:w="0" w:type="dxa"/>
              <w:right w:w="108" w:type="dxa"/>
            </w:tcMar>
            <w:vAlign w:val="center"/>
          </w:tcPr>
          <w:p w14:paraId="19CF313C"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谢仲东</w:t>
            </w:r>
          </w:p>
        </w:tc>
        <w:tc>
          <w:tcPr>
            <w:tcW w:w="2088" w:type="dxa"/>
            <w:tcMar>
              <w:top w:w="0" w:type="dxa"/>
              <w:left w:w="108" w:type="dxa"/>
              <w:bottom w:w="0" w:type="dxa"/>
              <w:right w:w="108" w:type="dxa"/>
            </w:tcMar>
            <w:vAlign w:val="center"/>
          </w:tcPr>
          <w:p w14:paraId="3CA0905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76CDD5EE"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65.39</w:t>
            </w:r>
          </w:p>
        </w:tc>
        <w:tc>
          <w:tcPr>
            <w:tcW w:w="1681" w:type="dxa"/>
            <w:tcMar>
              <w:top w:w="0" w:type="dxa"/>
              <w:left w:w="108" w:type="dxa"/>
              <w:bottom w:w="0" w:type="dxa"/>
              <w:right w:w="108" w:type="dxa"/>
            </w:tcMar>
            <w:vAlign w:val="center"/>
          </w:tcPr>
          <w:p w14:paraId="51950F7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0.97</w:t>
            </w:r>
          </w:p>
        </w:tc>
      </w:tr>
      <w:tr w:rsidR="008778CC" w:rsidRPr="00DA3766" w14:paraId="749F45D4" w14:textId="77777777" w:rsidTr="00DA3766">
        <w:trPr>
          <w:trHeight w:val="397"/>
          <w:jc w:val="center"/>
        </w:trPr>
        <w:tc>
          <w:tcPr>
            <w:tcW w:w="750" w:type="dxa"/>
            <w:tcMar>
              <w:top w:w="0" w:type="dxa"/>
              <w:left w:w="108" w:type="dxa"/>
              <w:bottom w:w="0" w:type="dxa"/>
              <w:right w:w="108" w:type="dxa"/>
            </w:tcMar>
            <w:vAlign w:val="center"/>
          </w:tcPr>
          <w:p w14:paraId="6B5A0F8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11</w:t>
            </w:r>
          </w:p>
        </w:tc>
        <w:tc>
          <w:tcPr>
            <w:tcW w:w="2125" w:type="dxa"/>
            <w:tcMar>
              <w:top w:w="0" w:type="dxa"/>
              <w:left w:w="108" w:type="dxa"/>
              <w:bottom w:w="0" w:type="dxa"/>
              <w:right w:w="108" w:type="dxa"/>
            </w:tcMar>
            <w:vAlign w:val="center"/>
          </w:tcPr>
          <w:p w14:paraId="7912140A"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2088" w:type="dxa"/>
            <w:tcMar>
              <w:top w:w="0" w:type="dxa"/>
              <w:left w:w="108" w:type="dxa"/>
              <w:bottom w:w="0" w:type="dxa"/>
              <w:right w:w="108" w:type="dxa"/>
            </w:tcMar>
            <w:vAlign w:val="center"/>
          </w:tcPr>
          <w:p w14:paraId="4597C2C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6A187C4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6.70</w:t>
            </w:r>
          </w:p>
        </w:tc>
        <w:tc>
          <w:tcPr>
            <w:tcW w:w="1681" w:type="dxa"/>
            <w:tcMar>
              <w:top w:w="0" w:type="dxa"/>
              <w:left w:w="108" w:type="dxa"/>
              <w:bottom w:w="0" w:type="dxa"/>
              <w:right w:w="108" w:type="dxa"/>
            </w:tcMar>
            <w:vAlign w:val="center"/>
          </w:tcPr>
          <w:p w14:paraId="4865634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0.10</w:t>
            </w:r>
          </w:p>
        </w:tc>
      </w:tr>
      <w:tr w:rsidR="008778CC" w:rsidRPr="00DA3766" w14:paraId="529866F9" w14:textId="77777777" w:rsidTr="00DA3766">
        <w:trPr>
          <w:trHeight w:val="397"/>
          <w:jc w:val="center"/>
        </w:trPr>
        <w:tc>
          <w:tcPr>
            <w:tcW w:w="4963" w:type="dxa"/>
            <w:gridSpan w:val="3"/>
            <w:tcMar>
              <w:top w:w="0" w:type="dxa"/>
              <w:left w:w="108" w:type="dxa"/>
              <w:bottom w:w="0" w:type="dxa"/>
              <w:right w:w="108" w:type="dxa"/>
            </w:tcMar>
            <w:vAlign w:val="center"/>
          </w:tcPr>
          <w:p w14:paraId="1D46D37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1884" w:type="dxa"/>
            <w:tcMar>
              <w:top w:w="0" w:type="dxa"/>
              <w:left w:w="108" w:type="dxa"/>
              <w:bottom w:w="0" w:type="dxa"/>
              <w:right w:w="108" w:type="dxa"/>
            </w:tcMar>
            <w:vAlign w:val="center"/>
          </w:tcPr>
          <w:p w14:paraId="412A98F3"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6,771.00</w:t>
            </w:r>
          </w:p>
        </w:tc>
        <w:tc>
          <w:tcPr>
            <w:tcW w:w="1681" w:type="dxa"/>
            <w:tcMar>
              <w:top w:w="0" w:type="dxa"/>
              <w:left w:w="108" w:type="dxa"/>
              <w:bottom w:w="0" w:type="dxa"/>
              <w:right w:w="108" w:type="dxa"/>
            </w:tcMar>
            <w:vAlign w:val="center"/>
          </w:tcPr>
          <w:p w14:paraId="1A3A88A2"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3BB33A2B" w14:textId="5C5F32DF" w:rsidR="008778CC" w:rsidRPr="00DA3766" w:rsidRDefault="008778CC" w:rsidP="008A1B9E">
      <w:pPr>
        <w:pStyle w:val="005"/>
        <w:spacing w:before="120" w:after="120"/>
        <w:ind w:firstLine="480"/>
      </w:pPr>
      <w:r w:rsidRPr="00DA3766">
        <w:t>南通成为长青为</w:t>
      </w:r>
      <w:r w:rsidR="008144F1" w:rsidRPr="00DA3766">
        <w:t>标的</w:t>
      </w:r>
      <w:r w:rsidRPr="00DA3766">
        <w:t>公司外部机构投资人，属于中国证券基金业协会备案的私募基金（基金编号为</w:t>
      </w:r>
      <w:r w:rsidRPr="00DA3766">
        <w:t>SN4782</w:t>
      </w:r>
      <w:r w:rsidRPr="00DA3766">
        <w:t>），其基金管理人为上海成为常青私募基金管理有限公司，截至本回复出具日，其出资结构如下：</w:t>
      </w:r>
    </w:p>
    <w:tbl>
      <w:tblPr>
        <w:tblStyle w:val="29"/>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805"/>
        <w:gridCol w:w="2074"/>
        <w:gridCol w:w="1688"/>
        <w:gridCol w:w="2128"/>
        <w:gridCol w:w="1833"/>
      </w:tblGrid>
      <w:tr w:rsidR="008778CC" w:rsidRPr="00DA3766" w14:paraId="72940B9A" w14:textId="77777777" w:rsidTr="00DA3766">
        <w:trPr>
          <w:trHeight w:val="397"/>
          <w:tblHeader/>
          <w:jc w:val="center"/>
        </w:trPr>
        <w:tc>
          <w:tcPr>
            <w:tcW w:w="805" w:type="dxa"/>
            <w:tcMar>
              <w:top w:w="0" w:type="dxa"/>
              <w:left w:w="108" w:type="dxa"/>
              <w:bottom w:w="0" w:type="dxa"/>
              <w:right w:w="108" w:type="dxa"/>
            </w:tcMar>
            <w:vAlign w:val="center"/>
          </w:tcPr>
          <w:p w14:paraId="65CB6A0C"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2074" w:type="dxa"/>
            <w:tcMar>
              <w:top w:w="0" w:type="dxa"/>
              <w:left w:w="108" w:type="dxa"/>
              <w:bottom w:w="0" w:type="dxa"/>
              <w:right w:w="108" w:type="dxa"/>
            </w:tcMar>
            <w:vAlign w:val="center"/>
          </w:tcPr>
          <w:p w14:paraId="47B033D0"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1688" w:type="dxa"/>
            <w:tcMar>
              <w:top w:w="0" w:type="dxa"/>
              <w:left w:w="108" w:type="dxa"/>
              <w:bottom w:w="0" w:type="dxa"/>
              <w:right w:w="108" w:type="dxa"/>
            </w:tcMar>
            <w:vAlign w:val="center"/>
          </w:tcPr>
          <w:p w14:paraId="4DC08A2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2128" w:type="dxa"/>
            <w:tcMar>
              <w:top w:w="0" w:type="dxa"/>
              <w:left w:w="108" w:type="dxa"/>
              <w:bottom w:w="0" w:type="dxa"/>
              <w:right w:w="108" w:type="dxa"/>
            </w:tcMar>
            <w:vAlign w:val="center"/>
          </w:tcPr>
          <w:p w14:paraId="6E80E0F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认缴出资额（万元）</w:t>
            </w:r>
          </w:p>
        </w:tc>
        <w:tc>
          <w:tcPr>
            <w:tcW w:w="1833" w:type="dxa"/>
            <w:tcMar>
              <w:top w:w="0" w:type="dxa"/>
              <w:left w:w="108" w:type="dxa"/>
              <w:bottom w:w="0" w:type="dxa"/>
              <w:right w:w="108" w:type="dxa"/>
            </w:tcMar>
            <w:vAlign w:val="center"/>
          </w:tcPr>
          <w:p w14:paraId="61436C0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8778CC" w:rsidRPr="00DA3766" w14:paraId="11C1839A" w14:textId="77777777" w:rsidTr="00DA3766">
        <w:trPr>
          <w:trHeight w:val="397"/>
          <w:jc w:val="center"/>
        </w:trPr>
        <w:tc>
          <w:tcPr>
            <w:tcW w:w="805" w:type="dxa"/>
            <w:tcMar>
              <w:top w:w="0" w:type="dxa"/>
              <w:left w:w="108" w:type="dxa"/>
              <w:bottom w:w="0" w:type="dxa"/>
              <w:right w:w="108" w:type="dxa"/>
            </w:tcMar>
            <w:vAlign w:val="center"/>
          </w:tcPr>
          <w:p w14:paraId="348E029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2074" w:type="dxa"/>
            <w:tcMar>
              <w:top w:w="0" w:type="dxa"/>
              <w:left w:w="108" w:type="dxa"/>
              <w:bottom w:w="0" w:type="dxa"/>
              <w:right w:w="108" w:type="dxa"/>
            </w:tcMar>
            <w:vAlign w:val="center"/>
          </w:tcPr>
          <w:p w14:paraId="4706273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上海成为常青私募基金管理有限公司</w:t>
            </w:r>
          </w:p>
        </w:tc>
        <w:tc>
          <w:tcPr>
            <w:tcW w:w="1688" w:type="dxa"/>
            <w:tcMar>
              <w:top w:w="0" w:type="dxa"/>
              <w:left w:w="108" w:type="dxa"/>
              <w:bottom w:w="0" w:type="dxa"/>
              <w:right w:w="108" w:type="dxa"/>
            </w:tcMar>
            <w:vAlign w:val="center"/>
          </w:tcPr>
          <w:p w14:paraId="521AF99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执行事务合伙人</w:t>
            </w:r>
          </w:p>
        </w:tc>
        <w:tc>
          <w:tcPr>
            <w:tcW w:w="2128" w:type="dxa"/>
            <w:tcMar>
              <w:top w:w="0" w:type="dxa"/>
              <w:left w:w="108" w:type="dxa"/>
              <w:bottom w:w="0" w:type="dxa"/>
              <w:right w:w="108" w:type="dxa"/>
            </w:tcMar>
            <w:vAlign w:val="center"/>
          </w:tcPr>
          <w:p w14:paraId="6FE6E24F"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150.00</w:t>
            </w:r>
          </w:p>
        </w:tc>
        <w:tc>
          <w:tcPr>
            <w:tcW w:w="1833" w:type="dxa"/>
            <w:tcMar>
              <w:top w:w="0" w:type="dxa"/>
              <w:left w:w="108" w:type="dxa"/>
              <w:bottom w:w="0" w:type="dxa"/>
              <w:right w:w="108" w:type="dxa"/>
            </w:tcMar>
            <w:vAlign w:val="center"/>
          </w:tcPr>
          <w:p w14:paraId="0784EE95"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0.12</w:t>
            </w:r>
          </w:p>
        </w:tc>
      </w:tr>
      <w:tr w:rsidR="008778CC" w:rsidRPr="00DA3766" w14:paraId="59C948BD" w14:textId="77777777" w:rsidTr="00DA3766">
        <w:trPr>
          <w:trHeight w:val="397"/>
          <w:jc w:val="center"/>
        </w:trPr>
        <w:tc>
          <w:tcPr>
            <w:tcW w:w="805" w:type="dxa"/>
            <w:tcMar>
              <w:top w:w="0" w:type="dxa"/>
              <w:left w:w="108" w:type="dxa"/>
              <w:bottom w:w="0" w:type="dxa"/>
              <w:right w:w="108" w:type="dxa"/>
            </w:tcMar>
            <w:vAlign w:val="center"/>
          </w:tcPr>
          <w:p w14:paraId="47E26AA2"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2074" w:type="dxa"/>
            <w:tcMar>
              <w:top w:w="0" w:type="dxa"/>
              <w:left w:w="108" w:type="dxa"/>
              <w:bottom w:w="0" w:type="dxa"/>
              <w:right w:w="108" w:type="dxa"/>
            </w:tcMar>
            <w:vAlign w:val="center"/>
          </w:tcPr>
          <w:p w14:paraId="5421B1D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蒋劭清</w:t>
            </w:r>
          </w:p>
        </w:tc>
        <w:tc>
          <w:tcPr>
            <w:tcW w:w="1688" w:type="dxa"/>
            <w:tcMar>
              <w:top w:w="0" w:type="dxa"/>
              <w:left w:w="108" w:type="dxa"/>
              <w:bottom w:w="0" w:type="dxa"/>
              <w:right w:w="108" w:type="dxa"/>
            </w:tcMar>
            <w:vAlign w:val="center"/>
          </w:tcPr>
          <w:p w14:paraId="2BAFD7D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13F884C3"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78,000.00</w:t>
            </w:r>
          </w:p>
        </w:tc>
        <w:tc>
          <w:tcPr>
            <w:tcW w:w="1833" w:type="dxa"/>
            <w:tcMar>
              <w:top w:w="0" w:type="dxa"/>
              <w:left w:w="108" w:type="dxa"/>
              <w:bottom w:w="0" w:type="dxa"/>
              <w:right w:w="108" w:type="dxa"/>
            </w:tcMar>
            <w:vAlign w:val="center"/>
          </w:tcPr>
          <w:p w14:paraId="4009FA04"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60.00</w:t>
            </w:r>
          </w:p>
        </w:tc>
      </w:tr>
      <w:tr w:rsidR="008778CC" w:rsidRPr="00DA3766" w14:paraId="5A7943AC" w14:textId="77777777" w:rsidTr="00DA3766">
        <w:trPr>
          <w:trHeight w:val="397"/>
          <w:jc w:val="center"/>
        </w:trPr>
        <w:tc>
          <w:tcPr>
            <w:tcW w:w="805" w:type="dxa"/>
            <w:tcMar>
              <w:top w:w="0" w:type="dxa"/>
              <w:left w:w="108" w:type="dxa"/>
              <w:bottom w:w="0" w:type="dxa"/>
              <w:right w:w="108" w:type="dxa"/>
            </w:tcMar>
            <w:vAlign w:val="center"/>
          </w:tcPr>
          <w:p w14:paraId="19F859F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2074" w:type="dxa"/>
            <w:tcMar>
              <w:top w:w="0" w:type="dxa"/>
              <w:left w:w="108" w:type="dxa"/>
              <w:bottom w:w="0" w:type="dxa"/>
              <w:right w:w="108" w:type="dxa"/>
            </w:tcMar>
            <w:vAlign w:val="center"/>
          </w:tcPr>
          <w:p w14:paraId="67A05ABB"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吴敏慧</w:t>
            </w:r>
          </w:p>
        </w:tc>
        <w:tc>
          <w:tcPr>
            <w:tcW w:w="1688" w:type="dxa"/>
            <w:tcMar>
              <w:top w:w="0" w:type="dxa"/>
              <w:left w:w="108" w:type="dxa"/>
              <w:bottom w:w="0" w:type="dxa"/>
              <w:right w:w="108" w:type="dxa"/>
            </w:tcMar>
            <w:vAlign w:val="center"/>
          </w:tcPr>
          <w:p w14:paraId="0DC5976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704DC0E6"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44,700.00</w:t>
            </w:r>
          </w:p>
        </w:tc>
        <w:tc>
          <w:tcPr>
            <w:tcW w:w="1833" w:type="dxa"/>
            <w:tcMar>
              <w:top w:w="0" w:type="dxa"/>
              <w:left w:w="108" w:type="dxa"/>
              <w:bottom w:w="0" w:type="dxa"/>
              <w:right w:w="108" w:type="dxa"/>
            </w:tcMar>
            <w:vAlign w:val="center"/>
          </w:tcPr>
          <w:p w14:paraId="71EE3522"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34.38</w:t>
            </w:r>
          </w:p>
        </w:tc>
      </w:tr>
      <w:tr w:rsidR="008778CC" w:rsidRPr="00DA3766" w14:paraId="3489DD53" w14:textId="77777777" w:rsidTr="00DA3766">
        <w:trPr>
          <w:trHeight w:val="397"/>
          <w:jc w:val="center"/>
        </w:trPr>
        <w:tc>
          <w:tcPr>
            <w:tcW w:w="805" w:type="dxa"/>
            <w:tcMar>
              <w:top w:w="0" w:type="dxa"/>
              <w:left w:w="108" w:type="dxa"/>
              <w:bottom w:w="0" w:type="dxa"/>
              <w:right w:w="108" w:type="dxa"/>
            </w:tcMar>
            <w:vAlign w:val="center"/>
          </w:tcPr>
          <w:p w14:paraId="7926141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2074" w:type="dxa"/>
            <w:tcMar>
              <w:top w:w="0" w:type="dxa"/>
              <w:left w:w="108" w:type="dxa"/>
              <w:bottom w:w="0" w:type="dxa"/>
              <w:right w:w="108" w:type="dxa"/>
            </w:tcMar>
            <w:vAlign w:val="center"/>
          </w:tcPr>
          <w:p w14:paraId="44DDCB2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苏蕾</w:t>
            </w:r>
          </w:p>
        </w:tc>
        <w:tc>
          <w:tcPr>
            <w:tcW w:w="1688" w:type="dxa"/>
            <w:tcMar>
              <w:top w:w="0" w:type="dxa"/>
              <w:left w:w="108" w:type="dxa"/>
              <w:bottom w:w="0" w:type="dxa"/>
              <w:right w:w="108" w:type="dxa"/>
            </w:tcMar>
            <w:vAlign w:val="center"/>
          </w:tcPr>
          <w:p w14:paraId="0BC7DA3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0D0AF5D4"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 xml:space="preserve">7,150.00 </w:t>
            </w:r>
          </w:p>
        </w:tc>
        <w:tc>
          <w:tcPr>
            <w:tcW w:w="1833" w:type="dxa"/>
            <w:tcMar>
              <w:top w:w="0" w:type="dxa"/>
              <w:left w:w="108" w:type="dxa"/>
              <w:bottom w:w="0" w:type="dxa"/>
              <w:right w:w="108" w:type="dxa"/>
            </w:tcMar>
            <w:vAlign w:val="center"/>
          </w:tcPr>
          <w:p w14:paraId="78857FEF"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5.50</w:t>
            </w:r>
          </w:p>
        </w:tc>
      </w:tr>
      <w:tr w:rsidR="008778CC" w:rsidRPr="00DA3766" w14:paraId="5A24709B" w14:textId="77777777" w:rsidTr="00DA3766">
        <w:trPr>
          <w:trHeight w:val="397"/>
          <w:jc w:val="center"/>
        </w:trPr>
        <w:tc>
          <w:tcPr>
            <w:tcW w:w="4567" w:type="dxa"/>
            <w:gridSpan w:val="3"/>
            <w:tcMar>
              <w:top w:w="0" w:type="dxa"/>
              <w:left w:w="108" w:type="dxa"/>
              <w:bottom w:w="0" w:type="dxa"/>
              <w:right w:w="108" w:type="dxa"/>
            </w:tcMar>
            <w:vAlign w:val="center"/>
          </w:tcPr>
          <w:p w14:paraId="27FC896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2128" w:type="dxa"/>
            <w:tcMar>
              <w:top w:w="0" w:type="dxa"/>
              <w:left w:w="108" w:type="dxa"/>
              <w:bottom w:w="0" w:type="dxa"/>
              <w:right w:w="108" w:type="dxa"/>
            </w:tcMar>
            <w:vAlign w:val="center"/>
          </w:tcPr>
          <w:p w14:paraId="1E2FFC80"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130,000.00</w:t>
            </w:r>
          </w:p>
        </w:tc>
        <w:tc>
          <w:tcPr>
            <w:tcW w:w="1833" w:type="dxa"/>
            <w:tcMar>
              <w:top w:w="0" w:type="dxa"/>
              <w:left w:w="108" w:type="dxa"/>
              <w:bottom w:w="0" w:type="dxa"/>
              <w:right w:w="108" w:type="dxa"/>
            </w:tcMar>
            <w:vAlign w:val="center"/>
          </w:tcPr>
          <w:p w14:paraId="31F68A4D"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4300D2D5" w14:textId="77777777" w:rsidR="008778CC" w:rsidRPr="00DA3766" w:rsidRDefault="008778CC" w:rsidP="008A1B9E">
      <w:pPr>
        <w:pStyle w:val="005"/>
        <w:spacing w:before="120" w:after="120"/>
        <w:ind w:firstLine="480"/>
      </w:pPr>
      <w:r w:rsidRPr="00DA3766">
        <w:t>经核查，乐哈哈与转让方徐德强及受让方南通成为长青之间不存在关联关系。</w:t>
      </w:r>
    </w:p>
    <w:p w14:paraId="11A51E22" w14:textId="719165D4" w:rsidR="008778CC" w:rsidRPr="00DA3766" w:rsidRDefault="008778CC" w:rsidP="008A1B9E">
      <w:pPr>
        <w:pStyle w:val="005"/>
        <w:spacing w:before="120" w:after="120"/>
        <w:ind w:firstLine="480"/>
      </w:pPr>
      <w:r w:rsidRPr="00DA3766">
        <w:t>徐德强、乐哈哈、南通成为长青之间的股权转让，系由徐德强与标的公司协商一致，决定由标的公司协调投资人最终承接受让徐德强一半股权，并由徐德强</w:t>
      </w:r>
      <w:r w:rsidRPr="00DA3766">
        <w:lastRenderedPageBreak/>
        <w:t>赠予一半股权作为预留激励池用于未来股权激励，不存在利益输送情形。</w:t>
      </w:r>
    </w:p>
    <w:p w14:paraId="0681AF49" w14:textId="62934EA2" w:rsidR="008778CC" w:rsidRPr="00DA3766" w:rsidRDefault="008778CC" w:rsidP="008A1B9E">
      <w:pPr>
        <w:pStyle w:val="005"/>
        <w:spacing w:before="120" w:after="120"/>
        <w:ind w:firstLine="480"/>
      </w:pPr>
      <w:r w:rsidRPr="00DA3766">
        <w:t>徐德强作为创始人股东之一，其因个人资金需求转让退出部分持股，但存在由</w:t>
      </w:r>
      <w:r w:rsidR="007B0B46" w:rsidRPr="00DA3766">
        <w:t>标的</w:t>
      </w:r>
      <w:r w:rsidRPr="00DA3766">
        <w:t>公司协调投资人最终承接的需求，同时，为促进标的公司良性发展，由</w:t>
      </w:r>
      <w:r w:rsidR="007B0B46" w:rsidRPr="00DA3766">
        <w:t>标的</w:t>
      </w:r>
      <w:r w:rsidRPr="00DA3766">
        <w:t>公司与之协商由徐德强赠予部分股权作为预留激励池用于未来股权激励，具有合理性。</w:t>
      </w:r>
    </w:p>
    <w:p w14:paraId="6B1A136C" w14:textId="7AE4CB86" w:rsidR="008778CC" w:rsidRPr="00DA3766" w:rsidRDefault="008778CC" w:rsidP="008A1B9E">
      <w:pPr>
        <w:pStyle w:val="005"/>
        <w:spacing w:before="120" w:after="120"/>
        <w:ind w:firstLine="480"/>
        <w:rPr>
          <w:kern w:val="0"/>
          <w:szCs w:val="24"/>
        </w:rPr>
      </w:pPr>
      <w:r w:rsidRPr="00DA3766">
        <w:rPr>
          <w:kern w:val="0"/>
          <w:szCs w:val="24"/>
        </w:rPr>
        <w:t>同时，徐德强通过乐哈哈最终转让给南通成为长青的股权作价系由徐德强、</w:t>
      </w:r>
      <w:r w:rsidR="008144F1" w:rsidRPr="00DA3766">
        <w:rPr>
          <w:kern w:val="0"/>
          <w:szCs w:val="24"/>
        </w:rPr>
        <w:t>标的</w:t>
      </w:r>
      <w:r w:rsidRPr="00DA3766">
        <w:rPr>
          <w:kern w:val="0"/>
          <w:szCs w:val="24"/>
        </w:rPr>
        <w:t>公司、南通成为长青共同商议决定，南通成为长青受让乐哈哈股权对应</w:t>
      </w:r>
      <w:r w:rsidR="007B0B46" w:rsidRPr="00DA3766">
        <w:rPr>
          <w:kern w:val="0"/>
          <w:szCs w:val="24"/>
        </w:rPr>
        <w:t>标的</w:t>
      </w:r>
      <w:r w:rsidRPr="00DA3766">
        <w:rPr>
          <w:kern w:val="0"/>
          <w:szCs w:val="24"/>
        </w:rPr>
        <w:t>公司估值与南通成为长青</w:t>
      </w:r>
      <w:r w:rsidRPr="00DA3766">
        <w:rPr>
          <w:kern w:val="0"/>
          <w:szCs w:val="24"/>
        </w:rPr>
        <w:t>2017</w:t>
      </w:r>
      <w:r w:rsidRPr="00DA3766">
        <w:rPr>
          <w:kern w:val="0"/>
          <w:szCs w:val="24"/>
        </w:rPr>
        <w:t>年</w:t>
      </w:r>
      <w:r w:rsidRPr="00DA3766">
        <w:rPr>
          <w:kern w:val="0"/>
          <w:szCs w:val="24"/>
        </w:rPr>
        <w:t>7</w:t>
      </w:r>
      <w:r w:rsidRPr="00DA3766">
        <w:rPr>
          <w:kern w:val="0"/>
          <w:szCs w:val="24"/>
        </w:rPr>
        <w:t>月增资入股时的投后估值基本一致，价格公允。</w:t>
      </w:r>
    </w:p>
    <w:p w14:paraId="77266035" w14:textId="483C7C3C" w:rsidR="008778CC" w:rsidRPr="00DA3766" w:rsidRDefault="00F62AD1" w:rsidP="008778CC">
      <w:pPr>
        <w:pStyle w:val="004"/>
        <w:spacing w:before="120" w:after="120"/>
        <w:ind w:firstLine="482"/>
      </w:pPr>
      <w:r w:rsidRPr="00DA3766">
        <w:t>3</w:t>
      </w:r>
      <w:r w:rsidR="008778CC" w:rsidRPr="00DA3766">
        <w:t>、乐哈哈受让</w:t>
      </w:r>
      <w:r w:rsidR="004B2E60" w:rsidRPr="00DA3766">
        <w:t>股份后续实施股权激励计划时</w:t>
      </w:r>
      <w:r w:rsidR="008778CC" w:rsidRPr="00DA3766">
        <w:t>构成股份支付，已计提相关费用，费用计提充分、准确、完整，申报文件中相关财务数据准确</w:t>
      </w:r>
    </w:p>
    <w:p w14:paraId="40AC099E" w14:textId="175225E2" w:rsidR="008778CC" w:rsidRPr="00DA3766" w:rsidRDefault="008778CC" w:rsidP="007D6CF8">
      <w:pPr>
        <w:pStyle w:val="005"/>
        <w:spacing w:before="120" w:after="120"/>
        <w:ind w:firstLine="464"/>
        <w:rPr>
          <w:spacing w:val="-4"/>
        </w:rPr>
      </w:pPr>
      <w:r w:rsidRPr="00DA3766">
        <w:rPr>
          <w:spacing w:val="-4"/>
        </w:rPr>
        <w:t>乐哈哈系</w:t>
      </w:r>
      <w:r w:rsidR="007B0B46" w:rsidRPr="00DA3766">
        <w:rPr>
          <w:spacing w:val="-4"/>
        </w:rPr>
        <w:t>标的</w:t>
      </w:r>
      <w:r w:rsidRPr="00DA3766">
        <w:rPr>
          <w:spacing w:val="-4"/>
        </w:rPr>
        <w:t>公司持股员工持股平台，徐德强所转让股权当中一半为赠予乐哈哈作为预留激励池用于未来股权激励，标的公司在后续股权激励授予当中已进行股份支付费用计提，计提费用</w:t>
      </w:r>
      <w:r w:rsidR="004B2E60" w:rsidRPr="00DA3766">
        <w:rPr>
          <w:spacing w:val="-4"/>
        </w:rPr>
        <w:t>充分</w:t>
      </w:r>
      <w:r w:rsidRPr="00DA3766">
        <w:rPr>
          <w:spacing w:val="-4"/>
        </w:rPr>
        <w:t>、准确、完整，申报文件中相关财务数据准确</w:t>
      </w:r>
      <w:r w:rsidR="00176D50" w:rsidRPr="00DA3766">
        <w:rPr>
          <w:spacing w:val="-4"/>
        </w:rPr>
        <w:t>。</w:t>
      </w:r>
      <w:r w:rsidR="004B2E60" w:rsidRPr="00DA3766">
        <w:rPr>
          <w:spacing w:val="-4"/>
        </w:rPr>
        <w:t>股份支付费用计提情况</w:t>
      </w:r>
      <w:r w:rsidRPr="00DA3766">
        <w:rPr>
          <w:spacing w:val="-4"/>
        </w:rPr>
        <w:t>详见本回复</w:t>
      </w:r>
      <w:r w:rsidR="004B2E60" w:rsidRPr="00DA3766">
        <w:rPr>
          <w:spacing w:val="-4"/>
        </w:rPr>
        <w:t>之</w:t>
      </w:r>
      <w:r w:rsidR="004B2E60" w:rsidRPr="00DA3766">
        <w:rPr>
          <w:rFonts w:ascii="宋体" w:hAnsi="宋体"/>
          <w:spacing w:val="-4"/>
        </w:rPr>
        <w:t>“</w:t>
      </w:r>
      <w:r w:rsidR="004B2E60" w:rsidRPr="00DA3766">
        <w:rPr>
          <w:spacing w:val="-4"/>
        </w:rPr>
        <w:t>问题</w:t>
      </w:r>
      <w:r w:rsidR="004B2E60" w:rsidRPr="00DA3766">
        <w:rPr>
          <w:spacing w:val="-4"/>
        </w:rPr>
        <w:t>8</w:t>
      </w:r>
      <w:r w:rsidR="004B2E60" w:rsidRPr="00DA3766">
        <w:rPr>
          <w:rFonts w:ascii="宋体" w:hAnsi="宋体"/>
          <w:spacing w:val="-4"/>
        </w:rPr>
        <w:t>”</w:t>
      </w:r>
      <w:r w:rsidR="004B2E60" w:rsidRPr="00DA3766">
        <w:rPr>
          <w:spacing w:val="-4"/>
        </w:rPr>
        <w:t>之</w:t>
      </w:r>
      <w:r w:rsidR="004B2E60" w:rsidRPr="00DA3766">
        <w:rPr>
          <w:rFonts w:ascii="宋体" w:hAnsi="宋体"/>
          <w:spacing w:val="-4"/>
        </w:rPr>
        <w:t>“</w:t>
      </w:r>
      <w:r w:rsidR="004B2E60" w:rsidRPr="00DA3766">
        <w:rPr>
          <w:spacing w:val="-4"/>
        </w:rPr>
        <w:t>一、详细列示补充标的资产及前身历次增资及股权转让的具体情况，作价是否公允，标的资产管理层及相关持股平台入股是否存在股份支付，股份支付费用计提是否准确，申报文件中相关财务数据是否准确</w:t>
      </w:r>
      <w:r w:rsidR="004B2E60" w:rsidRPr="00DA3766">
        <w:rPr>
          <w:rFonts w:ascii="宋体" w:hAnsi="宋体"/>
          <w:spacing w:val="-4"/>
        </w:rPr>
        <w:t>”</w:t>
      </w:r>
      <w:r w:rsidR="004B2E60" w:rsidRPr="00DA3766">
        <w:rPr>
          <w:spacing w:val="-4"/>
        </w:rPr>
        <w:t>之</w:t>
      </w:r>
      <w:r w:rsidR="004B2E60" w:rsidRPr="00DA3766">
        <w:rPr>
          <w:rFonts w:ascii="宋体" w:hAnsi="宋体"/>
          <w:spacing w:val="-4"/>
        </w:rPr>
        <w:t>“</w:t>
      </w:r>
      <w:r w:rsidR="004B2E60" w:rsidRPr="00DA3766">
        <w:rPr>
          <w:spacing w:val="-4"/>
        </w:rPr>
        <w:t>标的资产管理层及相关持股平台入股是否存在股份支付，股份支付费用计提是否准确，申报文件中相关财务数据是否准确</w:t>
      </w:r>
      <w:r w:rsidR="004B2E60" w:rsidRPr="00DA3766">
        <w:rPr>
          <w:rFonts w:ascii="宋体" w:hAnsi="宋体"/>
          <w:spacing w:val="-4"/>
        </w:rPr>
        <w:t>”</w:t>
      </w:r>
      <w:r w:rsidR="004B2E60" w:rsidRPr="00DA3766">
        <w:rPr>
          <w:spacing w:val="-4"/>
        </w:rPr>
        <w:t>相关</w:t>
      </w:r>
      <w:r w:rsidRPr="00DA3766">
        <w:rPr>
          <w:spacing w:val="-4"/>
        </w:rPr>
        <w:t>内容。</w:t>
      </w:r>
    </w:p>
    <w:p w14:paraId="45CBEA14" w14:textId="22F9CA37" w:rsidR="008778CC" w:rsidRPr="00DA3766" w:rsidRDefault="008778CC" w:rsidP="008778CC">
      <w:pPr>
        <w:pStyle w:val="005"/>
        <w:spacing w:before="120" w:after="120"/>
        <w:ind w:firstLine="480"/>
      </w:pPr>
      <w:r w:rsidRPr="00DA3766">
        <w:t>乐哈哈转让股权给南通成为长青属于市场投资行为，不构成股份支付。</w:t>
      </w:r>
      <w:bookmarkEnd w:id="233"/>
    </w:p>
    <w:p w14:paraId="35094E9D" w14:textId="1D9A2EC8" w:rsidR="008778CC" w:rsidRPr="00DA3766" w:rsidRDefault="004B2E60" w:rsidP="004B2E60">
      <w:pPr>
        <w:pStyle w:val="003"/>
        <w:spacing w:before="120" w:after="120"/>
        <w:ind w:firstLine="482"/>
      </w:pPr>
      <w:r w:rsidRPr="00DA3766">
        <w:t>（二）乐腾腾在受让次日即转让相关情况</w:t>
      </w:r>
    </w:p>
    <w:p w14:paraId="7505A783" w14:textId="25DDA882" w:rsidR="004B2E60" w:rsidRPr="00DA3766" w:rsidRDefault="00F95086" w:rsidP="004B2E60">
      <w:pPr>
        <w:pStyle w:val="004"/>
        <w:spacing w:before="120" w:after="120"/>
        <w:ind w:firstLine="482"/>
      </w:pPr>
      <w:bookmarkStart w:id="234" w:name="_Hlk219373630"/>
      <w:r w:rsidRPr="00DA3766">
        <w:t>1</w:t>
      </w:r>
      <w:r w:rsidR="004B2E60" w:rsidRPr="00DA3766">
        <w:t>、</w:t>
      </w:r>
      <w:r w:rsidRPr="00DA3766">
        <w:t>受让与转让对应的估值存在差异的原因及商业合理性</w:t>
      </w:r>
    </w:p>
    <w:p w14:paraId="26FAC82A" w14:textId="58C77A03" w:rsidR="004B2E60" w:rsidRPr="00DA3766" w:rsidRDefault="004B2E60" w:rsidP="008A1B9E">
      <w:pPr>
        <w:pStyle w:val="005"/>
        <w:spacing w:before="120" w:after="120"/>
        <w:ind w:firstLine="480"/>
      </w:pPr>
      <w:r w:rsidRPr="00DA3766">
        <w:t>2021</w:t>
      </w:r>
      <w:r w:rsidRPr="00DA3766">
        <w:t>年</w:t>
      </w:r>
      <w:r w:rsidRPr="00DA3766">
        <w:t>3</w:t>
      </w:r>
      <w:r w:rsidRPr="00DA3766">
        <w:t>月，标的公司同行业可比公司涂鸦智能于纽交所上市，上市首日收盘价对应市值</w:t>
      </w:r>
      <w:r w:rsidRPr="00DA3766">
        <w:t>139.94</w:t>
      </w:r>
      <w:r w:rsidRPr="00DA3766">
        <w:t>亿美元，</w:t>
      </w:r>
      <w:r w:rsidRPr="00DA3766">
        <w:t>IoT</w:t>
      </w:r>
      <w:r w:rsidRPr="00DA3766">
        <w:t>行业</w:t>
      </w:r>
      <w:r w:rsidR="00107723" w:rsidRPr="00DA3766">
        <w:t>备</w:t>
      </w:r>
      <w:r w:rsidRPr="00DA3766">
        <w:t>受市场青睐</w:t>
      </w:r>
      <w:r w:rsidR="00681648" w:rsidRPr="00DA3766">
        <w:t>，</w:t>
      </w:r>
      <w:r w:rsidRPr="00DA3766">
        <w:t>众多投资机构看好与涂鸦智能属同行业的标的公司</w:t>
      </w:r>
      <w:r w:rsidR="00681648" w:rsidRPr="00DA3766">
        <w:t>。鉴于</w:t>
      </w:r>
      <w:r w:rsidRPr="00DA3766">
        <w:t>标的公司</w:t>
      </w:r>
      <w:r w:rsidRPr="00DA3766">
        <w:t>2021</w:t>
      </w:r>
      <w:r w:rsidRPr="00DA3766">
        <w:t>年</w:t>
      </w:r>
      <w:r w:rsidRPr="00DA3766">
        <w:t>7</w:t>
      </w:r>
      <w:r w:rsidRPr="00DA3766">
        <w:t>月刚完成</w:t>
      </w:r>
      <w:r w:rsidRPr="00DA3766">
        <w:t>D</w:t>
      </w:r>
      <w:r w:rsidRPr="00DA3766">
        <w:t>轮融资，为减少股份稀释影响同时引入新的投资者，</w:t>
      </w:r>
      <w:r w:rsidR="00107723" w:rsidRPr="00DA3766">
        <w:t>且彼时</w:t>
      </w:r>
      <w:r w:rsidRPr="00DA3766">
        <w:t>深圳市前海千意智合三期及乐</w:t>
      </w:r>
      <w:r w:rsidR="00B9064B" w:rsidRPr="00DA3766">
        <w:t>摇</w:t>
      </w:r>
      <w:r w:rsidR="00107723" w:rsidRPr="00DA3766">
        <w:t>上层</w:t>
      </w:r>
      <w:r w:rsidRPr="00DA3766">
        <w:t>合伙人广州科学城创业投资管理有限公司存在退出诉求</w:t>
      </w:r>
      <w:r w:rsidR="00107723" w:rsidRPr="00DA3766">
        <w:t>，</w:t>
      </w:r>
      <w:r w:rsidRPr="00DA3766">
        <w:t>经标的公司撮合，由乐腾腾</w:t>
      </w:r>
      <w:r w:rsidR="00F95086" w:rsidRPr="00DA3766">
        <w:t>于</w:t>
      </w:r>
      <w:r w:rsidR="00F95086" w:rsidRPr="00DA3766">
        <w:t>2021</w:t>
      </w:r>
      <w:r w:rsidR="00F95086" w:rsidRPr="00DA3766">
        <w:t>年</w:t>
      </w:r>
      <w:r w:rsidR="00F95086" w:rsidRPr="00DA3766">
        <w:t>10</w:t>
      </w:r>
      <w:r w:rsidR="00F95086" w:rsidRPr="00DA3766">
        <w:t>月</w:t>
      </w:r>
      <w:r w:rsidR="00F95086" w:rsidRPr="00DA3766">
        <w:t>25</w:t>
      </w:r>
      <w:r w:rsidR="00F95086" w:rsidRPr="00DA3766">
        <w:t>日</w:t>
      </w:r>
      <w:r w:rsidRPr="00DA3766">
        <w:t>受让深圳市前海千意智合三期转让退出的股权及广</w:t>
      </w:r>
      <w:r w:rsidRPr="00DA3766">
        <w:lastRenderedPageBreak/>
        <w:t>州科学城创业投资管理有限公司退出份额所对应乐</w:t>
      </w:r>
      <w:r w:rsidR="00B9064B" w:rsidRPr="00DA3766">
        <w:t>摇</w:t>
      </w:r>
      <w:r w:rsidRPr="00DA3766">
        <w:t>持有的股权后，</w:t>
      </w:r>
      <w:r w:rsidR="00F95086" w:rsidRPr="00DA3766">
        <w:t>于</w:t>
      </w:r>
      <w:r w:rsidR="00F95086" w:rsidRPr="00DA3766">
        <w:t>2021</w:t>
      </w:r>
      <w:r w:rsidR="00F95086" w:rsidRPr="00DA3766">
        <w:t>年</w:t>
      </w:r>
      <w:r w:rsidR="00F95086" w:rsidRPr="00DA3766">
        <w:t>10</w:t>
      </w:r>
      <w:r w:rsidR="00F95086" w:rsidRPr="00DA3766">
        <w:t>月</w:t>
      </w:r>
      <w:r w:rsidR="00F95086" w:rsidRPr="00DA3766">
        <w:t>26</w:t>
      </w:r>
      <w:r w:rsidR="00F95086" w:rsidRPr="00DA3766">
        <w:t>日</w:t>
      </w:r>
      <w:r w:rsidRPr="00DA3766">
        <w:t>转让给</w:t>
      </w:r>
      <w:r w:rsidRPr="00DA3766">
        <w:t>D+</w:t>
      </w:r>
      <w:r w:rsidRPr="00DA3766">
        <w:t>轮投资者，转让股权后剩余部分</w:t>
      </w:r>
      <w:r w:rsidR="00F95086" w:rsidRPr="00DA3766">
        <w:t>将</w:t>
      </w:r>
      <w:r w:rsidRPr="00DA3766">
        <w:t>用于标的公司未来股权激励。</w:t>
      </w:r>
      <w:r w:rsidR="00F95086" w:rsidRPr="00DA3766">
        <w:t>乐腾腾本次受让</w:t>
      </w:r>
      <w:bookmarkStart w:id="235" w:name="OLE_LINK57"/>
      <w:r w:rsidR="00F95086" w:rsidRPr="00DA3766">
        <w:t>深圳市</w:t>
      </w:r>
      <w:r w:rsidRPr="00DA3766">
        <w:t>前海千意智合三期退出股权及广州科学城创业投资管理有限公司</w:t>
      </w:r>
      <w:bookmarkEnd w:id="235"/>
      <w:r w:rsidRPr="00DA3766">
        <w:t>通过乐摇</w:t>
      </w:r>
      <w:r w:rsidR="00F95086" w:rsidRPr="00DA3766">
        <w:t>间接</w:t>
      </w:r>
      <w:r w:rsidRPr="00DA3766">
        <w:t>退出</w:t>
      </w:r>
      <w:r w:rsidR="00F95086" w:rsidRPr="00DA3766">
        <w:t>的股权</w:t>
      </w:r>
      <w:r w:rsidRPr="00DA3766">
        <w:t>作价系由转让各方协商确定，对应标的公司估值为</w:t>
      </w:r>
      <w:r w:rsidRPr="00DA3766">
        <w:t>163,755.46</w:t>
      </w:r>
      <w:r w:rsidRPr="00DA3766">
        <w:t>万元，虽略低于</w:t>
      </w:r>
      <w:r w:rsidRPr="00DA3766">
        <w:t>2021</w:t>
      </w:r>
      <w:r w:rsidRPr="00DA3766">
        <w:t>年</w:t>
      </w:r>
      <w:r w:rsidRPr="00DA3766">
        <w:t>8</w:t>
      </w:r>
      <w:r w:rsidRPr="00DA3766">
        <w:t>月标的公司</w:t>
      </w:r>
      <w:r w:rsidRPr="00DA3766">
        <w:t>D</w:t>
      </w:r>
      <w:r w:rsidRPr="00DA3766">
        <w:t>轮融资估值</w:t>
      </w:r>
      <w:r w:rsidRPr="00DA3766">
        <w:t>192,658.69</w:t>
      </w:r>
      <w:r w:rsidRPr="00DA3766">
        <w:t>万元，但远高于其投资入股时标的公司估值（深圳市前海千意智合三期系于</w:t>
      </w:r>
      <w:r w:rsidRPr="00DA3766">
        <w:t>2018</w:t>
      </w:r>
      <w:r w:rsidRPr="00DA3766">
        <w:t>年</w:t>
      </w:r>
      <w:r w:rsidRPr="00DA3766">
        <w:t>6</w:t>
      </w:r>
      <w:r w:rsidRPr="00DA3766">
        <w:t>月增资入股标的公司，其入股对应标的公司估值为</w:t>
      </w:r>
      <w:r w:rsidRPr="00DA3766">
        <w:t>45,000.00</w:t>
      </w:r>
      <w:r w:rsidRPr="00DA3766">
        <w:t>万元</w:t>
      </w:r>
      <w:r w:rsidR="00681648" w:rsidRPr="00DA3766">
        <w:t>；</w:t>
      </w:r>
      <w:r w:rsidRPr="00DA3766">
        <w:t>广州科学城创业投资管理有限公司系于</w:t>
      </w:r>
      <w:r w:rsidRPr="00DA3766">
        <w:t>2019</w:t>
      </w:r>
      <w:r w:rsidRPr="00DA3766">
        <w:t>年</w:t>
      </w:r>
      <w:r w:rsidRPr="00DA3766">
        <w:t>1</w:t>
      </w:r>
      <w:r w:rsidRPr="00DA3766">
        <w:t>月通过受让乐摇合伙人合伙份额方式间接入股标的公司，其入股对应标的公司估值为</w:t>
      </w:r>
      <w:r w:rsidRPr="00DA3766">
        <w:t>3.15</w:t>
      </w:r>
      <w:r w:rsidRPr="00DA3766">
        <w:t>亿元），价格具有商业合理性。</w:t>
      </w:r>
    </w:p>
    <w:p w14:paraId="7DDDB8DD" w14:textId="77A09D5A" w:rsidR="004B2E60" w:rsidRPr="00DA3766" w:rsidRDefault="004B2E60" w:rsidP="008A1B9E">
      <w:pPr>
        <w:pStyle w:val="005"/>
        <w:spacing w:before="120" w:after="120"/>
        <w:ind w:firstLine="480"/>
      </w:pPr>
      <w:r w:rsidRPr="00DA3766">
        <w:t>经标的公司撮合，员工持股平台乐腾腾在受让前述股权后，将其中部分股权转让给</w:t>
      </w:r>
      <w:r w:rsidRPr="00DA3766">
        <w:t>D+</w:t>
      </w:r>
      <w:r w:rsidRPr="00DA3766">
        <w:t>轮投资人，所得资金用于支付其受让深圳市前海千意智合三期及乐摇股权对价，作价估值</w:t>
      </w:r>
      <w:r w:rsidRPr="00DA3766">
        <w:t>192,641.11</w:t>
      </w:r>
      <w:r w:rsidRPr="00DA3766">
        <w:t>万元系参照</w:t>
      </w:r>
      <w:r w:rsidRPr="00DA3766">
        <w:t>2021</w:t>
      </w:r>
      <w:r w:rsidRPr="00DA3766">
        <w:t>年</w:t>
      </w:r>
      <w:r w:rsidRPr="00DA3766">
        <w:t>8</w:t>
      </w:r>
      <w:r w:rsidRPr="00DA3766">
        <w:t>月标的公司</w:t>
      </w:r>
      <w:r w:rsidRPr="00DA3766">
        <w:t>D</w:t>
      </w:r>
      <w:r w:rsidRPr="00DA3766">
        <w:t>轮融资估值协商确定，价格具有商业合理性。</w:t>
      </w:r>
    </w:p>
    <w:p w14:paraId="3E09ECAC" w14:textId="67C184D9" w:rsidR="004B2E60" w:rsidRPr="00DA3766" w:rsidRDefault="004B2E60" w:rsidP="008A1B9E">
      <w:pPr>
        <w:pStyle w:val="005"/>
        <w:spacing w:before="120" w:after="120"/>
        <w:ind w:firstLine="480"/>
      </w:pPr>
      <w:r w:rsidRPr="00DA3766">
        <w:t>综上所述，乐腾腾受让及转让作价均系与转让及受让对方协商确定，均具有商业合理性，其受让作价对应估值虽略低于其转让作价，考虑到乐腾腾受让及转让背景及</w:t>
      </w:r>
      <w:r w:rsidR="00107723" w:rsidRPr="00DA3766">
        <w:t>标的</w:t>
      </w:r>
      <w:r w:rsidRPr="00DA3766">
        <w:t>公司撮合作用，该等差异具有合理性。</w:t>
      </w:r>
    </w:p>
    <w:p w14:paraId="1DC95C07" w14:textId="06125C1E" w:rsidR="004B2E60" w:rsidRPr="00DA3766" w:rsidRDefault="00F95086" w:rsidP="007D6CF8">
      <w:pPr>
        <w:pStyle w:val="004"/>
        <w:keepNext w:val="0"/>
        <w:spacing w:before="120" w:after="120"/>
        <w:ind w:firstLine="482"/>
      </w:pPr>
      <w:r w:rsidRPr="00DA3766">
        <w:t>2</w:t>
      </w:r>
      <w:r w:rsidR="004B2E60" w:rsidRPr="00DA3766">
        <w:t>、同受让方与转让方不存在关联关系或其他利益关系，不存在利益输送，价格公允</w:t>
      </w:r>
    </w:p>
    <w:p w14:paraId="50DC2E57" w14:textId="43BF4A15" w:rsidR="004B2E60" w:rsidRPr="00DA3766" w:rsidRDefault="004B2E60" w:rsidP="008A1B9E">
      <w:pPr>
        <w:pStyle w:val="005"/>
        <w:spacing w:before="120" w:after="120"/>
        <w:ind w:firstLine="480"/>
      </w:pPr>
      <w:r w:rsidRPr="00DA3766">
        <w:t>乐腾腾系</w:t>
      </w:r>
      <w:r w:rsidR="004A761D" w:rsidRPr="00DA3766">
        <w:t>标的</w:t>
      </w:r>
      <w:r w:rsidRPr="00DA3766">
        <w:t>公司员工持股平台，</w:t>
      </w:r>
      <w:r w:rsidRPr="00DA3766">
        <w:t>2021</w:t>
      </w:r>
      <w:r w:rsidRPr="00DA3766">
        <w:t>年</w:t>
      </w:r>
      <w:r w:rsidRPr="00DA3766">
        <w:t>10</w:t>
      </w:r>
      <w:r w:rsidRPr="00DA3766">
        <w:t>月股权转让时其内部合伙人为陈耿豪、杨凯然，后该员工持股平台陆续实施股权激励，合伙人均为标的公司受激励员工，截至本回复出具日，乐腾腾的出资结构如下：</w:t>
      </w:r>
    </w:p>
    <w:tbl>
      <w:tblPr>
        <w:tblStyle w:val="300"/>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1765"/>
        <w:gridCol w:w="2076"/>
        <w:gridCol w:w="2064"/>
        <w:gridCol w:w="1873"/>
      </w:tblGrid>
      <w:tr w:rsidR="004B2E60" w:rsidRPr="00DA3766" w14:paraId="3733A986" w14:textId="77777777" w:rsidTr="007F36AF">
        <w:trPr>
          <w:trHeight w:val="397"/>
          <w:tblHeader/>
          <w:jc w:val="center"/>
        </w:trPr>
        <w:tc>
          <w:tcPr>
            <w:tcW w:w="750" w:type="dxa"/>
            <w:tcMar>
              <w:top w:w="0" w:type="dxa"/>
              <w:left w:w="108" w:type="dxa"/>
              <w:bottom w:w="0" w:type="dxa"/>
              <w:right w:w="108" w:type="dxa"/>
            </w:tcMar>
            <w:vAlign w:val="center"/>
          </w:tcPr>
          <w:p w14:paraId="29EAA97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1765" w:type="dxa"/>
            <w:tcMar>
              <w:top w:w="0" w:type="dxa"/>
              <w:left w:w="108" w:type="dxa"/>
              <w:bottom w:w="0" w:type="dxa"/>
              <w:right w:w="108" w:type="dxa"/>
            </w:tcMar>
            <w:vAlign w:val="center"/>
          </w:tcPr>
          <w:p w14:paraId="2A74A06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2076" w:type="dxa"/>
            <w:tcMar>
              <w:top w:w="0" w:type="dxa"/>
              <w:left w:w="108" w:type="dxa"/>
              <w:bottom w:w="0" w:type="dxa"/>
              <w:right w:w="108" w:type="dxa"/>
            </w:tcMar>
            <w:vAlign w:val="center"/>
          </w:tcPr>
          <w:p w14:paraId="573AB5F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2064" w:type="dxa"/>
            <w:tcMar>
              <w:top w:w="0" w:type="dxa"/>
              <w:left w:w="108" w:type="dxa"/>
              <w:bottom w:w="0" w:type="dxa"/>
              <w:right w:w="108" w:type="dxa"/>
            </w:tcMar>
            <w:vAlign w:val="center"/>
          </w:tcPr>
          <w:p w14:paraId="0264563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认缴出资额（元）</w:t>
            </w:r>
          </w:p>
        </w:tc>
        <w:tc>
          <w:tcPr>
            <w:tcW w:w="1873" w:type="dxa"/>
            <w:tcMar>
              <w:top w:w="0" w:type="dxa"/>
              <w:left w:w="108" w:type="dxa"/>
              <w:bottom w:w="0" w:type="dxa"/>
              <w:right w:w="108" w:type="dxa"/>
            </w:tcMar>
            <w:vAlign w:val="center"/>
          </w:tcPr>
          <w:p w14:paraId="5E4C7BB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4B2E60" w:rsidRPr="00DA3766" w14:paraId="5F4FECF2" w14:textId="77777777" w:rsidTr="00DA3766">
        <w:trPr>
          <w:trHeight w:val="397"/>
          <w:jc w:val="center"/>
        </w:trPr>
        <w:tc>
          <w:tcPr>
            <w:tcW w:w="750" w:type="dxa"/>
            <w:tcMar>
              <w:top w:w="0" w:type="dxa"/>
              <w:left w:w="108" w:type="dxa"/>
              <w:bottom w:w="0" w:type="dxa"/>
              <w:right w:w="108" w:type="dxa"/>
            </w:tcMar>
            <w:vAlign w:val="center"/>
          </w:tcPr>
          <w:p w14:paraId="53FB5C6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1765" w:type="dxa"/>
            <w:tcMar>
              <w:top w:w="0" w:type="dxa"/>
              <w:left w:w="108" w:type="dxa"/>
              <w:bottom w:w="0" w:type="dxa"/>
              <w:right w:w="108" w:type="dxa"/>
            </w:tcMar>
            <w:vAlign w:val="center"/>
          </w:tcPr>
          <w:p w14:paraId="6D15F79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陈伟镇</w:t>
            </w:r>
          </w:p>
        </w:tc>
        <w:tc>
          <w:tcPr>
            <w:tcW w:w="2076" w:type="dxa"/>
            <w:tcMar>
              <w:top w:w="0" w:type="dxa"/>
              <w:left w:w="108" w:type="dxa"/>
              <w:bottom w:w="0" w:type="dxa"/>
              <w:right w:w="108" w:type="dxa"/>
            </w:tcMar>
            <w:vAlign w:val="center"/>
          </w:tcPr>
          <w:p w14:paraId="7EC88A4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执行事务合伙人</w:t>
            </w:r>
          </w:p>
        </w:tc>
        <w:tc>
          <w:tcPr>
            <w:tcW w:w="2064" w:type="dxa"/>
            <w:tcMar>
              <w:top w:w="0" w:type="dxa"/>
              <w:left w:w="108" w:type="dxa"/>
              <w:bottom w:w="0" w:type="dxa"/>
              <w:right w:w="108" w:type="dxa"/>
            </w:tcMar>
            <w:vAlign w:val="center"/>
          </w:tcPr>
          <w:p w14:paraId="6E6E0D53"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35,209.00</w:t>
            </w:r>
          </w:p>
        </w:tc>
        <w:tc>
          <w:tcPr>
            <w:tcW w:w="1873" w:type="dxa"/>
            <w:tcMar>
              <w:top w:w="0" w:type="dxa"/>
              <w:left w:w="108" w:type="dxa"/>
              <w:bottom w:w="0" w:type="dxa"/>
              <w:right w:w="108" w:type="dxa"/>
            </w:tcMar>
            <w:vAlign w:val="center"/>
          </w:tcPr>
          <w:p w14:paraId="0F021E45"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16.08</w:t>
            </w:r>
          </w:p>
        </w:tc>
      </w:tr>
      <w:tr w:rsidR="004B2E60" w:rsidRPr="00DA3766" w14:paraId="16656E69" w14:textId="77777777" w:rsidTr="00DA3766">
        <w:trPr>
          <w:trHeight w:val="397"/>
          <w:jc w:val="center"/>
        </w:trPr>
        <w:tc>
          <w:tcPr>
            <w:tcW w:w="750" w:type="dxa"/>
            <w:tcMar>
              <w:top w:w="0" w:type="dxa"/>
              <w:left w:w="108" w:type="dxa"/>
              <w:bottom w:w="0" w:type="dxa"/>
              <w:right w:w="108" w:type="dxa"/>
            </w:tcMar>
            <w:vAlign w:val="center"/>
          </w:tcPr>
          <w:p w14:paraId="1841DC61"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1765" w:type="dxa"/>
            <w:tcMar>
              <w:top w:w="0" w:type="dxa"/>
              <w:left w:w="108" w:type="dxa"/>
              <w:bottom w:w="0" w:type="dxa"/>
              <w:right w:w="108" w:type="dxa"/>
            </w:tcMar>
            <w:vAlign w:val="center"/>
          </w:tcPr>
          <w:p w14:paraId="31B02E43"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林超越</w:t>
            </w:r>
          </w:p>
        </w:tc>
        <w:tc>
          <w:tcPr>
            <w:tcW w:w="2076" w:type="dxa"/>
            <w:tcMar>
              <w:top w:w="0" w:type="dxa"/>
              <w:left w:w="108" w:type="dxa"/>
              <w:bottom w:w="0" w:type="dxa"/>
              <w:right w:w="108" w:type="dxa"/>
            </w:tcMar>
            <w:vAlign w:val="center"/>
          </w:tcPr>
          <w:p w14:paraId="4EEB7C9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3B173B78"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80,556.00</w:t>
            </w:r>
          </w:p>
        </w:tc>
        <w:tc>
          <w:tcPr>
            <w:tcW w:w="1873" w:type="dxa"/>
            <w:tcMar>
              <w:top w:w="0" w:type="dxa"/>
              <w:left w:w="108" w:type="dxa"/>
              <w:bottom w:w="0" w:type="dxa"/>
              <w:right w:w="108" w:type="dxa"/>
            </w:tcMar>
            <w:vAlign w:val="center"/>
          </w:tcPr>
          <w:p w14:paraId="05512E2F"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36.79</w:t>
            </w:r>
          </w:p>
        </w:tc>
      </w:tr>
      <w:tr w:rsidR="004B2E60" w:rsidRPr="00DA3766" w14:paraId="47096D59" w14:textId="77777777" w:rsidTr="00DA3766">
        <w:trPr>
          <w:trHeight w:val="397"/>
          <w:jc w:val="center"/>
        </w:trPr>
        <w:tc>
          <w:tcPr>
            <w:tcW w:w="750" w:type="dxa"/>
            <w:tcMar>
              <w:top w:w="0" w:type="dxa"/>
              <w:left w:w="108" w:type="dxa"/>
              <w:bottom w:w="0" w:type="dxa"/>
              <w:right w:w="108" w:type="dxa"/>
            </w:tcMar>
            <w:vAlign w:val="center"/>
          </w:tcPr>
          <w:p w14:paraId="4C49618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1765" w:type="dxa"/>
            <w:tcMar>
              <w:top w:w="0" w:type="dxa"/>
              <w:left w:w="108" w:type="dxa"/>
              <w:bottom w:w="0" w:type="dxa"/>
              <w:right w:w="108" w:type="dxa"/>
            </w:tcMar>
            <w:vAlign w:val="center"/>
          </w:tcPr>
          <w:p w14:paraId="362E3D8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张超</w:t>
            </w:r>
          </w:p>
        </w:tc>
        <w:tc>
          <w:tcPr>
            <w:tcW w:w="2076" w:type="dxa"/>
            <w:tcMar>
              <w:top w:w="0" w:type="dxa"/>
              <w:left w:w="108" w:type="dxa"/>
              <w:bottom w:w="0" w:type="dxa"/>
              <w:right w:w="108" w:type="dxa"/>
            </w:tcMar>
            <w:vAlign w:val="center"/>
          </w:tcPr>
          <w:p w14:paraId="26FBF9B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BA8348E"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43,150.00</w:t>
            </w:r>
          </w:p>
        </w:tc>
        <w:tc>
          <w:tcPr>
            <w:tcW w:w="1873" w:type="dxa"/>
            <w:tcMar>
              <w:top w:w="0" w:type="dxa"/>
              <w:left w:w="108" w:type="dxa"/>
              <w:bottom w:w="0" w:type="dxa"/>
              <w:right w:w="108" w:type="dxa"/>
            </w:tcMar>
            <w:vAlign w:val="center"/>
          </w:tcPr>
          <w:p w14:paraId="6EF4F936"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19.71</w:t>
            </w:r>
          </w:p>
        </w:tc>
      </w:tr>
      <w:tr w:rsidR="004B2E60" w:rsidRPr="00DA3766" w14:paraId="39A16ACA" w14:textId="77777777" w:rsidTr="00DA3766">
        <w:trPr>
          <w:trHeight w:val="397"/>
          <w:jc w:val="center"/>
        </w:trPr>
        <w:tc>
          <w:tcPr>
            <w:tcW w:w="750" w:type="dxa"/>
            <w:tcMar>
              <w:top w:w="0" w:type="dxa"/>
              <w:left w:w="108" w:type="dxa"/>
              <w:bottom w:w="0" w:type="dxa"/>
              <w:right w:w="108" w:type="dxa"/>
            </w:tcMar>
            <w:vAlign w:val="center"/>
          </w:tcPr>
          <w:p w14:paraId="4FB4DC5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1765" w:type="dxa"/>
            <w:tcMar>
              <w:top w:w="0" w:type="dxa"/>
              <w:left w:w="108" w:type="dxa"/>
              <w:bottom w:w="0" w:type="dxa"/>
              <w:right w:w="108" w:type="dxa"/>
            </w:tcMar>
            <w:vAlign w:val="center"/>
          </w:tcPr>
          <w:p w14:paraId="68764D8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霍树森</w:t>
            </w:r>
          </w:p>
        </w:tc>
        <w:tc>
          <w:tcPr>
            <w:tcW w:w="2076" w:type="dxa"/>
            <w:tcMar>
              <w:top w:w="0" w:type="dxa"/>
              <w:left w:w="108" w:type="dxa"/>
              <w:bottom w:w="0" w:type="dxa"/>
              <w:right w:w="108" w:type="dxa"/>
            </w:tcMar>
            <w:vAlign w:val="center"/>
          </w:tcPr>
          <w:p w14:paraId="1D89E06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4D73BD5E"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30,821.00</w:t>
            </w:r>
          </w:p>
        </w:tc>
        <w:tc>
          <w:tcPr>
            <w:tcW w:w="1873" w:type="dxa"/>
            <w:tcMar>
              <w:top w:w="0" w:type="dxa"/>
              <w:left w:w="108" w:type="dxa"/>
              <w:bottom w:w="0" w:type="dxa"/>
              <w:right w:w="108" w:type="dxa"/>
            </w:tcMar>
            <w:vAlign w:val="center"/>
          </w:tcPr>
          <w:p w14:paraId="6C349E15"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14.08</w:t>
            </w:r>
          </w:p>
        </w:tc>
      </w:tr>
      <w:tr w:rsidR="004B2E60" w:rsidRPr="00DA3766" w14:paraId="62028B03" w14:textId="77777777" w:rsidTr="00DA3766">
        <w:trPr>
          <w:trHeight w:val="397"/>
          <w:jc w:val="center"/>
        </w:trPr>
        <w:tc>
          <w:tcPr>
            <w:tcW w:w="750" w:type="dxa"/>
            <w:tcMar>
              <w:top w:w="0" w:type="dxa"/>
              <w:left w:w="108" w:type="dxa"/>
              <w:bottom w:w="0" w:type="dxa"/>
              <w:right w:w="108" w:type="dxa"/>
            </w:tcMar>
            <w:vAlign w:val="center"/>
          </w:tcPr>
          <w:p w14:paraId="008A953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1765" w:type="dxa"/>
            <w:tcMar>
              <w:top w:w="0" w:type="dxa"/>
              <w:left w:w="108" w:type="dxa"/>
              <w:bottom w:w="0" w:type="dxa"/>
              <w:right w:w="108" w:type="dxa"/>
            </w:tcMar>
            <w:vAlign w:val="center"/>
          </w:tcPr>
          <w:p w14:paraId="5F8BEE1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曾小连</w:t>
            </w:r>
          </w:p>
        </w:tc>
        <w:tc>
          <w:tcPr>
            <w:tcW w:w="2076" w:type="dxa"/>
            <w:tcMar>
              <w:top w:w="0" w:type="dxa"/>
              <w:left w:w="108" w:type="dxa"/>
              <w:bottom w:w="0" w:type="dxa"/>
              <w:right w:w="108" w:type="dxa"/>
            </w:tcMar>
            <w:vAlign w:val="center"/>
          </w:tcPr>
          <w:p w14:paraId="1639092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51FD4B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18,648.00</w:t>
            </w:r>
          </w:p>
        </w:tc>
        <w:tc>
          <w:tcPr>
            <w:tcW w:w="1873" w:type="dxa"/>
            <w:tcMar>
              <w:top w:w="0" w:type="dxa"/>
              <w:left w:w="108" w:type="dxa"/>
              <w:bottom w:w="0" w:type="dxa"/>
              <w:right w:w="108" w:type="dxa"/>
            </w:tcMar>
            <w:vAlign w:val="center"/>
          </w:tcPr>
          <w:p w14:paraId="51310E68"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8.52</w:t>
            </w:r>
          </w:p>
        </w:tc>
      </w:tr>
      <w:tr w:rsidR="004B2E60" w:rsidRPr="00DA3766" w14:paraId="0814500C" w14:textId="77777777" w:rsidTr="00DA3766">
        <w:trPr>
          <w:trHeight w:val="397"/>
          <w:jc w:val="center"/>
        </w:trPr>
        <w:tc>
          <w:tcPr>
            <w:tcW w:w="750" w:type="dxa"/>
            <w:tcMar>
              <w:top w:w="0" w:type="dxa"/>
              <w:left w:w="108" w:type="dxa"/>
              <w:bottom w:w="0" w:type="dxa"/>
              <w:right w:w="108" w:type="dxa"/>
            </w:tcMar>
            <w:vAlign w:val="center"/>
          </w:tcPr>
          <w:p w14:paraId="169BED2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1765" w:type="dxa"/>
            <w:tcMar>
              <w:top w:w="0" w:type="dxa"/>
              <w:left w:w="108" w:type="dxa"/>
              <w:bottom w:w="0" w:type="dxa"/>
              <w:right w:w="108" w:type="dxa"/>
            </w:tcMar>
            <w:vAlign w:val="center"/>
          </w:tcPr>
          <w:p w14:paraId="76E4A1D7"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陈腾蛟</w:t>
            </w:r>
          </w:p>
        </w:tc>
        <w:tc>
          <w:tcPr>
            <w:tcW w:w="2076" w:type="dxa"/>
            <w:tcMar>
              <w:top w:w="0" w:type="dxa"/>
              <w:left w:w="108" w:type="dxa"/>
              <w:bottom w:w="0" w:type="dxa"/>
              <w:right w:w="108" w:type="dxa"/>
            </w:tcMar>
            <w:vAlign w:val="center"/>
          </w:tcPr>
          <w:p w14:paraId="3C219E4E"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70C2F112"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10,552.00</w:t>
            </w:r>
          </w:p>
        </w:tc>
        <w:tc>
          <w:tcPr>
            <w:tcW w:w="1873" w:type="dxa"/>
            <w:tcMar>
              <w:top w:w="0" w:type="dxa"/>
              <w:left w:w="108" w:type="dxa"/>
              <w:bottom w:w="0" w:type="dxa"/>
              <w:right w:w="108" w:type="dxa"/>
            </w:tcMar>
            <w:vAlign w:val="center"/>
          </w:tcPr>
          <w:p w14:paraId="01A73E79"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4.82</w:t>
            </w:r>
          </w:p>
        </w:tc>
      </w:tr>
      <w:tr w:rsidR="004B2E60" w:rsidRPr="00DA3766" w14:paraId="59E448C0" w14:textId="77777777" w:rsidTr="00DA3766">
        <w:trPr>
          <w:trHeight w:val="397"/>
          <w:jc w:val="center"/>
        </w:trPr>
        <w:tc>
          <w:tcPr>
            <w:tcW w:w="750" w:type="dxa"/>
            <w:tcMar>
              <w:top w:w="0" w:type="dxa"/>
              <w:left w:w="108" w:type="dxa"/>
              <w:bottom w:w="0" w:type="dxa"/>
              <w:right w:w="108" w:type="dxa"/>
            </w:tcMar>
            <w:vAlign w:val="center"/>
          </w:tcPr>
          <w:p w14:paraId="0E4F96A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7</w:t>
            </w:r>
          </w:p>
        </w:tc>
        <w:tc>
          <w:tcPr>
            <w:tcW w:w="1765" w:type="dxa"/>
            <w:tcMar>
              <w:top w:w="0" w:type="dxa"/>
              <w:left w:w="108" w:type="dxa"/>
              <w:bottom w:w="0" w:type="dxa"/>
              <w:right w:w="108" w:type="dxa"/>
            </w:tcMar>
            <w:vAlign w:val="center"/>
          </w:tcPr>
          <w:p w14:paraId="1E537626"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陈耿豪</w:t>
            </w:r>
          </w:p>
        </w:tc>
        <w:tc>
          <w:tcPr>
            <w:tcW w:w="2076" w:type="dxa"/>
            <w:tcMar>
              <w:top w:w="0" w:type="dxa"/>
              <w:left w:w="108" w:type="dxa"/>
              <w:bottom w:w="0" w:type="dxa"/>
              <w:right w:w="108" w:type="dxa"/>
            </w:tcMar>
            <w:vAlign w:val="center"/>
          </w:tcPr>
          <w:p w14:paraId="02E85A1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6D53B73"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36.00</w:t>
            </w:r>
          </w:p>
        </w:tc>
        <w:tc>
          <w:tcPr>
            <w:tcW w:w="1873" w:type="dxa"/>
            <w:tcMar>
              <w:top w:w="0" w:type="dxa"/>
              <w:left w:w="108" w:type="dxa"/>
              <w:bottom w:w="0" w:type="dxa"/>
              <w:right w:w="108" w:type="dxa"/>
            </w:tcMar>
            <w:vAlign w:val="center"/>
          </w:tcPr>
          <w:p w14:paraId="5D567C1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0.02</w:t>
            </w:r>
          </w:p>
        </w:tc>
      </w:tr>
      <w:tr w:rsidR="004B2E60" w:rsidRPr="00DA3766" w14:paraId="29223794" w14:textId="77777777" w:rsidTr="00DA3766">
        <w:trPr>
          <w:trHeight w:val="397"/>
          <w:jc w:val="center"/>
        </w:trPr>
        <w:tc>
          <w:tcPr>
            <w:tcW w:w="4591" w:type="dxa"/>
            <w:gridSpan w:val="3"/>
            <w:tcMar>
              <w:top w:w="0" w:type="dxa"/>
              <w:left w:w="108" w:type="dxa"/>
              <w:bottom w:w="0" w:type="dxa"/>
              <w:right w:w="108" w:type="dxa"/>
            </w:tcMar>
            <w:vAlign w:val="center"/>
          </w:tcPr>
          <w:p w14:paraId="25C7D89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2064" w:type="dxa"/>
            <w:tcMar>
              <w:top w:w="0" w:type="dxa"/>
              <w:left w:w="108" w:type="dxa"/>
              <w:bottom w:w="0" w:type="dxa"/>
              <w:right w:w="108" w:type="dxa"/>
            </w:tcMar>
            <w:vAlign w:val="center"/>
          </w:tcPr>
          <w:p w14:paraId="7ECD402B"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218,972.00</w:t>
            </w:r>
          </w:p>
        </w:tc>
        <w:tc>
          <w:tcPr>
            <w:tcW w:w="1873" w:type="dxa"/>
            <w:tcMar>
              <w:top w:w="0" w:type="dxa"/>
              <w:left w:w="108" w:type="dxa"/>
              <w:bottom w:w="0" w:type="dxa"/>
              <w:right w:w="108" w:type="dxa"/>
            </w:tcMar>
            <w:vAlign w:val="center"/>
          </w:tcPr>
          <w:p w14:paraId="2323A29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20BAFABD" w14:textId="096491DD" w:rsidR="004B2E60" w:rsidRPr="00DA3766" w:rsidRDefault="004B2E60" w:rsidP="008A1B9E">
      <w:pPr>
        <w:pStyle w:val="005"/>
        <w:spacing w:before="120" w:after="120"/>
        <w:ind w:firstLine="480"/>
        <w:rPr>
          <w:rFonts w:eastAsia="微软雅黑"/>
          <w:bCs/>
          <w:color w:val="000000"/>
        </w:rPr>
      </w:pPr>
      <w:r w:rsidRPr="00DA3766">
        <w:rPr>
          <w:bCs/>
          <w:color w:val="000000"/>
        </w:rPr>
        <w:t>转让方</w:t>
      </w:r>
      <w:r w:rsidRPr="00DA3766">
        <w:t>深圳市前海千意智合三期系外部投资人，</w:t>
      </w:r>
      <w:r w:rsidRPr="00DA3766">
        <w:rPr>
          <w:bCs/>
          <w:color w:val="000000"/>
        </w:rPr>
        <w:t>属于中国证券基金业协会备案的私募基金（基金编号为</w:t>
      </w:r>
      <w:r w:rsidRPr="00DA3766">
        <w:rPr>
          <w:bCs/>
          <w:color w:val="000000"/>
        </w:rPr>
        <w:t>SCS394</w:t>
      </w:r>
      <w:r w:rsidRPr="00DA3766">
        <w:rPr>
          <w:bCs/>
          <w:color w:val="000000"/>
        </w:rPr>
        <w:t>），其基金管理人为深圳市前海梧桐母基金投资管理有限公司；乐摇本次转让实际系其内部合伙人</w:t>
      </w:r>
      <w:r w:rsidRPr="00DA3766">
        <w:t>广州科学城创业投资管理有限公司退出，广州科学城创业投资管理有限公司系</w:t>
      </w:r>
      <w:hyperlink r:id="rId81" w:tgtFrame="https://www.qcc.com/firm/_blank" w:history="1">
        <w:r w:rsidRPr="00DA3766">
          <w:t>广州经济技术开发区管理委员会</w:t>
        </w:r>
      </w:hyperlink>
      <w:r w:rsidRPr="00DA3766">
        <w:t>实际控制的私募基金管理人。</w:t>
      </w:r>
      <w:r w:rsidRPr="00DA3766">
        <w:rPr>
          <w:bCs/>
          <w:color w:val="000000"/>
        </w:rPr>
        <w:t>乐腾腾与本次转让的转让方之间不存在关联关系。</w:t>
      </w:r>
    </w:p>
    <w:p w14:paraId="4031F38F" w14:textId="77777777" w:rsidR="004B2E60" w:rsidRPr="00DA3766" w:rsidRDefault="004B2E60" w:rsidP="008A1B9E">
      <w:pPr>
        <w:pStyle w:val="005"/>
        <w:spacing w:before="120" w:after="120"/>
        <w:ind w:firstLine="480"/>
      </w:pPr>
      <w:r w:rsidRPr="00DA3766">
        <w:rPr>
          <w:bCs/>
          <w:color w:val="000000"/>
        </w:rPr>
        <w:t>本次股权转让的受让方</w:t>
      </w:r>
      <w:hyperlink r:id="rId82" w:tgtFrame="https://www.qcc.com/firm/_blank" w:history="1">
        <w:r w:rsidRPr="00DA3766">
          <w:t>睿信创投</w:t>
        </w:r>
      </w:hyperlink>
      <w:r w:rsidRPr="00DA3766">
        <w:t>、</w:t>
      </w:r>
      <w:hyperlink r:id="rId83" w:tgtFrame="https://www.qcc.com/firm/_blank" w:history="1">
        <w:r w:rsidRPr="00DA3766">
          <w:t>睿启创投</w:t>
        </w:r>
      </w:hyperlink>
      <w:r w:rsidRPr="00DA3766">
        <w:t>、蕙富皓玥、</w:t>
      </w:r>
      <w:hyperlink r:id="rId84" w:tgtFrame="https://www.qcc.com/firm/_blank" w:history="1">
        <w:r w:rsidRPr="00DA3766">
          <w:t>汇垠众富</w:t>
        </w:r>
      </w:hyperlink>
      <w:r w:rsidRPr="00DA3766">
        <w:t>、科金二号、</w:t>
      </w:r>
      <w:hyperlink r:id="rId85" w:tgtFrame="https://www.qcc.com/firm/_blank" w:history="1">
        <w:r w:rsidRPr="00DA3766">
          <w:t>枣庄哈拿</w:t>
        </w:r>
      </w:hyperlink>
      <w:r w:rsidRPr="00DA3766">
        <w:t>基本情况如下：</w:t>
      </w:r>
    </w:p>
    <w:tbl>
      <w:tblPr>
        <w:tblStyle w:val="300"/>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875"/>
        <w:gridCol w:w="1591"/>
        <w:gridCol w:w="1514"/>
        <w:gridCol w:w="1514"/>
        <w:gridCol w:w="3029"/>
      </w:tblGrid>
      <w:tr w:rsidR="004B2E60" w:rsidRPr="00DA3766" w14:paraId="16274C33" w14:textId="77777777" w:rsidTr="00DA3766">
        <w:trPr>
          <w:trHeight w:val="397"/>
          <w:tblHeader/>
          <w:jc w:val="center"/>
        </w:trPr>
        <w:tc>
          <w:tcPr>
            <w:tcW w:w="514" w:type="pct"/>
            <w:tcMar>
              <w:top w:w="0" w:type="dxa"/>
              <w:left w:w="108" w:type="dxa"/>
              <w:bottom w:w="0" w:type="dxa"/>
              <w:right w:w="108" w:type="dxa"/>
            </w:tcMar>
            <w:vAlign w:val="center"/>
          </w:tcPr>
          <w:p w14:paraId="5759990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933" w:type="pct"/>
            <w:tcMar>
              <w:top w:w="0" w:type="dxa"/>
              <w:left w:w="108" w:type="dxa"/>
              <w:bottom w:w="0" w:type="dxa"/>
              <w:right w:w="108" w:type="dxa"/>
            </w:tcMar>
            <w:vAlign w:val="center"/>
          </w:tcPr>
          <w:p w14:paraId="23517B57"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887" w:type="pct"/>
            <w:tcMar>
              <w:top w:w="0" w:type="dxa"/>
              <w:left w:w="108" w:type="dxa"/>
              <w:bottom w:w="0" w:type="dxa"/>
              <w:right w:w="108" w:type="dxa"/>
            </w:tcMar>
            <w:vAlign w:val="center"/>
          </w:tcPr>
          <w:p w14:paraId="07F5768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成立时间</w:t>
            </w:r>
          </w:p>
        </w:tc>
        <w:tc>
          <w:tcPr>
            <w:tcW w:w="887" w:type="pct"/>
            <w:tcMar>
              <w:top w:w="0" w:type="dxa"/>
              <w:left w:w="108" w:type="dxa"/>
              <w:bottom w:w="0" w:type="dxa"/>
              <w:right w:w="108" w:type="dxa"/>
            </w:tcMar>
            <w:vAlign w:val="center"/>
          </w:tcPr>
          <w:p w14:paraId="6ECFC15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出资额（万元）</w:t>
            </w:r>
          </w:p>
        </w:tc>
        <w:tc>
          <w:tcPr>
            <w:tcW w:w="1776" w:type="pct"/>
            <w:tcMar>
              <w:top w:w="0" w:type="dxa"/>
              <w:left w:w="108" w:type="dxa"/>
              <w:bottom w:w="0" w:type="dxa"/>
              <w:right w:w="108" w:type="dxa"/>
            </w:tcMar>
            <w:vAlign w:val="center"/>
          </w:tcPr>
          <w:p w14:paraId="3338692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性质</w:t>
            </w:r>
          </w:p>
        </w:tc>
      </w:tr>
      <w:tr w:rsidR="004B2E60" w:rsidRPr="00DA3766" w14:paraId="266BE937" w14:textId="77777777" w:rsidTr="00DA3766">
        <w:trPr>
          <w:trHeight w:val="397"/>
          <w:jc w:val="center"/>
        </w:trPr>
        <w:tc>
          <w:tcPr>
            <w:tcW w:w="514" w:type="pct"/>
            <w:tcMar>
              <w:top w:w="0" w:type="dxa"/>
              <w:left w:w="108" w:type="dxa"/>
              <w:bottom w:w="0" w:type="dxa"/>
              <w:right w:w="108" w:type="dxa"/>
            </w:tcMar>
            <w:vAlign w:val="center"/>
          </w:tcPr>
          <w:p w14:paraId="7CA2EF21"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933" w:type="pct"/>
            <w:tcMar>
              <w:top w:w="0" w:type="dxa"/>
              <w:left w:w="108" w:type="dxa"/>
              <w:bottom w:w="0" w:type="dxa"/>
              <w:right w:w="108" w:type="dxa"/>
            </w:tcMar>
            <w:vAlign w:val="center"/>
          </w:tcPr>
          <w:p w14:paraId="11BCC47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6" w:tgtFrame="https://www.qcc.com/firm/_blank" w:history="1">
              <w:r w:rsidRPr="00DA3766">
                <w:rPr>
                  <w:rFonts w:ascii="Times New Roman" w:hAnsi="Times New Roman" w:cs="Times New Roman"/>
                  <w:sz w:val="21"/>
                  <w:szCs w:val="21"/>
                </w:rPr>
                <w:t>睿信创投</w:t>
              </w:r>
            </w:hyperlink>
          </w:p>
        </w:tc>
        <w:tc>
          <w:tcPr>
            <w:tcW w:w="887" w:type="pct"/>
            <w:tcMar>
              <w:top w:w="0" w:type="dxa"/>
              <w:left w:w="108" w:type="dxa"/>
              <w:bottom w:w="0" w:type="dxa"/>
              <w:right w:w="108" w:type="dxa"/>
            </w:tcMar>
            <w:vAlign w:val="center"/>
          </w:tcPr>
          <w:p w14:paraId="11C8FBD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2020.09.21</w:t>
            </w:r>
          </w:p>
        </w:tc>
        <w:tc>
          <w:tcPr>
            <w:tcW w:w="887" w:type="pct"/>
            <w:tcMar>
              <w:top w:w="0" w:type="dxa"/>
              <w:left w:w="108" w:type="dxa"/>
              <w:bottom w:w="0" w:type="dxa"/>
              <w:right w:w="108" w:type="dxa"/>
            </w:tcMar>
            <w:vAlign w:val="center"/>
          </w:tcPr>
          <w:p w14:paraId="66724A4F"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20,000.00</w:t>
            </w:r>
          </w:p>
        </w:tc>
        <w:tc>
          <w:tcPr>
            <w:tcW w:w="1776" w:type="pct"/>
            <w:tcMar>
              <w:top w:w="0" w:type="dxa"/>
              <w:left w:w="108" w:type="dxa"/>
              <w:bottom w:w="0" w:type="dxa"/>
              <w:right w:w="108" w:type="dxa"/>
            </w:tcMar>
            <w:vAlign w:val="center"/>
          </w:tcPr>
          <w:p w14:paraId="4999A56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SLZ275</w:t>
            </w:r>
          </w:p>
        </w:tc>
      </w:tr>
      <w:tr w:rsidR="004B2E60" w:rsidRPr="00DA3766" w14:paraId="0A30015A" w14:textId="77777777" w:rsidTr="00DA3766">
        <w:trPr>
          <w:trHeight w:val="397"/>
          <w:jc w:val="center"/>
        </w:trPr>
        <w:tc>
          <w:tcPr>
            <w:tcW w:w="514" w:type="pct"/>
            <w:tcMar>
              <w:top w:w="0" w:type="dxa"/>
              <w:left w:w="108" w:type="dxa"/>
              <w:bottom w:w="0" w:type="dxa"/>
              <w:right w:w="108" w:type="dxa"/>
            </w:tcMar>
            <w:vAlign w:val="center"/>
          </w:tcPr>
          <w:p w14:paraId="14DEB9A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933" w:type="pct"/>
            <w:tcMar>
              <w:top w:w="0" w:type="dxa"/>
              <w:left w:w="108" w:type="dxa"/>
              <w:bottom w:w="0" w:type="dxa"/>
              <w:right w:w="108" w:type="dxa"/>
            </w:tcMar>
            <w:vAlign w:val="center"/>
          </w:tcPr>
          <w:p w14:paraId="3F85DB6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7" w:tgtFrame="https://www.qcc.com/firm/_blank" w:history="1">
              <w:r w:rsidRPr="00DA3766">
                <w:rPr>
                  <w:rFonts w:ascii="Times New Roman" w:hAnsi="Times New Roman" w:cs="Times New Roman"/>
                  <w:sz w:val="21"/>
                  <w:szCs w:val="21"/>
                </w:rPr>
                <w:t>睿启创投</w:t>
              </w:r>
            </w:hyperlink>
          </w:p>
        </w:tc>
        <w:tc>
          <w:tcPr>
            <w:tcW w:w="887" w:type="pct"/>
            <w:tcMar>
              <w:top w:w="0" w:type="dxa"/>
              <w:left w:w="108" w:type="dxa"/>
              <w:bottom w:w="0" w:type="dxa"/>
              <w:right w:w="108" w:type="dxa"/>
            </w:tcMar>
            <w:vAlign w:val="center"/>
          </w:tcPr>
          <w:p w14:paraId="0D3E785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2019.12.23</w:t>
            </w:r>
          </w:p>
        </w:tc>
        <w:tc>
          <w:tcPr>
            <w:tcW w:w="887" w:type="pct"/>
            <w:tcMar>
              <w:top w:w="0" w:type="dxa"/>
              <w:left w:w="108" w:type="dxa"/>
              <w:bottom w:w="0" w:type="dxa"/>
              <w:right w:w="108" w:type="dxa"/>
            </w:tcMar>
            <w:vAlign w:val="center"/>
          </w:tcPr>
          <w:p w14:paraId="309BD330"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10,000.00</w:t>
            </w:r>
          </w:p>
        </w:tc>
        <w:tc>
          <w:tcPr>
            <w:tcW w:w="1776" w:type="pct"/>
            <w:tcMar>
              <w:top w:w="0" w:type="dxa"/>
              <w:left w:w="108" w:type="dxa"/>
              <w:bottom w:w="0" w:type="dxa"/>
              <w:right w:w="108" w:type="dxa"/>
            </w:tcMar>
            <w:vAlign w:val="center"/>
          </w:tcPr>
          <w:p w14:paraId="65019EA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SJP780</w:t>
            </w:r>
          </w:p>
        </w:tc>
      </w:tr>
      <w:tr w:rsidR="004B2E60" w:rsidRPr="00DA3766" w14:paraId="60255CC8" w14:textId="77777777" w:rsidTr="00DA3766">
        <w:trPr>
          <w:trHeight w:val="397"/>
          <w:jc w:val="center"/>
        </w:trPr>
        <w:tc>
          <w:tcPr>
            <w:tcW w:w="514" w:type="pct"/>
            <w:tcMar>
              <w:top w:w="0" w:type="dxa"/>
              <w:left w:w="108" w:type="dxa"/>
              <w:bottom w:w="0" w:type="dxa"/>
              <w:right w:w="108" w:type="dxa"/>
            </w:tcMar>
            <w:vAlign w:val="center"/>
          </w:tcPr>
          <w:p w14:paraId="6EB09243"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933" w:type="pct"/>
            <w:tcMar>
              <w:top w:w="0" w:type="dxa"/>
              <w:left w:w="108" w:type="dxa"/>
              <w:bottom w:w="0" w:type="dxa"/>
              <w:right w:w="108" w:type="dxa"/>
            </w:tcMar>
            <w:vAlign w:val="center"/>
          </w:tcPr>
          <w:p w14:paraId="06E819DE"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蕙富皓玥</w:t>
            </w:r>
          </w:p>
        </w:tc>
        <w:tc>
          <w:tcPr>
            <w:tcW w:w="887" w:type="pct"/>
            <w:tcMar>
              <w:top w:w="0" w:type="dxa"/>
              <w:left w:w="108" w:type="dxa"/>
              <w:bottom w:w="0" w:type="dxa"/>
              <w:right w:w="108" w:type="dxa"/>
            </w:tcMar>
            <w:vAlign w:val="center"/>
          </w:tcPr>
          <w:p w14:paraId="1135012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2021.07.09</w:t>
            </w:r>
          </w:p>
        </w:tc>
        <w:tc>
          <w:tcPr>
            <w:tcW w:w="887" w:type="pct"/>
            <w:tcMar>
              <w:top w:w="0" w:type="dxa"/>
              <w:left w:w="108" w:type="dxa"/>
              <w:bottom w:w="0" w:type="dxa"/>
              <w:right w:w="108" w:type="dxa"/>
            </w:tcMar>
            <w:vAlign w:val="center"/>
          </w:tcPr>
          <w:p w14:paraId="39796AFD"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4,100.00</w:t>
            </w:r>
          </w:p>
        </w:tc>
        <w:tc>
          <w:tcPr>
            <w:tcW w:w="1776" w:type="pct"/>
            <w:tcMar>
              <w:top w:w="0" w:type="dxa"/>
              <w:left w:w="108" w:type="dxa"/>
              <w:bottom w:w="0" w:type="dxa"/>
              <w:right w:w="108" w:type="dxa"/>
            </w:tcMar>
            <w:vAlign w:val="center"/>
          </w:tcPr>
          <w:p w14:paraId="020A4C7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外部投资人，有限合伙企业</w:t>
            </w:r>
          </w:p>
        </w:tc>
      </w:tr>
      <w:tr w:rsidR="004B2E60" w:rsidRPr="00DA3766" w14:paraId="26B33785" w14:textId="77777777" w:rsidTr="00DA3766">
        <w:trPr>
          <w:trHeight w:val="397"/>
          <w:jc w:val="center"/>
        </w:trPr>
        <w:tc>
          <w:tcPr>
            <w:tcW w:w="514" w:type="pct"/>
            <w:tcMar>
              <w:top w:w="0" w:type="dxa"/>
              <w:left w:w="108" w:type="dxa"/>
              <w:bottom w:w="0" w:type="dxa"/>
              <w:right w:w="108" w:type="dxa"/>
            </w:tcMar>
            <w:vAlign w:val="center"/>
          </w:tcPr>
          <w:p w14:paraId="14654AC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933" w:type="pct"/>
            <w:tcMar>
              <w:top w:w="0" w:type="dxa"/>
              <w:left w:w="108" w:type="dxa"/>
              <w:bottom w:w="0" w:type="dxa"/>
              <w:right w:w="108" w:type="dxa"/>
            </w:tcMar>
            <w:vAlign w:val="center"/>
          </w:tcPr>
          <w:p w14:paraId="0CF2E19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8" w:tgtFrame="https://www.qcc.com/firm/_blank" w:history="1">
              <w:r w:rsidRPr="00DA3766">
                <w:rPr>
                  <w:rFonts w:ascii="Times New Roman" w:hAnsi="Times New Roman" w:cs="Times New Roman"/>
                  <w:sz w:val="21"/>
                  <w:szCs w:val="21"/>
                </w:rPr>
                <w:t>汇垠众富</w:t>
              </w:r>
            </w:hyperlink>
          </w:p>
        </w:tc>
        <w:tc>
          <w:tcPr>
            <w:tcW w:w="887" w:type="pct"/>
            <w:tcMar>
              <w:top w:w="0" w:type="dxa"/>
              <w:left w:w="108" w:type="dxa"/>
              <w:bottom w:w="0" w:type="dxa"/>
              <w:right w:w="108" w:type="dxa"/>
            </w:tcMar>
            <w:vAlign w:val="center"/>
          </w:tcPr>
          <w:p w14:paraId="5CC5AFF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eastAsia="微软雅黑" w:hAnsi="Times New Roman" w:cs="Times New Roman"/>
                <w:sz w:val="21"/>
                <w:szCs w:val="21"/>
              </w:rPr>
            </w:pPr>
            <w:r w:rsidRPr="00DA3766">
              <w:rPr>
                <w:rFonts w:ascii="Times New Roman" w:eastAsia="微软雅黑" w:hAnsi="Times New Roman" w:cs="Times New Roman"/>
                <w:sz w:val="21"/>
                <w:szCs w:val="21"/>
              </w:rPr>
              <w:t>2020.12.03</w:t>
            </w:r>
          </w:p>
        </w:tc>
        <w:tc>
          <w:tcPr>
            <w:tcW w:w="887" w:type="pct"/>
            <w:tcMar>
              <w:top w:w="0" w:type="dxa"/>
              <w:left w:w="108" w:type="dxa"/>
              <w:bottom w:w="0" w:type="dxa"/>
              <w:right w:w="108" w:type="dxa"/>
            </w:tcMar>
            <w:vAlign w:val="center"/>
          </w:tcPr>
          <w:p w14:paraId="26FC09C5"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eastAsia="微软雅黑" w:hAnsi="Times New Roman" w:cs="Times New Roman"/>
                <w:sz w:val="21"/>
                <w:szCs w:val="21"/>
              </w:rPr>
            </w:pPr>
            <w:r w:rsidRPr="00DA3766">
              <w:rPr>
                <w:rFonts w:ascii="Times New Roman" w:hAnsi="Times New Roman" w:cs="Times New Roman"/>
                <w:sz w:val="21"/>
                <w:szCs w:val="21"/>
              </w:rPr>
              <w:t>801.021</w:t>
            </w:r>
          </w:p>
        </w:tc>
        <w:tc>
          <w:tcPr>
            <w:tcW w:w="1776" w:type="pct"/>
            <w:tcMar>
              <w:top w:w="0" w:type="dxa"/>
              <w:left w:w="108" w:type="dxa"/>
              <w:bottom w:w="0" w:type="dxa"/>
              <w:right w:w="108" w:type="dxa"/>
            </w:tcMar>
            <w:vAlign w:val="center"/>
          </w:tcPr>
          <w:p w14:paraId="2E0F9426"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外部投资人，有限合伙企业</w:t>
            </w:r>
          </w:p>
        </w:tc>
      </w:tr>
      <w:tr w:rsidR="004B2E60" w:rsidRPr="00DA3766" w14:paraId="30AB2DA0" w14:textId="77777777" w:rsidTr="00DA3766">
        <w:trPr>
          <w:trHeight w:val="397"/>
          <w:jc w:val="center"/>
        </w:trPr>
        <w:tc>
          <w:tcPr>
            <w:tcW w:w="514" w:type="pct"/>
            <w:tcMar>
              <w:top w:w="0" w:type="dxa"/>
              <w:left w:w="108" w:type="dxa"/>
              <w:bottom w:w="0" w:type="dxa"/>
              <w:right w:w="108" w:type="dxa"/>
            </w:tcMar>
            <w:vAlign w:val="center"/>
          </w:tcPr>
          <w:p w14:paraId="4465A84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933" w:type="pct"/>
            <w:tcMar>
              <w:top w:w="0" w:type="dxa"/>
              <w:left w:w="108" w:type="dxa"/>
              <w:bottom w:w="0" w:type="dxa"/>
              <w:right w:w="108" w:type="dxa"/>
            </w:tcMar>
            <w:vAlign w:val="center"/>
          </w:tcPr>
          <w:p w14:paraId="0AF4B5A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科金二号</w:t>
            </w:r>
          </w:p>
        </w:tc>
        <w:tc>
          <w:tcPr>
            <w:tcW w:w="887" w:type="pct"/>
            <w:tcMar>
              <w:top w:w="0" w:type="dxa"/>
              <w:left w:w="108" w:type="dxa"/>
              <w:bottom w:w="0" w:type="dxa"/>
              <w:right w:w="108" w:type="dxa"/>
            </w:tcMar>
            <w:vAlign w:val="center"/>
          </w:tcPr>
          <w:p w14:paraId="68E8D08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2020.11.24</w:t>
            </w:r>
          </w:p>
        </w:tc>
        <w:tc>
          <w:tcPr>
            <w:tcW w:w="887" w:type="pct"/>
            <w:tcMar>
              <w:top w:w="0" w:type="dxa"/>
              <w:left w:w="108" w:type="dxa"/>
              <w:bottom w:w="0" w:type="dxa"/>
              <w:right w:w="108" w:type="dxa"/>
            </w:tcMar>
            <w:vAlign w:val="center"/>
          </w:tcPr>
          <w:p w14:paraId="4694D297"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4,000.00</w:t>
            </w:r>
          </w:p>
        </w:tc>
        <w:tc>
          <w:tcPr>
            <w:tcW w:w="1776" w:type="pct"/>
            <w:tcMar>
              <w:top w:w="0" w:type="dxa"/>
              <w:left w:w="108" w:type="dxa"/>
              <w:bottom w:w="0" w:type="dxa"/>
              <w:right w:w="108" w:type="dxa"/>
            </w:tcMar>
            <w:vAlign w:val="center"/>
          </w:tcPr>
          <w:p w14:paraId="565FB4E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SNY970</w:t>
            </w:r>
          </w:p>
        </w:tc>
      </w:tr>
      <w:tr w:rsidR="004B2E60" w:rsidRPr="00DA3766" w14:paraId="7A92B73B" w14:textId="77777777" w:rsidTr="00DA3766">
        <w:trPr>
          <w:trHeight w:val="397"/>
          <w:jc w:val="center"/>
        </w:trPr>
        <w:tc>
          <w:tcPr>
            <w:tcW w:w="514" w:type="pct"/>
            <w:tcMar>
              <w:top w:w="0" w:type="dxa"/>
              <w:left w:w="108" w:type="dxa"/>
              <w:bottom w:w="0" w:type="dxa"/>
              <w:right w:w="108" w:type="dxa"/>
            </w:tcMar>
            <w:vAlign w:val="center"/>
          </w:tcPr>
          <w:p w14:paraId="32021FB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933" w:type="pct"/>
            <w:tcMar>
              <w:top w:w="0" w:type="dxa"/>
              <w:left w:w="108" w:type="dxa"/>
              <w:bottom w:w="0" w:type="dxa"/>
              <w:right w:w="108" w:type="dxa"/>
            </w:tcMar>
            <w:vAlign w:val="center"/>
          </w:tcPr>
          <w:p w14:paraId="1687084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9" w:tgtFrame="https://www.qcc.com/firm/_blank" w:history="1">
              <w:r w:rsidRPr="00DA3766">
                <w:rPr>
                  <w:rFonts w:ascii="Times New Roman" w:hAnsi="Times New Roman" w:cs="Times New Roman"/>
                  <w:sz w:val="21"/>
                  <w:szCs w:val="21"/>
                </w:rPr>
                <w:t>枣庄哈拿</w:t>
              </w:r>
            </w:hyperlink>
          </w:p>
        </w:tc>
        <w:tc>
          <w:tcPr>
            <w:tcW w:w="887" w:type="pct"/>
            <w:tcMar>
              <w:top w:w="0" w:type="dxa"/>
              <w:left w:w="108" w:type="dxa"/>
              <w:bottom w:w="0" w:type="dxa"/>
              <w:right w:w="108" w:type="dxa"/>
            </w:tcMar>
            <w:vAlign w:val="center"/>
          </w:tcPr>
          <w:p w14:paraId="5555FF2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2021.04.20</w:t>
            </w:r>
          </w:p>
        </w:tc>
        <w:tc>
          <w:tcPr>
            <w:tcW w:w="887" w:type="pct"/>
            <w:tcMar>
              <w:top w:w="0" w:type="dxa"/>
              <w:left w:w="108" w:type="dxa"/>
              <w:bottom w:w="0" w:type="dxa"/>
              <w:right w:w="108" w:type="dxa"/>
            </w:tcMar>
            <w:vAlign w:val="center"/>
          </w:tcPr>
          <w:p w14:paraId="5F2AA088"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2,194.00</w:t>
            </w:r>
          </w:p>
        </w:tc>
        <w:tc>
          <w:tcPr>
            <w:tcW w:w="1776" w:type="pct"/>
            <w:tcMar>
              <w:top w:w="0" w:type="dxa"/>
              <w:left w:w="108" w:type="dxa"/>
              <w:bottom w:w="0" w:type="dxa"/>
              <w:right w:w="108" w:type="dxa"/>
            </w:tcMar>
            <w:vAlign w:val="center"/>
          </w:tcPr>
          <w:p w14:paraId="015D7D0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SSV441</w:t>
            </w:r>
          </w:p>
        </w:tc>
      </w:tr>
    </w:tbl>
    <w:p w14:paraId="698C4107" w14:textId="77777777" w:rsidR="004B2E60" w:rsidRPr="00DA3766" w:rsidRDefault="004B2E60" w:rsidP="008A1B9E">
      <w:pPr>
        <w:pStyle w:val="005"/>
        <w:spacing w:before="120" w:after="120"/>
        <w:ind w:firstLine="480"/>
      </w:pPr>
      <w:r w:rsidRPr="00DA3766">
        <w:t>经核查，</w:t>
      </w:r>
      <w:r w:rsidRPr="00DA3766">
        <w:rPr>
          <w:bCs/>
          <w:color w:val="000000"/>
        </w:rPr>
        <w:t>乐腾腾与</w:t>
      </w:r>
      <w:r w:rsidRPr="00DA3766">
        <w:t>上述转让方之间不存在关联关系。</w:t>
      </w:r>
    </w:p>
    <w:p w14:paraId="44A792D1" w14:textId="723C9024" w:rsidR="004B2E60" w:rsidRPr="00DA3766" w:rsidRDefault="004B2E60" w:rsidP="008A1B9E">
      <w:pPr>
        <w:pStyle w:val="005"/>
        <w:spacing w:before="120" w:after="120"/>
        <w:ind w:firstLine="480"/>
        <w:rPr>
          <w:bCs/>
          <w:color w:val="000000"/>
        </w:rPr>
      </w:pPr>
      <w:r w:rsidRPr="00DA3766">
        <w:t>经标的公司撮合，乐腾腾受让深圳市前海千意智合三期转让退出的股权及广州科学城创业投资管理有限公司退出份额所对应乐</w:t>
      </w:r>
      <w:r w:rsidR="00B9064B" w:rsidRPr="00DA3766">
        <w:t>摇</w:t>
      </w:r>
      <w:r w:rsidRPr="00DA3766">
        <w:t>持有的股权后，再转让给</w:t>
      </w:r>
      <w:r w:rsidRPr="00DA3766">
        <w:t>D+</w:t>
      </w:r>
      <w:r w:rsidRPr="00DA3766">
        <w:t>轮投资者，所得资金用于支付受让深圳市前海千意智合三期及乐摇股权对价，乐腾腾转让股权后剩余部分用于标的公司未来股权激励，</w:t>
      </w:r>
      <w:r w:rsidRPr="00DA3766">
        <w:rPr>
          <w:bCs/>
          <w:color w:val="000000"/>
        </w:rPr>
        <w:t>不存在利益输送情形。</w:t>
      </w:r>
    </w:p>
    <w:p w14:paraId="6BB83DA1" w14:textId="1872B283" w:rsidR="004B2E60" w:rsidRPr="00DA3766" w:rsidRDefault="004B2E60" w:rsidP="008A1B9E">
      <w:pPr>
        <w:pStyle w:val="005"/>
        <w:spacing w:before="120" w:after="120"/>
        <w:ind w:firstLine="480"/>
      </w:pPr>
      <w:r w:rsidRPr="00DA3766">
        <w:t>如前所述，乐腾腾受让深圳市前海千意智合三期转让退出的股权及广州科学城创业投资管理有限公司退出份额所对应乐</w:t>
      </w:r>
      <w:r w:rsidR="00B9064B" w:rsidRPr="00DA3766">
        <w:t>摇</w:t>
      </w:r>
      <w:r w:rsidRPr="00DA3766">
        <w:t>持有的股权，以及乐腾腾受让股权后转让给</w:t>
      </w:r>
      <w:r w:rsidRPr="00DA3766">
        <w:t>D+</w:t>
      </w:r>
      <w:r w:rsidRPr="00DA3766">
        <w:t>轮投资者，交易价格均系在标的公司撮合下由转让各方协商确定，具有商业合理性，价格公允。</w:t>
      </w:r>
    </w:p>
    <w:p w14:paraId="1621444C" w14:textId="77777777" w:rsidR="004B2E60" w:rsidRPr="00DA3766" w:rsidRDefault="004B2E60" w:rsidP="008A1B9E">
      <w:pPr>
        <w:pStyle w:val="005"/>
        <w:spacing w:before="120" w:after="120"/>
        <w:ind w:firstLine="480"/>
        <w:rPr>
          <w:color w:val="000000"/>
        </w:rPr>
      </w:pPr>
      <w:r w:rsidRPr="00DA3766">
        <w:lastRenderedPageBreak/>
        <w:t>综上所述，</w:t>
      </w:r>
      <w:r w:rsidRPr="00DA3766">
        <w:rPr>
          <w:color w:val="000000"/>
        </w:rPr>
        <w:t>乐腾腾与转让方及受让方之间不存在关联关系，股权受让及转让过程不存在利益输送情形，交易价格公允。</w:t>
      </w:r>
      <w:bookmarkEnd w:id="234"/>
    </w:p>
    <w:p w14:paraId="1545E65D" w14:textId="7EB3F4B6" w:rsidR="004B2E60" w:rsidRPr="00DA3766" w:rsidRDefault="00F95086" w:rsidP="004B2E60">
      <w:pPr>
        <w:pStyle w:val="004"/>
        <w:spacing w:before="120" w:after="120"/>
        <w:ind w:firstLine="482"/>
        <w:rPr>
          <w:color w:val="000000"/>
        </w:rPr>
      </w:pPr>
      <w:r w:rsidRPr="00DA3766">
        <w:t>3</w:t>
      </w:r>
      <w:r w:rsidR="004B2E60" w:rsidRPr="00DA3766">
        <w:t>、构成股份支付，已计提相关费用，费用计提充分、准确、完整，申报文件中相关财务数据准确</w:t>
      </w:r>
    </w:p>
    <w:p w14:paraId="35A32D97" w14:textId="29EB5418" w:rsidR="004B2E60" w:rsidRPr="00DA3766" w:rsidRDefault="004B2E60" w:rsidP="008A1B9E">
      <w:pPr>
        <w:pStyle w:val="005"/>
        <w:spacing w:before="120" w:after="120"/>
        <w:ind w:firstLine="480"/>
      </w:pPr>
      <w:r w:rsidRPr="00DA3766">
        <w:rPr>
          <w:bCs/>
          <w:color w:val="000000"/>
        </w:rPr>
        <w:t>乐腾腾系</w:t>
      </w:r>
      <w:r w:rsidR="004A761D" w:rsidRPr="00DA3766">
        <w:rPr>
          <w:bCs/>
          <w:color w:val="000000"/>
        </w:rPr>
        <w:t>标的</w:t>
      </w:r>
      <w:r w:rsidRPr="00DA3766">
        <w:rPr>
          <w:bCs/>
          <w:color w:val="000000"/>
        </w:rPr>
        <w:t>公司持股员工持股平台，本次乐腾腾受让</w:t>
      </w:r>
      <w:r w:rsidRPr="00DA3766">
        <w:t>深圳市前海千意智合三期转让退出的股权及广州科学城创业投资管理有限公司退出</w:t>
      </w:r>
      <w:r w:rsidR="00E06192" w:rsidRPr="00DA3766">
        <w:t>乐摇的合伙</w:t>
      </w:r>
      <w:r w:rsidRPr="00DA3766">
        <w:t>份额对应</w:t>
      </w:r>
      <w:r w:rsidR="00E06192" w:rsidRPr="00DA3766">
        <w:t>所持标的公司股权</w:t>
      </w:r>
      <w:r w:rsidRPr="00DA3766">
        <w:t>后，再转让给</w:t>
      </w:r>
      <w:r w:rsidRPr="00DA3766">
        <w:t>D+</w:t>
      </w:r>
      <w:r w:rsidRPr="00DA3766">
        <w:t>轮投资者，乐腾腾转让股权后剩余部分用于标的公司未来股权激励，对于该部分剩余股权，标的公司在后续股权激励授予当中已进行股份支付费用计提，费用计提充分、准确、完整</w:t>
      </w:r>
      <w:r w:rsidR="00176D50" w:rsidRPr="00DA3766">
        <w:t>，</w:t>
      </w:r>
      <w:r w:rsidRPr="00DA3766">
        <w:t>申报文件中相关财务数据准确</w:t>
      </w:r>
      <w:r w:rsidR="00176D50" w:rsidRPr="00DA3766">
        <w:t>。股份支付费用计提情况</w:t>
      </w:r>
      <w:r w:rsidRPr="00DA3766">
        <w:t>详见本回复之</w:t>
      </w:r>
      <w:r w:rsidRPr="00DA3766">
        <w:rPr>
          <w:rFonts w:ascii="宋体" w:hAnsi="宋体"/>
        </w:rPr>
        <w:t>“</w:t>
      </w:r>
      <w:r w:rsidRPr="00DA3766">
        <w:t>问题</w:t>
      </w:r>
      <w:r w:rsidRPr="00DA3766">
        <w:t>8</w:t>
      </w:r>
      <w:r w:rsidRPr="00DA3766">
        <w:rPr>
          <w:rFonts w:ascii="宋体" w:hAnsi="宋体"/>
        </w:rPr>
        <w:t>”</w:t>
      </w:r>
      <w:r w:rsidRPr="00DA3766">
        <w:t>之</w:t>
      </w:r>
      <w:r w:rsidRPr="00DA3766">
        <w:rPr>
          <w:rFonts w:ascii="宋体" w:hAnsi="宋体"/>
        </w:rPr>
        <w:t>“</w:t>
      </w:r>
      <w:r w:rsidRPr="00DA3766">
        <w:t>一、详细列示补充标的资产及前身历次增资及股权转让的具体情况，作价是否公允，标的资产管理层及相关持股平台入股是否存在股份支付，股份支付费用计提是否准确，申报文件中相关财务数据是否准确</w:t>
      </w:r>
      <w:r w:rsidRPr="00DA3766">
        <w:rPr>
          <w:rFonts w:ascii="宋体" w:hAnsi="宋体"/>
        </w:rPr>
        <w:t>”</w:t>
      </w:r>
      <w:r w:rsidRPr="00DA3766">
        <w:t>之</w:t>
      </w:r>
      <w:r w:rsidRPr="00DA3766">
        <w:rPr>
          <w:rFonts w:ascii="宋体" w:hAnsi="宋体"/>
        </w:rPr>
        <w:t>“</w:t>
      </w:r>
      <w:r w:rsidRPr="00DA3766">
        <w:t>标的资产管理层及相关持股平台入股是否存在股份支付，股份支付费用计提是否准确，申报文件中相关财务数据是否准确</w:t>
      </w:r>
      <w:r w:rsidRPr="00DA3766">
        <w:rPr>
          <w:rFonts w:ascii="宋体" w:hAnsi="宋体"/>
        </w:rPr>
        <w:t>”</w:t>
      </w:r>
      <w:r w:rsidRPr="00DA3766">
        <w:t>相关内容。</w:t>
      </w:r>
    </w:p>
    <w:p w14:paraId="7C5FA6CD" w14:textId="5018CF59" w:rsidR="008778CC" w:rsidRPr="00DA3766" w:rsidRDefault="004B2E60" w:rsidP="008A1B9E">
      <w:pPr>
        <w:pStyle w:val="005"/>
        <w:spacing w:before="120" w:after="120"/>
        <w:ind w:firstLine="480"/>
        <w:rPr>
          <w:kern w:val="0"/>
          <w:szCs w:val="24"/>
        </w:rPr>
      </w:pPr>
      <w:r w:rsidRPr="00DA3766">
        <w:rPr>
          <w:kern w:val="0"/>
          <w:szCs w:val="24"/>
        </w:rPr>
        <w:t>乐腾腾转让股权给</w:t>
      </w:r>
      <w:r w:rsidRPr="00DA3766">
        <w:rPr>
          <w:kern w:val="0"/>
          <w:szCs w:val="24"/>
        </w:rPr>
        <w:t>D+</w:t>
      </w:r>
      <w:r w:rsidRPr="00DA3766">
        <w:rPr>
          <w:kern w:val="0"/>
          <w:szCs w:val="24"/>
        </w:rPr>
        <w:t>轮投资者属于市场投资行为，不构成股份支付。</w:t>
      </w:r>
    </w:p>
    <w:p w14:paraId="4BF5595F" w14:textId="17B40862" w:rsidR="00E22816" w:rsidRPr="00DA3766" w:rsidRDefault="00E22816" w:rsidP="008A1B9E">
      <w:pPr>
        <w:pStyle w:val="005"/>
        <w:spacing w:before="120" w:after="120"/>
        <w:ind w:firstLine="480"/>
        <w:rPr>
          <w:kern w:val="0"/>
          <w:szCs w:val="24"/>
        </w:rPr>
      </w:pPr>
      <w:r w:rsidRPr="00DA3766">
        <w:rPr>
          <w:kern w:val="0"/>
          <w:szCs w:val="24"/>
        </w:rPr>
        <w:t>上述内容已在</w:t>
      </w:r>
      <w:r w:rsidR="00F32A32" w:rsidRPr="00DA3766">
        <w:rPr>
          <w:kern w:val="0"/>
          <w:szCs w:val="24"/>
        </w:rPr>
        <w:t>《重组报告书》</w:t>
      </w:r>
      <w:r w:rsidRPr="00DA3766">
        <w:rPr>
          <w:rFonts w:ascii="宋体" w:hAnsi="宋体"/>
          <w:kern w:val="0"/>
          <w:szCs w:val="24"/>
        </w:rPr>
        <w:t>“</w:t>
      </w:r>
      <w:r w:rsidRPr="00DA3766">
        <w:rPr>
          <w:kern w:val="0"/>
          <w:szCs w:val="24"/>
        </w:rPr>
        <w:t>第四节</w:t>
      </w:r>
      <w:r w:rsidRPr="00DA3766">
        <w:rPr>
          <w:kern w:val="0"/>
          <w:szCs w:val="24"/>
        </w:rPr>
        <w:t xml:space="preserve"> </w:t>
      </w:r>
      <w:r w:rsidRPr="00DA3766">
        <w:rPr>
          <w:kern w:val="0"/>
          <w:szCs w:val="24"/>
        </w:rPr>
        <w:t>交易标的基本情况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二、历史沿革</w:t>
      </w:r>
      <w:r w:rsidRPr="00DA3766">
        <w:rPr>
          <w:rFonts w:ascii="宋体" w:hAnsi="宋体"/>
          <w:kern w:val="0"/>
          <w:szCs w:val="24"/>
        </w:rPr>
        <w:t>”</w:t>
      </w:r>
      <w:r w:rsidRPr="00DA3766">
        <w:rPr>
          <w:kern w:val="0"/>
          <w:szCs w:val="24"/>
        </w:rPr>
        <w:t>补充披露。</w:t>
      </w:r>
    </w:p>
    <w:p w14:paraId="3DB586A6" w14:textId="77777777" w:rsidR="004B2E60" w:rsidRPr="00DA3766" w:rsidRDefault="004B2E60" w:rsidP="004B2E60">
      <w:pPr>
        <w:pStyle w:val="002"/>
        <w:spacing w:before="120" w:after="120"/>
        <w:ind w:firstLine="482"/>
        <w:sectPr w:rsidR="004B2E60" w:rsidRPr="00DA3766" w:rsidSect="004B2E60">
          <w:type w:val="continuous"/>
          <w:pgSz w:w="11906" w:h="16838"/>
          <w:pgMar w:top="1440" w:right="1797" w:bottom="1440" w:left="1797" w:header="851" w:footer="992" w:gutter="0"/>
          <w:cols w:space="425"/>
          <w:docGrid w:linePitch="312"/>
        </w:sectPr>
      </w:pPr>
    </w:p>
    <w:p w14:paraId="27A5C58F" w14:textId="721C21DF" w:rsidR="004B2E60" w:rsidRPr="00DA3766" w:rsidRDefault="004B2E60" w:rsidP="004B2E60">
      <w:pPr>
        <w:pStyle w:val="002"/>
        <w:spacing w:before="120" w:after="120"/>
        <w:ind w:firstLine="482"/>
      </w:pPr>
      <w:bookmarkStart w:id="236" w:name="_Hlk219330691"/>
      <w:r w:rsidRPr="00DA3766">
        <w:lastRenderedPageBreak/>
        <w:t>四、</w:t>
      </w:r>
      <w:bookmarkStart w:id="237" w:name="_Hlk219373831"/>
      <w:r w:rsidRPr="00DA3766">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rsidRPr="00DA3766">
        <w:t>2024</w:t>
      </w:r>
      <w:r w:rsidRPr="00DA3766">
        <w:t>年收入利润增长的情况下四次减资的原因与商业逻辑，标的资产的生产经营及所处行业是否存在不利因素，上市公司在外部股东减资退出的情况下以</w:t>
      </w:r>
      <w:r w:rsidRPr="00DA3766">
        <w:t>649.77%</w:t>
      </w:r>
      <w:r w:rsidRPr="00DA3766">
        <w:t>的增值率收购标的资产的原因及合理性，本次交易是否有利于提高上市公司资产质量、增强持续经营能力</w:t>
      </w:r>
      <w:bookmarkEnd w:id="237"/>
    </w:p>
    <w:p w14:paraId="00FD3B0B" w14:textId="20EDA9E0" w:rsidR="004B2E60" w:rsidRPr="00DA3766" w:rsidRDefault="004B2E60" w:rsidP="004B2E60">
      <w:pPr>
        <w:pStyle w:val="003"/>
        <w:spacing w:before="120" w:after="120"/>
        <w:ind w:firstLine="482"/>
      </w:pPr>
      <w:bookmarkStart w:id="238" w:name="_Hlk219373935"/>
      <w:bookmarkEnd w:id="236"/>
      <w:r w:rsidRPr="00DA3766">
        <w:t>（一）标的资产相关股东减资的具体情况，包括时间、减资比例、是否已履行相关程序、税务合规性、支付减资款的金额与时间安排、确认金额的方式及公允性、截至回函日尚待支付的减资款、是否存在纠纷或潜在纠纷</w:t>
      </w:r>
    </w:p>
    <w:p w14:paraId="4D41D2CC" w14:textId="5FD77C37" w:rsidR="000706BE" w:rsidRPr="00DA3766" w:rsidRDefault="000706BE" w:rsidP="008A1B9E">
      <w:pPr>
        <w:pStyle w:val="005"/>
        <w:spacing w:before="120" w:after="120"/>
        <w:ind w:firstLine="480"/>
      </w:pPr>
      <w:r w:rsidRPr="00DA3766">
        <w:t>截至本回复出具之日，标的资产相关股东减资款项已全部支付完毕，减资具体情况如下：</w:t>
      </w:r>
    </w:p>
    <w:tbl>
      <w:tblPr>
        <w:tblStyle w:val="35"/>
        <w:tblW w:w="5083" w:type="pct"/>
        <w:jc w:val="center"/>
        <w:tblBorders>
          <w:top w:val="thinThickSmallGap" w:sz="24" w:space="0" w:color="auto"/>
          <w:bottom w:val="thickThinSmallGap" w:sz="24" w:space="0" w:color="auto"/>
        </w:tblBorders>
        <w:tblLook w:val="04A0" w:firstRow="1" w:lastRow="0" w:firstColumn="1" w:lastColumn="0" w:noHBand="0" w:noVBand="1"/>
      </w:tblPr>
      <w:tblGrid>
        <w:gridCol w:w="1130"/>
        <w:gridCol w:w="1530"/>
        <w:gridCol w:w="1233"/>
        <w:gridCol w:w="1542"/>
        <w:gridCol w:w="1496"/>
        <w:gridCol w:w="1337"/>
        <w:gridCol w:w="1795"/>
        <w:gridCol w:w="1510"/>
        <w:gridCol w:w="1418"/>
        <w:gridCol w:w="1418"/>
      </w:tblGrid>
      <w:tr w:rsidR="004B2E60" w:rsidRPr="007F36AF" w14:paraId="0EBB1063" w14:textId="77777777" w:rsidTr="007F36AF">
        <w:trPr>
          <w:trHeight w:val="397"/>
          <w:tblHeader/>
          <w:jc w:val="center"/>
        </w:trPr>
        <w:tc>
          <w:tcPr>
            <w:tcW w:w="392" w:type="pct"/>
            <w:tcMar>
              <w:top w:w="0" w:type="dxa"/>
              <w:bottom w:w="0" w:type="dxa"/>
            </w:tcMar>
            <w:vAlign w:val="center"/>
          </w:tcPr>
          <w:p w14:paraId="6F7217C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时间</w:t>
            </w:r>
          </w:p>
        </w:tc>
        <w:tc>
          <w:tcPr>
            <w:tcW w:w="531" w:type="pct"/>
            <w:tcMar>
              <w:top w:w="0" w:type="dxa"/>
              <w:bottom w:w="0" w:type="dxa"/>
            </w:tcMar>
            <w:vAlign w:val="center"/>
          </w:tcPr>
          <w:p w14:paraId="0707A89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减资对象</w:t>
            </w:r>
          </w:p>
        </w:tc>
        <w:tc>
          <w:tcPr>
            <w:tcW w:w="428" w:type="pct"/>
            <w:tcMar>
              <w:top w:w="0" w:type="dxa"/>
              <w:bottom w:w="0" w:type="dxa"/>
            </w:tcMar>
            <w:vAlign w:val="center"/>
          </w:tcPr>
          <w:p w14:paraId="4BDBFE7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减资比例</w:t>
            </w:r>
          </w:p>
        </w:tc>
        <w:tc>
          <w:tcPr>
            <w:tcW w:w="535" w:type="pct"/>
            <w:tcMar>
              <w:top w:w="0" w:type="dxa"/>
              <w:bottom w:w="0" w:type="dxa"/>
            </w:tcMar>
            <w:vAlign w:val="center"/>
          </w:tcPr>
          <w:p w14:paraId="51BE62B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履行的减资相关程序</w:t>
            </w:r>
          </w:p>
        </w:tc>
        <w:tc>
          <w:tcPr>
            <w:tcW w:w="519" w:type="pct"/>
            <w:tcMar>
              <w:top w:w="0" w:type="dxa"/>
              <w:bottom w:w="0" w:type="dxa"/>
            </w:tcMar>
            <w:vAlign w:val="center"/>
          </w:tcPr>
          <w:p w14:paraId="0FDCE80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纳税情况</w:t>
            </w:r>
          </w:p>
        </w:tc>
        <w:tc>
          <w:tcPr>
            <w:tcW w:w="464" w:type="pct"/>
            <w:tcMar>
              <w:top w:w="0" w:type="dxa"/>
              <w:bottom w:w="0" w:type="dxa"/>
            </w:tcMar>
            <w:vAlign w:val="center"/>
          </w:tcPr>
          <w:p w14:paraId="28BD680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支付减资款金额（万元）</w:t>
            </w:r>
          </w:p>
        </w:tc>
        <w:tc>
          <w:tcPr>
            <w:tcW w:w="623" w:type="pct"/>
            <w:tcMar>
              <w:top w:w="0" w:type="dxa"/>
              <w:bottom w:w="0" w:type="dxa"/>
            </w:tcMar>
            <w:vAlign w:val="center"/>
          </w:tcPr>
          <w:p w14:paraId="054D6D9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支付时间</w:t>
            </w:r>
          </w:p>
        </w:tc>
        <w:tc>
          <w:tcPr>
            <w:tcW w:w="524" w:type="pct"/>
            <w:tcMar>
              <w:top w:w="0" w:type="dxa"/>
              <w:bottom w:w="0" w:type="dxa"/>
            </w:tcMar>
            <w:vAlign w:val="center"/>
          </w:tcPr>
          <w:p w14:paraId="06726D3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定价依据及公允性</w:t>
            </w:r>
          </w:p>
        </w:tc>
        <w:tc>
          <w:tcPr>
            <w:tcW w:w="492" w:type="pct"/>
            <w:tcMar>
              <w:top w:w="0" w:type="dxa"/>
              <w:bottom w:w="0" w:type="dxa"/>
            </w:tcMar>
            <w:vAlign w:val="center"/>
          </w:tcPr>
          <w:p w14:paraId="6BFE2992" w14:textId="77777777" w:rsidR="008A1B9E"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待支付减资款金额</w:t>
            </w:r>
          </w:p>
          <w:p w14:paraId="6ED56ACA" w14:textId="108DB5E9"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（万元）</w:t>
            </w:r>
          </w:p>
        </w:tc>
        <w:tc>
          <w:tcPr>
            <w:tcW w:w="492" w:type="pct"/>
            <w:tcMar>
              <w:top w:w="0" w:type="dxa"/>
              <w:bottom w:w="0" w:type="dxa"/>
            </w:tcMar>
            <w:vAlign w:val="center"/>
          </w:tcPr>
          <w:p w14:paraId="27886677" w14:textId="77777777" w:rsidR="008A1B9E"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是否存在纠纷或潜在</w:t>
            </w:r>
          </w:p>
          <w:p w14:paraId="0C6EB8FA" w14:textId="36CFAD43"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纠纷</w:t>
            </w:r>
          </w:p>
        </w:tc>
      </w:tr>
      <w:tr w:rsidR="004B2E60" w:rsidRPr="007F36AF" w14:paraId="6517C40E" w14:textId="77777777" w:rsidTr="007F36AF">
        <w:trPr>
          <w:trHeight w:val="397"/>
          <w:jc w:val="center"/>
        </w:trPr>
        <w:tc>
          <w:tcPr>
            <w:tcW w:w="392" w:type="pct"/>
            <w:vMerge w:val="restart"/>
            <w:tcMar>
              <w:top w:w="0" w:type="dxa"/>
              <w:bottom w:w="0" w:type="dxa"/>
            </w:tcMar>
            <w:vAlign w:val="center"/>
          </w:tcPr>
          <w:p w14:paraId="397056F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2024.06</w:t>
            </w:r>
          </w:p>
        </w:tc>
        <w:tc>
          <w:tcPr>
            <w:tcW w:w="531" w:type="pct"/>
            <w:tcMar>
              <w:top w:w="0" w:type="dxa"/>
              <w:bottom w:w="0" w:type="dxa"/>
            </w:tcMar>
            <w:vAlign w:val="center"/>
          </w:tcPr>
          <w:p w14:paraId="25C539F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蕙富皓玥</w:t>
            </w:r>
          </w:p>
        </w:tc>
        <w:tc>
          <w:tcPr>
            <w:tcW w:w="428" w:type="pct"/>
            <w:tcMar>
              <w:top w:w="0" w:type="dxa"/>
              <w:bottom w:w="0" w:type="dxa"/>
            </w:tcMar>
            <w:vAlign w:val="center"/>
          </w:tcPr>
          <w:p w14:paraId="1A4E8D3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2.13%</w:t>
            </w:r>
          </w:p>
        </w:tc>
        <w:tc>
          <w:tcPr>
            <w:tcW w:w="535" w:type="pct"/>
            <w:vMerge w:val="restart"/>
            <w:tcMar>
              <w:top w:w="0" w:type="dxa"/>
              <w:bottom w:w="0" w:type="dxa"/>
            </w:tcMar>
            <w:vAlign w:val="center"/>
          </w:tcPr>
          <w:p w14:paraId="528BEC1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5CEE07C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14:paraId="32AD1EB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4,100.00</w:t>
            </w:r>
          </w:p>
        </w:tc>
        <w:tc>
          <w:tcPr>
            <w:tcW w:w="623" w:type="pct"/>
            <w:tcMar>
              <w:top w:w="0" w:type="dxa"/>
              <w:bottom w:w="0" w:type="dxa"/>
            </w:tcMar>
            <w:vAlign w:val="center"/>
          </w:tcPr>
          <w:p w14:paraId="367FCF2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val="restart"/>
            <w:tcMar>
              <w:top w:w="0" w:type="dxa"/>
              <w:bottom w:w="0" w:type="dxa"/>
            </w:tcMar>
            <w:vAlign w:val="center"/>
          </w:tcPr>
          <w:p w14:paraId="603C183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14:paraId="7C79BD2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55ABD2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14AAFF06" w14:textId="77777777" w:rsidTr="007F36AF">
        <w:trPr>
          <w:trHeight w:val="397"/>
          <w:jc w:val="center"/>
        </w:trPr>
        <w:tc>
          <w:tcPr>
            <w:tcW w:w="392" w:type="pct"/>
            <w:vMerge/>
            <w:tcMar>
              <w:top w:w="0" w:type="dxa"/>
              <w:bottom w:w="0" w:type="dxa"/>
            </w:tcMar>
            <w:vAlign w:val="center"/>
          </w:tcPr>
          <w:p w14:paraId="5BC9381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5179662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汇垠众富</w:t>
            </w:r>
          </w:p>
        </w:tc>
        <w:tc>
          <w:tcPr>
            <w:tcW w:w="428" w:type="pct"/>
            <w:tcMar>
              <w:top w:w="0" w:type="dxa"/>
              <w:bottom w:w="0" w:type="dxa"/>
            </w:tcMar>
            <w:vAlign w:val="center"/>
          </w:tcPr>
          <w:p w14:paraId="3950CEE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0.21%</w:t>
            </w:r>
          </w:p>
        </w:tc>
        <w:tc>
          <w:tcPr>
            <w:tcW w:w="535" w:type="pct"/>
            <w:vMerge/>
            <w:tcMar>
              <w:top w:w="0" w:type="dxa"/>
              <w:bottom w:w="0" w:type="dxa"/>
            </w:tcMar>
            <w:vAlign w:val="center"/>
          </w:tcPr>
          <w:p w14:paraId="6C1EE4A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783718A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74BAE3FD"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400.00</w:t>
            </w:r>
          </w:p>
        </w:tc>
        <w:tc>
          <w:tcPr>
            <w:tcW w:w="623" w:type="pct"/>
            <w:tcMar>
              <w:top w:w="0" w:type="dxa"/>
              <w:bottom w:w="0" w:type="dxa"/>
            </w:tcMar>
            <w:vAlign w:val="center"/>
          </w:tcPr>
          <w:p w14:paraId="40C948D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04FC113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52C10F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692B1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83C242D" w14:textId="77777777" w:rsidTr="007F36AF">
        <w:trPr>
          <w:trHeight w:val="397"/>
          <w:jc w:val="center"/>
        </w:trPr>
        <w:tc>
          <w:tcPr>
            <w:tcW w:w="392" w:type="pct"/>
            <w:vMerge/>
            <w:tcMar>
              <w:top w:w="0" w:type="dxa"/>
              <w:bottom w:w="0" w:type="dxa"/>
            </w:tcMar>
            <w:vAlign w:val="center"/>
          </w:tcPr>
          <w:p w14:paraId="7F06528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09924F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中信证券</w:t>
            </w:r>
          </w:p>
        </w:tc>
        <w:tc>
          <w:tcPr>
            <w:tcW w:w="428" w:type="pct"/>
            <w:tcMar>
              <w:top w:w="0" w:type="dxa"/>
              <w:bottom w:w="0" w:type="dxa"/>
            </w:tcMar>
            <w:vAlign w:val="center"/>
          </w:tcPr>
          <w:p w14:paraId="7E2AFD0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2.60%</w:t>
            </w:r>
          </w:p>
        </w:tc>
        <w:tc>
          <w:tcPr>
            <w:tcW w:w="535" w:type="pct"/>
            <w:vMerge/>
            <w:tcMar>
              <w:top w:w="0" w:type="dxa"/>
              <w:bottom w:w="0" w:type="dxa"/>
            </w:tcMar>
            <w:vAlign w:val="center"/>
          </w:tcPr>
          <w:p w14:paraId="5238E5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BD5E78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8202D5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5,000.00</w:t>
            </w:r>
          </w:p>
        </w:tc>
        <w:tc>
          <w:tcPr>
            <w:tcW w:w="623" w:type="pct"/>
            <w:tcMar>
              <w:top w:w="0" w:type="dxa"/>
              <w:bottom w:w="0" w:type="dxa"/>
            </w:tcMar>
            <w:vAlign w:val="center"/>
          </w:tcPr>
          <w:p w14:paraId="5579246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237722B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2C7AC9E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D9F6D9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22D4A9CF" w14:textId="77777777" w:rsidTr="007F36AF">
        <w:trPr>
          <w:trHeight w:val="397"/>
          <w:jc w:val="center"/>
        </w:trPr>
        <w:tc>
          <w:tcPr>
            <w:tcW w:w="392" w:type="pct"/>
            <w:vMerge/>
            <w:tcMar>
              <w:top w:w="0" w:type="dxa"/>
              <w:bottom w:w="0" w:type="dxa"/>
            </w:tcMar>
            <w:vAlign w:val="center"/>
          </w:tcPr>
          <w:p w14:paraId="6644C8F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77DE4D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睿信创投</w:t>
            </w:r>
          </w:p>
        </w:tc>
        <w:tc>
          <w:tcPr>
            <w:tcW w:w="428" w:type="pct"/>
            <w:tcMar>
              <w:top w:w="0" w:type="dxa"/>
              <w:bottom w:w="0" w:type="dxa"/>
            </w:tcMar>
            <w:vAlign w:val="center"/>
          </w:tcPr>
          <w:p w14:paraId="264E049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0.52%</w:t>
            </w:r>
          </w:p>
        </w:tc>
        <w:tc>
          <w:tcPr>
            <w:tcW w:w="535" w:type="pct"/>
            <w:vMerge/>
            <w:tcMar>
              <w:top w:w="0" w:type="dxa"/>
              <w:bottom w:w="0" w:type="dxa"/>
            </w:tcMar>
            <w:vAlign w:val="center"/>
          </w:tcPr>
          <w:p w14:paraId="1A12667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4EF21F7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9AD6368"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1,000.00</w:t>
            </w:r>
          </w:p>
        </w:tc>
        <w:tc>
          <w:tcPr>
            <w:tcW w:w="623" w:type="pct"/>
            <w:tcMar>
              <w:top w:w="0" w:type="dxa"/>
              <w:bottom w:w="0" w:type="dxa"/>
            </w:tcMar>
            <w:vAlign w:val="center"/>
          </w:tcPr>
          <w:p w14:paraId="4BCB64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54D9572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0F283E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2BA5ED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460CC57" w14:textId="77777777" w:rsidTr="007F36AF">
        <w:trPr>
          <w:trHeight w:val="397"/>
          <w:jc w:val="center"/>
        </w:trPr>
        <w:tc>
          <w:tcPr>
            <w:tcW w:w="392" w:type="pct"/>
            <w:vMerge/>
            <w:tcMar>
              <w:top w:w="0" w:type="dxa"/>
              <w:bottom w:w="0" w:type="dxa"/>
            </w:tcMar>
            <w:vAlign w:val="center"/>
          </w:tcPr>
          <w:p w14:paraId="538325E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6952794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睿启创投</w:t>
            </w:r>
          </w:p>
        </w:tc>
        <w:tc>
          <w:tcPr>
            <w:tcW w:w="428" w:type="pct"/>
            <w:tcMar>
              <w:top w:w="0" w:type="dxa"/>
              <w:bottom w:w="0" w:type="dxa"/>
            </w:tcMar>
            <w:vAlign w:val="center"/>
          </w:tcPr>
          <w:p w14:paraId="1C0412A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0.52%</w:t>
            </w:r>
          </w:p>
        </w:tc>
        <w:tc>
          <w:tcPr>
            <w:tcW w:w="535" w:type="pct"/>
            <w:vMerge/>
            <w:tcMar>
              <w:top w:w="0" w:type="dxa"/>
              <w:bottom w:w="0" w:type="dxa"/>
            </w:tcMar>
            <w:vAlign w:val="center"/>
          </w:tcPr>
          <w:p w14:paraId="634D6E4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C8CAE8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2C1039E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1,000.00</w:t>
            </w:r>
          </w:p>
        </w:tc>
        <w:tc>
          <w:tcPr>
            <w:tcW w:w="623" w:type="pct"/>
            <w:tcMar>
              <w:top w:w="0" w:type="dxa"/>
              <w:bottom w:w="0" w:type="dxa"/>
            </w:tcMar>
            <w:vAlign w:val="center"/>
          </w:tcPr>
          <w:p w14:paraId="05890F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76164D2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09A23F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463668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0AC6B231" w14:textId="77777777" w:rsidTr="007F36AF">
        <w:trPr>
          <w:trHeight w:val="397"/>
          <w:jc w:val="center"/>
        </w:trPr>
        <w:tc>
          <w:tcPr>
            <w:tcW w:w="392" w:type="pct"/>
            <w:vMerge/>
            <w:tcMar>
              <w:top w:w="0" w:type="dxa"/>
              <w:bottom w:w="0" w:type="dxa"/>
            </w:tcMar>
            <w:vAlign w:val="center"/>
          </w:tcPr>
          <w:p w14:paraId="008BFF2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15C80A9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三七科技</w:t>
            </w:r>
          </w:p>
        </w:tc>
        <w:tc>
          <w:tcPr>
            <w:tcW w:w="428" w:type="pct"/>
            <w:tcMar>
              <w:top w:w="0" w:type="dxa"/>
              <w:bottom w:w="0" w:type="dxa"/>
            </w:tcMar>
            <w:vAlign w:val="center"/>
          </w:tcPr>
          <w:p w14:paraId="364B9FD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0.31%</w:t>
            </w:r>
          </w:p>
        </w:tc>
        <w:tc>
          <w:tcPr>
            <w:tcW w:w="535" w:type="pct"/>
            <w:vMerge/>
            <w:tcMar>
              <w:top w:w="0" w:type="dxa"/>
              <w:bottom w:w="0" w:type="dxa"/>
            </w:tcMar>
            <w:vAlign w:val="center"/>
          </w:tcPr>
          <w:p w14:paraId="0E3F138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4DC976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DA92C33"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600.00</w:t>
            </w:r>
          </w:p>
        </w:tc>
        <w:tc>
          <w:tcPr>
            <w:tcW w:w="623" w:type="pct"/>
            <w:tcMar>
              <w:top w:w="0" w:type="dxa"/>
              <w:bottom w:w="0" w:type="dxa"/>
            </w:tcMar>
            <w:vAlign w:val="center"/>
          </w:tcPr>
          <w:p w14:paraId="1E117BF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1FCC971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6CDB66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CDAA3B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850495F" w14:textId="77777777" w:rsidTr="007F36AF">
        <w:trPr>
          <w:trHeight w:val="397"/>
          <w:jc w:val="center"/>
        </w:trPr>
        <w:tc>
          <w:tcPr>
            <w:tcW w:w="392" w:type="pct"/>
            <w:vMerge/>
            <w:tcMar>
              <w:top w:w="0" w:type="dxa"/>
              <w:bottom w:w="0" w:type="dxa"/>
            </w:tcMar>
            <w:vAlign w:val="center"/>
          </w:tcPr>
          <w:p w14:paraId="03AEC31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627E1EA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三七乐心</w:t>
            </w:r>
          </w:p>
        </w:tc>
        <w:tc>
          <w:tcPr>
            <w:tcW w:w="428" w:type="pct"/>
            <w:tcMar>
              <w:top w:w="0" w:type="dxa"/>
              <w:bottom w:w="0" w:type="dxa"/>
            </w:tcMar>
            <w:vAlign w:val="center"/>
          </w:tcPr>
          <w:p w14:paraId="1B6B688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0.99%</w:t>
            </w:r>
          </w:p>
        </w:tc>
        <w:tc>
          <w:tcPr>
            <w:tcW w:w="535" w:type="pct"/>
            <w:vMerge/>
            <w:tcMar>
              <w:top w:w="0" w:type="dxa"/>
              <w:bottom w:w="0" w:type="dxa"/>
            </w:tcMar>
            <w:vAlign w:val="center"/>
          </w:tcPr>
          <w:p w14:paraId="0294E34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4E0AA8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59FC028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1,900.00</w:t>
            </w:r>
          </w:p>
        </w:tc>
        <w:tc>
          <w:tcPr>
            <w:tcW w:w="623" w:type="pct"/>
            <w:tcMar>
              <w:top w:w="0" w:type="dxa"/>
              <w:bottom w:w="0" w:type="dxa"/>
            </w:tcMar>
            <w:vAlign w:val="center"/>
          </w:tcPr>
          <w:p w14:paraId="33F99F9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0A6CB76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7C3D55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EDB261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4667CABA" w14:textId="77777777" w:rsidTr="007F36AF">
        <w:trPr>
          <w:trHeight w:val="397"/>
          <w:jc w:val="center"/>
        </w:trPr>
        <w:tc>
          <w:tcPr>
            <w:tcW w:w="392" w:type="pct"/>
            <w:vMerge w:val="restart"/>
            <w:tcMar>
              <w:top w:w="0" w:type="dxa"/>
              <w:bottom w:w="0" w:type="dxa"/>
            </w:tcMar>
            <w:vAlign w:val="center"/>
          </w:tcPr>
          <w:p w14:paraId="7B1B8A4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lastRenderedPageBreak/>
              <w:t>2024.10</w:t>
            </w:r>
          </w:p>
        </w:tc>
        <w:tc>
          <w:tcPr>
            <w:tcW w:w="531" w:type="pct"/>
            <w:tcMar>
              <w:top w:w="0" w:type="dxa"/>
              <w:bottom w:w="0" w:type="dxa"/>
            </w:tcMar>
            <w:vAlign w:val="center"/>
          </w:tcPr>
          <w:p w14:paraId="6A943AD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粤财基金</w:t>
            </w:r>
          </w:p>
        </w:tc>
        <w:tc>
          <w:tcPr>
            <w:tcW w:w="428" w:type="pct"/>
            <w:tcMar>
              <w:top w:w="0" w:type="dxa"/>
              <w:bottom w:w="0" w:type="dxa"/>
            </w:tcMar>
            <w:vAlign w:val="center"/>
          </w:tcPr>
          <w:p w14:paraId="53A2A99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1.68%</w:t>
            </w:r>
          </w:p>
        </w:tc>
        <w:tc>
          <w:tcPr>
            <w:tcW w:w="535" w:type="pct"/>
            <w:vMerge w:val="restart"/>
            <w:tcMar>
              <w:top w:w="0" w:type="dxa"/>
              <w:bottom w:w="0" w:type="dxa"/>
            </w:tcMar>
            <w:vAlign w:val="center"/>
          </w:tcPr>
          <w:p w14:paraId="2251E5D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3AEC5CD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14:paraId="18B1E91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3,000.00</w:t>
            </w:r>
          </w:p>
        </w:tc>
        <w:tc>
          <w:tcPr>
            <w:tcW w:w="623" w:type="pct"/>
            <w:tcMar>
              <w:top w:w="0" w:type="dxa"/>
              <w:bottom w:w="0" w:type="dxa"/>
            </w:tcMar>
            <w:vAlign w:val="center"/>
          </w:tcPr>
          <w:p w14:paraId="7C46DF8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val="restart"/>
            <w:tcMar>
              <w:top w:w="0" w:type="dxa"/>
              <w:bottom w:w="0" w:type="dxa"/>
            </w:tcMar>
            <w:vAlign w:val="center"/>
          </w:tcPr>
          <w:p w14:paraId="45FB35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14:paraId="51323E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0F979CD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51F9F35D" w14:textId="77777777" w:rsidTr="007F36AF">
        <w:trPr>
          <w:trHeight w:val="397"/>
          <w:jc w:val="center"/>
        </w:trPr>
        <w:tc>
          <w:tcPr>
            <w:tcW w:w="392" w:type="pct"/>
            <w:vMerge/>
            <w:tcMar>
              <w:top w:w="0" w:type="dxa"/>
              <w:bottom w:w="0" w:type="dxa"/>
            </w:tcMar>
            <w:vAlign w:val="center"/>
          </w:tcPr>
          <w:p w14:paraId="16D9226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2308B0C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粤财源合</w:t>
            </w:r>
          </w:p>
        </w:tc>
        <w:tc>
          <w:tcPr>
            <w:tcW w:w="428" w:type="pct"/>
            <w:tcMar>
              <w:top w:w="0" w:type="dxa"/>
              <w:bottom w:w="0" w:type="dxa"/>
            </w:tcMar>
            <w:vAlign w:val="center"/>
          </w:tcPr>
          <w:p w14:paraId="1F730F26"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1.68%</w:t>
            </w:r>
          </w:p>
        </w:tc>
        <w:tc>
          <w:tcPr>
            <w:tcW w:w="535" w:type="pct"/>
            <w:vMerge/>
            <w:tcMar>
              <w:top w:w="0" w:type="dxa"/>
              <w:bottom w:w="0" w:type="dxa"/>
            </w:tcMar>
            <w:vAlign w:val="center"/>
          </w:tcPr>
          <w:p w14:paraId="1C18EF8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03A92BB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BFFBF8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3,000.00</w:t>
            </w:r>
          </w:p>
        </w:tc>
        <w:tc>
          <w:tcPr>
            <w:tcW w:w="623" w:type="pct"/>
            <w:tcMar>
              <w:top w:w="0" w:type="dxa"/>
              <w:bottom w:w="0" w:type="dxa"/>
            </w:tcMar>
            <w:vAlign w:val="center"/>
          </w:tcPr>
          <w:p w14:paraId="6D62D3D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0366A5D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13F614B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286370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075AE75" w14:textId="77777777" w:rsidTr="007F36AF">
        <w:trPr>
          <w:trHeight w:val="397"/>
          <w:jc w:val="center"/>
        </w:trPr>
        <w:tc>
          <w:tcPr>
            <w:tcW w:w="392" w:type="pct"/>
            <w:vMerge/>
            <w:tcMar>
              <w:top w:w="0" w:type="dxa"/>
              <w:bottom w:w="0" w:type="dxa"/>
            </w:tcMar>
            <w:vAlign w:val="center"/>
          </w:tcPr>
          <w:p w14:paraId="7CFA1F3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228D229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依星伴月</w:t>
            </w:r>
          </w:p>
        </w:tc>
        <w:tc>
          <w:tcPr>
            <w:tcW w:w="428" w:type="pct"/>
            <w:tcMar>
              <w:top w:w="0" w:type="dxa"/>
              <w:bottom w:w="0" w:type="dxa"/>
            </w:tcMar>
            <w:vAlign w:val="center"/>
          </w:tcPr>
          <w:p w14:paraId="1B74634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0.02%</w:t>
            </w:r>
          </w:p>
        </w:tc>
        <w:tc>
          <w:tcPr>
            <w:tcW w:w="535" w:type="pct"/>
            <w:vMerge/>
            <w:tcMar>
              <w:top w:w="0" w:type="dxa"/>
              <w:bottom w:w="0" w:type="dxa"/>
            </w:tcMar>
            <w:vAlign w:val="center"/>
          </w:tcPr>
          <w:p w14:paraId="5B1086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3F6B82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B042017"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w:t>
            </w:r>
          </w:p>
        </w:tc>
        <w:tc>
          <w:tcPr>
            <w:tcW w:w="623" w:type="pct"/>
            <w:tcMar>
              <w:top w:w="0" w:type="dxa"/>
              <w:bottom w:w="0" w:type="dxa"/>
            </w:tcMar>
            <w:vAlign w:val="center"/>
          </w:tcPr>
          <w:p w14:paraId="784FDD5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2AEBE5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6CE03C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873E06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66F7FE9" w14:textId="77777777" w:rsidTr="007F36AF">
        <w:trPr>
          <w:trHeight w:val="397"/>
          <w:jc w:val="center"/>
        </w:trPr>
        <w:tc>
          <w:tcPr>
            <w:tcW w:w="392" w:type="pct"/>
            <w:vMerge/>
            <w:tcMar>
              <w:top w:w="0" w:type="dxa"/>
              <w:bottom w:w="0" w:type="dxa"/>
            </w:tcMar>
            <w:vAlign w:val="center"/>
          </w:tcPr>
          <w:p w14:paraId="2DB297D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7771A8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远方资本</w:t>
            </w:r>
          </w:p>
        </w:tc>
        <w:tc>
          <w:tcPr>
            <w:tcW w:w="428" w:type="pct"/>
            <w:tcMar>
              <w:top w:w="0" w:type="dxa"/>
              <w:bottom w:w="0" w:type="dxa"/>
            </w:tcMar>
            <w:vAlign w:val="center"/>
          </w:tcPr>
          <w:p w14:paraId="6F423CB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0.35%</w:t>
            </w:r>
          </w:p>
        </w:tc>
        <w:tc>
          <w:tcPr>
            <w:tcW w:w="535" w:type="pct"/>
            <w:vMerge/>
            <w:tcMar>
              <w:top w:w="0" w:type="dxa"/>
              <w:bottom w:w="0" w:type="dxa"/>
            </w:tcMar>
            <w:vAlign w:val="center"/>
          </w:tcPr>
          <w:p w14:paraId="5B20C3E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1308330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C9AAA0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627.00</w:t>
            </w:r>
          </w:p>
        </w:tc>
        <w:tc>
          <w:tcPr>
            <w:tcW w:w="623" w:type="pct"/>
            <w:tcMar>
              <w:top w:w="0" w:type="dxa"/>
              <w:bottom w:w="0" w:type="dxa"/>
            </w:tcMar>
            <w:vAlign w:val="center"/>
          </w:tcPr>
          <w:p w14:paraId="147891A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70786A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695628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3BF2A34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9A22AB7" w14:textId="77777777" w:rsidTr="007F36AF">
        <w:trPr>
          <w:trHeight w:val="397"/>
          <w:jc w:val="center"/>
        </w:trPr>
        <w:tc>
          <w:tcPr>
            <w:tcW w:w="392" w:type="pct"/>
            <w:vMerge/>
            <w:tcMar>
              <w:top w:w="0" w:type="dxa"/>
              <w:bottom w:w="0" w:type="dxa"/>
            </w:tcMar>
            <w:vAlign w:val="center"/>
          </w:tcPr>
          <w:p w14:paraId="5E8AFDA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15322B7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三七乐心</w:t>
            </w:r>
          </w:p>
        </w:tc>
        <w:tc>
          <w:tcPr>
            <w:tcW w:w="428" w:type="pct"/>
            <w:tcMar>
              <w:top w:w="0" w:type="dxa"/>
              <w:bottom w:w="0" w:type="dxa"/>
            </w:tcMar>
            <w:vAlign w:val="center"/>
          </w:tcPr>
          <w:p w14:paraId="40B948DF"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1.06%</w:t>
            </w:r>
          </w:p>
        </w:tc>
        <w:tc>
          <w:tcPr>
            <w:tcW w:w="535" w:type="pct"/>
            <w:vMerge/>
            <w:tcMar>
              <w:top w:w="0" w:type="dxa"/>
              <w:bottom w:w="0" w:type="dxa"/>
            </w:tcMar>
            <w:vAlign w:val="center"/>
          </w:tcPr>
          <w:p w14:paraId="1F2D5D0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A57342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6E78AF1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600.00</w:t>
            </w:r>
          </w:p>
        </w:tc>
        <w:tc>
          <w:tcPr>
            <w:tcW w:w="623" w:type="pct"/>
            <w:tcMar>
              <w:top w:w="0" w:type="dxa"/>
              <w:bottom w:w="0" w:type="dxa"/>
            </w:tcMar>
            <w:vAlign w:val="center"/>
          </w:tcPr>
          <w:p w14:paraId="26E2911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5CE45FE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403F8D7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121D2D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7BB7AECD" w14:textId="77777777" w:rsidTr="007F36AF">
        <w:trPr>
          <w:trHeight w:val="397"/>
          <w:jc w:val="center"/>
        </w:trPr>
        <w:tc>
          <w:tcPr>
            <w:tcW w:w="392" w:type="pct"/>
            <w:vMerge/>
            <w:tcMar>
              <w:top w:w="0" w:type="dxa"/>
              <w:bottom w:w="0" w:type="dxa"/>
            </w:tcMar>
            <w:vAlign w:val="center"/>
          </w:tcPr>
          <w:p w14:paraId="0D4D998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7508A5B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三七科技</w:t>
            </w:r>
          </w:p>
        </w:tc>
        <w:tc>
          <w:tcPr>
            <w:tcW w:w="428" w:type="pct"/>
            <w:tcMar>
              <w:top w:w="0" w:type="dxa"/>
              <w:bottom w:w="0" w:type="dxa"/>
            </w:tcMar>
            <w:vAlign w:val="center"/>
          </w:tcPr>
          <w:p w14:paraId="67CA421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0.34%</w:t>
            </w:r>
          </w:p>
        </w:tc>
        <w:tc>
          <w:tcPr>
            <w:tcW w:w="535" w:type="pct"/>
            <w:vMerge/>
            <w:tcMar>
              <w:top w:w="0" w:type="dxa"/>
              <w:bottom w:w="0" w:type="dxa"/>
            </w:tcMar>
            <w:vAlign w:val="center"/>
          </w:tcPr>
          <w:p w14:paraId="555703E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063DF66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1221E74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1,900.00</w:t>
            </w:r>
          </w:p>
        </w:tc>
        <w:tc>
          <w:tcPr>
            <w:tcW w:w="623" w:type="pct"/>
            <w:tcMar>
              <w:top w:w="0" w:type="dxa"/>
              <w:bottom w:w="0" w:type="dxa"/>
            </w:tcMar>
            <w:vAlign w:val="center"/>
          </w:tcPr>
          <w:p w14:paraId="39B2EBF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2013DDD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531686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37F0A3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1FC37048" w14:textId="77777777" w:rsidTr="007F36AF">
        <w:trPr>
          <w:trHeight w:val="397"/>
          <w:jc w:val="center"/>
        </w:trPr>
        <w:tc>
          <w:tcPr>
            <w:tcW w:w="392" w:type="pct"/>
            <w:vMerge/>
            <w:tcMar>
              <w:top w:w="0" w:type="dxa"/>
              <w:bottom w:w="0" w:type="dxa"/>
            </w:tcMar>
            <w:vAlign w:val="center"/>
          </w:tcPr>
          <w:p w14:paraId="50B9F1F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0884AEE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科金二号</w:t>
            </w:r>
          </w:p>
        </w:tc>
        <w:tc>
          <w:tcPr>
            <w:tcW w:w="428" w:type="pct"/>
            <w:tcMar>
              <w:top w:w="0" w:type="dxa"/>
              <w:bottom w:w="0" w:type="dxa"/>
            </w:tcMar>
            <w:vAlign w:val="center"/>
          </w:tcPr>
          <w:p w14:paraId="6536BEC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1.12%</w:t>
            </w:r>
          </w:p>
        </w:tc>
        <w:tc>
          <w:tcPr>
            <w:tcW w:w="535" w:type="pct"/>
            <w:vMerge/>
            <w:tcMar>
              <w:top w:w="0" w:type="dxa"/>
              <w:bottom w:w="0" w:type="dxa"/>
            </w:tcMar>
            <w:vAlign w:val="center"/>
          </w:tcPr>
          <w:p w14:paraId="00413FC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239195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38F4E6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2,000.00</w:t>
            </w:r>
          </w:p>
        </w:tc>
        <w:tc>
          <w:tcPr>
            <w:tcW w:w="623" w:type="pct"/>
            <w:tcMar>
              <w:top w:w="0" w:type="dxa"/>
              <w:bottom w:w="0" w:type="dxa"/>
            </w:tcMar>
            <w:vAlign w:val="center"/>
          </w:tcPr>
          <w:p w14:paraId="6BC03F3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2024.10.23</w:t>
            </w:r>
          </w:p>
        </w:tc>
        <w:tc>
          <w:tcPr>
            <w:tcW w:w="524" w:type="pct"/>
            <w:vMerge/>
            <w:tcMar>
              <w:top w:w="0" w:type="dxa"/>
              <w:bottom w:w="0" w:type="dxa"/>
            </w:tcMar>
            <w:vAlign w:val="center"/>
          </w:tcPr>
          <w:p w14:paraId="4946848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1576E5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0230A8A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26A59CDB" w14:textId="77777777" w:rsidTr="007F36AF">
        <w:trPr>
          <w:trHeight w:val="397"/>
          <w:jc w:val="center"/>
        </w:trPr>
        <w:tc>
          <w:tcPr>
            <w:tcW w:w="392" w:type="pct"/>
            <w:vMerge/>
            <w:tcMar>
              <w:top w:w="0" w:type="dxa"/>
              <w:bottom w:w="0" w:type="dxa"/>
            </w:tcMar>
            <w:vAlign w:val="center"/>
          </w:tcPr>
          <w:p w14:paraId="27B72A9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8E8AD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枣庄哈拿</w:t>
            </w:r>
          </w:p>
        </w:tc>
        <w:tc>
          <w:tcPr>
            <w:tcW w:w="428" w:type="pct"/>
            <w:tcMar>
              <w:top w:w="0" w:type="dxa"/>
              <w:bottom w:w="0" w:type="dxa"/>
            </w:tcMar>
            <w:vAlign w:val="center"/>
          </w:tcPr>
          <w:p w14:paraId="51617DD9"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1.12%</w:t>
            </w:r>
          </w:p>
        </w:tc>
        <w:tc>
          <w:tcPr>
            <w:tcW w:w="535" w:type="pct"/>
            <w:vMerge/>
            <w:tcMar>
              <w:top w:w="0" w:type="dxa"/>
              <w:bottom w:w="0" w:type="dxa"/>
            </w:tcMar>
            <w:vAlign w:val="center"/>
          </w:tcPr>
          <w:p w14:paraId="2425D3E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5A3E6E1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2811BB1A"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2,000.00</w:t>
            </w:r>
          </w:p>
        </w:tc>
        <w:tc>
          <w:tcPr>
            <w:tcW w:w="623" w:type="pct"/>
            <w:tcMar>
              <w:top w:w="0" w:type="dxa"/>
              <w:bottom w:w="0" w:type="dxa"/>
            </w:tcMar>
            <w:vAlign w:val="center"/>
          </w:tcPr>
          <w:p w14:paraId="4B43930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2024.10.31</w:t>
            </w:r>
          </w:p>
        </w:tc>
        <w:tc>
          <w:tcPr>
            <w:tcW w:w="524" w:type="pct"/>
            <w:vMerge/>
            <w:tcMar>
              <w:top w:w="0" w:type="dxa"/>
              <w:bottom w:w="0" w:type="dxa"/>
            </w:tcMar>
            <w:vAlign w:val="center"/>
          </w:tcPr>
          <w:p w14:paraId="7A6BA74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EFCB8F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051A14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9619372" w14:textId="77777777" w:rsidTr="007F36AF">
        <w:trPr>
          <w:trHeight w:val="397"/>
          <w:jc w:val="center"/>
        </w:trPr>
        <w:tc>
          <w:tcPr>
            <w:tcW w:w="392" w:type="pct"/>
            <w:vMerge w:val="restart"/>
            <w:tcMar>
              <w:top w:w="0" w:type="dxa"/>
              <w:bottom w:w="0" w:type="dxa"/>
            </w:tcMar>
            <w:vAlign w:val="center"/>
          </w:tcPr>
          <w:p w14:paraId="3A7F328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2024.12</w:t>
            </w:r>
          </w:p>
        </w:tc>
        <w:tc>
          <w:tcPr>
            <w:tcW w:w="531" w:type="pct"/>
            <w:tcMar>
              <w:top w:w="0" w:type="dxa"/>
              <w:bottom w:w="0" w:type="dxa"/>
            </w:tcMar>
            <w:vAlign w:val="center"/>
          </w:tcPr>
          <w:p w14:paraId="3CC2755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璀璨远见</w:t>
            </w:r>
          </w:p>
        </w:tc>
        <w:tc>
          <w:tcPr>
            <w:tcW w:w="428" w:type="pct"/>
            <w:tcMar>
              <w:top w:w="0" w:type="dxa"/>
              <w:bottom w:w="0" w:type="dxa"/>
            </w:tcMar>
            <w:vAlign w:val="center"/>
          </w:tcPr>
          <w:p w14:paraId="0B1CF7C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1.21%</w:t>
            </w:r>
          </w:p>
        </w:tc>
        <w:tc>
          <w:tcPr>
            <w:tcW w:w="535" w:type="pct"/>
            <w:vMerge w:val="restart"/>
            <w:tcMar>
              <w:top w:w="0" w:type="dxa"/>
              <w:bottom w:w="0" w:type="dxa"/>
            </w:tcMar>
            <w:vAlign w:val="center"/>
          </w:tcPr>
          <w:p w14:paraId="71597C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1116C96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w:t>
            </w:r>
            <w:r w:rsidRPr="007F36AF">
              <w:rPr>
                <w:rFonts w:ascii="Times New Roman" w:hAnsi="Times New Roman" w:cs="Times New Roman"/>
                <w:bCs/>
                <w:color w:val="000000"/>
                <w:sz w:val="21"/>
                <w:szCs w:val="21"/>
              </w:rPr>
              <w:t>+</w:t>
            </w:r>
            <w:r w:rsidRPr="007F36AF">
              <w:rPr>
                <w:rFonts w:ascii="Times New Roman" w:hAnsi="Times New Roman" w:cs="Times New Roman"/>
                <w:bCs/>
                <w:color w:val="000000"/>
                <w:sz w:val="21"/>
                <w:szCs w:val="21"/>
              </w:rPr>
              <w:t>一定年化利息减资，溢价部分已依法足额纳税</w:t>
            </w:r>
          </w:p>
        </w:tc>
        <w:tc>
          <w:tcPr>
            <w:tcW w:w="464" w:type="pct"/>
            <w:tcMar>
              <w:top w:w="0" w:type="dxa"/>
              <w:bottom w:w="0" w:type="dxa"/>
            </w:tcMar>
            <w:vAlign w:val="center"/>
          </w:tcPr>
          <w:p w14:paraId="323A308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1,440.00</w:t>
            </w:r>
          </w:p>
        </w:tc>
        <w:tc>
          <w:tcPr>
            <w:tcW w:w="623" w:type="pct"/>
            <w:tcMar>
              <w:top w:w="0" w:type="dxa"/>
              <w:bottom w:w="0" w:type="dxa"/>
            </w:tcMar>
            <w:vAlign w:val="center"/>
          </w:tcPr>
          <w:p w14:paraId="7D65051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2025.04.28</w:t>
            </w:r>
          </w:p>
        </w:tc>
        <w:tc>
          <w:tcPr>
            <w:tcW w:w="524" w:type="pct"/>
            <w:vMerge w:val="restart"/>
            <w:tcMar>
              <w:top w:w="0" w:type="dxa"/>
              <w:bottom w:w="0" w:type="dxa"/>
            </w:tcMar>
            <w:vAlign w:val="center"/>
          </w:tcPr>
          <w:p w14:paraId="2780E680" w14:textId="75219DAD"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投资机构与标的公司协商以取得成本</w:t>
            </w:r>
            <w:r w:rsidRPr="007F36AF">
              <w:rPr>
                <w:rFonts w:ascii="Times New Roman" w:hAnsi="Times New Roman" w:cs="Times New Roman"/>
                <w:bCs/>
                <w:sz w:val="21"/>
                <w:szCs w:val="21"/>
              </w:rPr>
              <w:t>+</w:t>
            </w:r>
            <w:r w:rsidRPr="007F36AF">
              <w:rPr>
                <w:rFonts w:ascii="Times New Roman" w:hAnsi="Times New Roman" w:cs="Times New Roman"/>
                <w:bCs/>
                <w:sz w:val="21"/>
                <w:szCs w:val="21"/>
              </w:rPr>
              <w:t>一定</w:t>
            </w:r>
            <w:r w:rsidR="007970E8" w:rsidRPr="007F36AF">
              <w:rPr>
                <w:rFonts w:ascii="Times New Roman" w:hAnsi="Times New Roman" w:cs="Times New Roman"/>
                <w:bCs/>
                <w:sz w:val="21"/>
                <w:szCs w:val="21"/>
              </w:rPr>
              <w:t>年化</w:t>
            </w:r>
            <w:r w:rsidRPr="007F36AF">
              <w:rPr>
                <w:rFonts w:ascii="Times New Roman" w:hAnsi="Times New Roman" w:cs="Times New Roman"/>
                <w:bCs/>
                <w:sz w:val="21"/>
                <w:szCs w:val="21"/>
              </w:rPr>
              <w:t>利息退出，价格公允</w:t>
            </w:r>
          </w:p>
        </w:tc>
        <w:tc>
          <w:tcPr>
            <w:tcW w:w="492" w:type="pct"/>
            <w:tcMar>
              <w:top w:w="0" w:type="dxa"/>
              <w:bottom w:w="0" w:type="dxa"/>
            </w:tcMar>
            <w:vAlign w:val="center"/>
          </w:tcPr>
          <w:p w14:paraId="1717775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A494ED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D3B8A78" w14:textId="77777777" w:rsidTr="007F36AF">
        <w:trPr>
          <w:trHeight w:val="397"/>
          <w:jc w:val="center"/>
        </w:trPr>
        <w:tc>
          <w:tcPr>
            <w:tcW w:w="392" w:type="pct"/>
            <w:vMerge/>
            <w:tcMar>
              <w:top w:w="0" w:type="dxa"/>
              <w:bottom w:w="0" w:type="dxa"/>
            </w:tcMar>
            <w:vAlign w:val="center"/>
          </w:tcPr>
          <w:p w14:paraId="5F626F6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5E59A1D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璀璨德商</w:t>
            </w:r>
          </w:p>
        </w:tc>
        <w:tc>
          <w:tcPr>
            <w:tcW w:w="428" w:type="pct"/>
            <w:tcMar>
              <w:top w:w="0" w:type="dxa"/>
              <w:bottom w:w="0" w:type="dxa"/>
            </w:tcMar>
            <w:vAlign w:val="center"/>
          </w:tcPr>
          <w:p w14:paraId="2FA23E2C"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0.38%</w:t>
            </w:r>
          </w:p>
        </w:tc>
        <w:tc>
          <w:tcPr>
            <w:tcW w:w="535" w:type="pct"/>
            <w:vMerge/>
            <w:tcMar>
              <w:top w:w="0" w:type="dxa"/>
              <w:bottom w:w="0" w:type="dxa"/>
            </w:tcMar>
            <w:vAlign w:val="center"/>
          </w:tcPr>
          <w:p w14:paraId="7E37F6F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440B8CB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A235BD3"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467.8969</w:t>
            </w:r>
          </w:p>
        </w:tc>
        <w:tc>
          <w:tcPr>
            <w:tcW w:w="623" w:type="pct"/>
            <w:tcMar>
              <w:top w:w="0" w:type="dxa"/>
              <w:bottom w:w="0" w:type="dxa"/>
            </w:tcMar>
            <w:vAlign w:val="center"/>
          </w:tcPr>
          <w:p w14:paraId="098658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2025.05.28</w:t>
            </w:r>
          </w:p>
        </w:tc>
        <w:tc>
          <w:tcPr>
            <w:tcW w:w="524" w:type="pct"/>
            <w:vMerge/>
            <w:tcMar>
              <w:top w:w="0" w:type="dxa"/>
              <w:bottom w:w="0" w:type="dxa"/>
            </w:tcMar>
            <w:vAlign w:val="center"/>
          </w:tcPr>
          <w:p w14:paraId="01F8AFC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C7CC7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A01418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7EB8515E" w14:textId="77777777" w:rsidTr="007F36AF">
        <w:trPr>
          <w:trHeight w:val="397"/>
          <w:jc w:val="center"/>
        </w:trPr>
        <w:tc>
          <w:tcPr>
            <w:tcW w:w="392" w:type="pct"/>
            <w:vMerge/>
            <w:tcMar>
              <w:top w:w="0" w:type="dxa"/>
              <w:bottom w:w="0" w:type="dxa"/>
            </w:tcMar>
            <w:vAlign w:val="center"/>
          </w:tcPr>
          <w:p w14:paraId="303C00C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08F77ED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林芝利新信息</w:t>
            </w:r>
          </w:p>
        </w:tc>
        <w:tc>
          <w:tcPr>
            <w:tcW w:w="428" w:type="pct"/>
            <w:tcMar>
              <w:top w:w="0" w:type="dxa"/>
              <w:bottom w:w="0" w:type="dxa"/>
            </w:tcMar>
            <w:vAlign w:val="center"/>
          </w:tcPr>
          <w:p w14:paraId="19C97A5D"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6.92%</w:t>
            </w:r>
          </w:p>
        </w:tc>
        <w:tc>
          <w:tcPr>
            <w:tcW w:w="535" w:type="pct"/>
            <w:vMerge/>
            <w:tcMar>
              <w:top w:w="0" w:type="dxa"/>
              <w:bottom w:w="0" w:type="dxa"/>
            </w:tcMar>
            <w:vAlign w:val="center"/>
          </w:tcPr>
          <w:p w14:paraId="6167F21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BC0227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4F6361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6,636.3633</w:t>
            </w:r>
          </w:p>
        </w:tc>
        <w:tc>
          <w:tcPr>
            <w:tcW w:w="623" w:type="pct"/>
            <w:tcMar>
              <w:top w:w="0" w:type="dxa"/>
              <w:bottom w:w="0" w:type="dxa"/>
            </w:tcMar>
            <w:vAlign w:val="center"/>
          </w:tcPr>
          <w:p w14:paraId="3485357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2024.12.25</w:t>
            </w:r>
          </w:p>
        </w:tc>
        <w:tc>
          <w:tcPr>
            <w:tcW w:w="524" w:type="pct"/>
            <w:vMerge/>
            <w:tcMar>
              <w:top w:w="0" w:type="dxa"/>
              <w:bottom w:w="0" w:type="dxa"/>
            </w:tcMar>
            <w:vAlign w:val="center"/>
          </w:tcPr>
          <w:p w14:paraId="756109C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26C0A7D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7F435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F20AEAA" w14:textId="77777777" w:rsidTr="007F36AF">
        <w:trPr>
          <w:trHeight w:val="397"/>
          <w:jc w:val="center"/>
        </w:trPr>
        <w:tc>
          <w:tcPr>
            <w:tcW w:w="392" w:type="pct"/>
            <w:tcMar>
              <w:top w:w="0" w:type="dxa"/>
              <w:bottom w:w="0" w:type="dxa"/>
            </w:tcMar>
            <w:vAlign w:val="center"/>
          </w:tcPr>
          <w:p w14:paraId="001684D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2025.03</w:t>
            </w:r>
          </w:p>
        </w:tc>
        <w:tc>
          <w:tcPr>
            <w:tcW w:w="531" w:type="pct"/>
            <w:tcMar>
              <w:top w:w="0" w:type="dxa"/>
              <w:bottom w:w="0" w:type="dxa"/>
            </w:tcMar>
            <w:vAlign w:val="center"/>
          </w:tcPr>
          <w:p w14:paraId="7AF362D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sz w:val="21"/>
                <w:szCs w:val="21"/>
              </w:rPr>
              <w:t>金浦文创</w:t>
            </w:r>
          </w:p>
        </w:tc>
        <w:tc>
          <w:tcPr>
            <w:tcW w:w="428" w:type="pct"/>
            <w:tcMar>
              <w:top w:w="0" w:type="dxa"/>
              <w:bottom w:w="0" w:type="dxa"/>
            </w:tcMar>
            <w:vAlign w:val="center"/>
          </w:tcPr>
          <w:p w14:paraId="66244639"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1.95%</w:t>
            </w:r>
          </w:p>
        </w:tc>
        <w:tc>
          <w:tcPr>
            <w:tcW w:w="535" w:type="pct"/>
            <w:tcMar>
              <w:top w:w="0" w:type="dxa"/>
              <w:bottom w:w="0" w:type="dxa"/>
            </w:tcMar>
            <w:vAlign w:val="center"/>
          </w:tcPr>
          <w:p w14:paraId="18A6D81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tcMar>
              <w:top w:w="0" w:type="dxa"/>
              <w:bottom w:w="0" w:type="dxa"/>
            </w:tcMar>
            <w:vAlign w:val="center"/>
          </w:tcPr>
          <w:p w14:paraId="53BCCCF6" w14:textId="0E75B8E8"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w:t>
            </w:r>
            <w:r w:rsidRPr="007F36AF">
              <w:rPr>
                <w:rFonts w:ascii="Times New Roman" w:hAnsi="Times New Roman" w:cs="Times New Roman"/>
                <w:bCs/>
                <w:color w:val="000000"/>
                <w:sz w:val="21"/>
                <w:szCs w:val="21"/>
              </w:rPr>
              <w:t>+</w:t>
            </w:r>
            <w:r w:rsidRPr="007F36AF">
              <w:rPr>
                <w:rFonts w:ascii="Times New Roman" w:hAnsi="Times New Roman" w:cs="Times New Roman"/>
                <w:bCs/>
                <w:color w:val="000000"/>
                <w:sz w:val="21"/>
                <w:szCs w:val="21"/>
              </w:rPr>
              <w:t>一定年化利息减资，溢价部分</w:t>
            </w:r>
            <w:r w:rsidR="00176D50" w:rsidRPr="007F36AF">
              <w:rPr>
                <w:rFonts w:ascii="Times New Roman" w:hAnsi="Times New Roman" w:cs="Times New Roman"/>
                <w:bCs/>
                <w:color w:val="000000"/>
                <w:sz w:val="21"/>
                <w:szCs w:val="21"/>
              </w:rPr>
              <w:t>将</w:t>
            </w:r>
            <w:r w:rsidRPr="007F36AF">
              <w:rPr>
                <w:rFonts w:ascii="Times New Roman" w:hAnsi="Times New Roman" w:cs="Times New Roman"/>
                <w:bCs/>
                <w:color w:val="000000"/>
                <w:sz w:val="21"/>
                <w:szCs w:val="21"/>
              </w:rPr>
              <w:t>依法足额纳税</w:t>
            </w:r>
          </w:p>
        </w:tc>
        <w:tc>
          <w:tcPr>
            <w:tcW w:w="464" w:type="pct"/>
            <w:tcMar>
              <w:top w:w="0" w:type="dxa"/>
              <w:bottom w:w="0" w:type="dxa"/>
            </w:tcMar>
            <w:vAlign w:val="center"/>
          </w:tcPr>
          <w:p w14:paraId="0D0FD4B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4,000.00</w:t>
            </w:r>
          </w:p>
        </w:tc>
        <w:tc>
          <w:tcPr>
            <w:tcW w:w="623" w:type="pct"/>
            <w:tcMar>
              <w:top w:w="0" w:type="dxa"/>
              <w:bottom w:w="0" w:type="dxa"/>
            </w:tcMar>
            <w:vAlign w:val="center"/>
          </w:tcPr>
          <w:p w14:paraId="335FE75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2025.04.22</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1,000.00</w:t>
            </w:r>
            <w:r w:rsidRPr="007F36AF">
              <w:rPr>
                <w:rFonts w:ascii="Times New Roman" w:hAnsi="Times New Roman" w:cs="Times New Roman"/>
                <w:bCs/>
                <w:color w:val="000000"/>
                <w:sz w:val="21"/>
                <w:szCs w:val="21"/>
              </w:rPr>
              <w:t>万元；</w:t>
            </w:r>
            <w:r w:rsidRPr="007F36AF">
              <w:rPr>
                <w:rFonts w:ascii="Times New Roman" w:hAnsi="Times New Roman" w:cs="Times New Roman"/>
                <w:bCs/>
                <w:color w:val="000000"/>
                <w:sz w:val="21"/>
                <w:szCs w:val="21"/>
              </w:rPr>
              <w:t>2025.09.12</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1,000.00</w:t>
            </w:r>
            <w:r w:rsidRPr="007F36AF">
              <w:rPr>
                <w:rFonts w:ascii="Times New Roman" w:hAnsi="Times New Roman" w:cs="Times New Roman"/>
                <w:bCs/>
                <w:color w:val="000000"/>
                <w:sz w:val="21"/>
                <w:szCs w:val="21"/>
              </w:rPr>
              <w:t>万元；</w:t>
            </w:r>
            <w:r w:rsidRPr="007F36AF">
              <w:rPr>
                <w:rFonts w:ascii="Times New Roman" w:hAnsi="Times New Roman" w:cs="Times New Roman"/>
                <w:bCs/>
                <w:color w:val="000000"/>
                <w:sz w:val="21"/>
                <w:szCs w:val="21"/>
              </w:rPr>
              <w:t>2025.10.21</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2,000.00</w:t>
            </w:r>
            <w:r w:rsidRPr="007F36AF">
              <w:rPr>
                <w:rFonts w:ascii="Times New Roman" w:hAnsi="Times New Roman" w:cs="Times New Roman"/>
                <w:bCs/>
                <w:color w:val="000000"/>
                <w:sz w:val="21"/>
                <w:szCs w:val="21"/>
              </w:rPr>
              <w:t>万元</w:t>
            </w:r>
          </w:p>
        </w:tc>
        <w:tc>
          <w:tcPr>
            <w:tcW w:w="524" w:type="pct"/>
            <w:tcMar>
              <w:top w:w="0" w:type="dxa"/>
              <w:bottom w:w="0" w:type="dxa"/>
            </w:tcMar>
            <w:vAlign w:val="center"/>
          </w:tcPr>
          <w:p w14:paraId="013AC84E" w14:textId="70B25950"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投资机构与标的公司协商以取得成本</w:t>
            </w:r>
            <w:r w:rsidRPr="007F36AF">
              <w:rPr>
                <w:rFonts w:ascii="Times New Roman" w:hAnsi="Times New Roman" w:cs="Times New Roman"/>
                <w:bCs/>
                <w:sz w:val="21"/>
                <w:szCs w:val="21"/>
              </w:rPr>
              <w:t>+</w:t>
            </w:r>
            <w:r w:rsidRPr="007F36AF">
              <w:rPr>
                <w:rFonts w:ascii="Times New Roman" w:hAnsi="Times New Roman" w:cs="Times New Roman"/>
                <w:bCs/>
                <w:sz w:val="21"/>
                <w:szCs w:val="21"/>
              </w:rPr>
              <w:t>一定</w:t>
            </w:r>
            <w:r w:rsidR="007970E8" w:rsidRPr="007F36AF">
              <w:rPr>
                <w:rFonts w:ascii="Times New Roman" w:hAnsi="Times New Roman" w:cs="Times New Roman"/>
                <w:bCs/>
                <w:sz w:val="21"/>
                <w:szCs w:val="21"/>
              </w:rPr>
              <w:t>年化</w:t>
            </w:r>
            <w:r w:rsidRPr="007F36AF">
              <w:rPr>
                <w:rFonts w:ascii="Times New Roman" w:hAnsi="Times New Roman" w:cs="Times New Roman"/>
                <w:bCs/>
                <w:sz w:val="21"/>
                <w:szCs w:val="21"/>
              </w:rPr>
              <w:t>利息退出，价格公允</w:t>
            </w:r>
          </w:p>
        </w:tc>
        <w:tc>
          <w:tcPr>
            <w:tcW w:w="492" w:type="pct"/>
            <w:tcMar>
              <w:top w:w="0" w:type="dxa"/>
              <w:bottom w:w="0" w:type="dxa"/>
            </w:tcMar>
            <w:vAlign w:val="center"/>
          </w:tcPr>
          <w:p w14:paraId="472307B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25EAE35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bl>
    <w:p w14:paraId="0DF4B804" w14:textId="77777777" w:rsidR="004B2E60" w:rsidRPr="00DA3766" w:rsidRDefault="004B2E60" w:rsidP="007F36AF">
      <w:pPr>
        <w:pStyle w:val="005"/>
        <w:spacing w:before="120" w:after="120"/>
        <w:ind w:firstLine="480"/>
        <w:sectPr w:rsidR="004B2E60" w:rsidRPr="00DA3766" w:rsidSect="004B2E60">
          <w:pgSz w:w="16838" w:h="11906" w:orient="landscape"/>
          <w:pgMar w:top="1797" w:right="1440" w:bottom="1797" w:left="1440" w:header="851" w:footer="992" w:gutter="0"/>
          <w:cols w:space="425"/>
          <w:docGrid w:linePitch="326"/>
        </w:sectPr>
      </w:pPr>
      <w:bookmarkStart w:id="239" w:name="OLE_LINK123"/>
      <w:bookmarkEnd w:id="238"/>
    </w:p>
    <w:p w14:paraId="7AA3C61A" w14:textId="77777777" w:rsidR="00720FA4" w:rsidRPr="00DA3766" w:rsidRDefault="004B2E60" w:rsidP="007F36AF">
      <w:pPr>
        <w:pStyle w:val="003"/>
        <w:spacing w:before="120" w:after="120"/>
        <w:ind w:firstLine="482"/>
      </w:pPr>
      <w:bookmarkStart w:id="240" w:name="_Hlk219374011"/>
      <w:r w:rsidRPr="00DA3766">
        <w:lastRenderedPageBreak/>
        <w:t>（二）支付减资款对标的资产生产经营和流动性是否存在不利影响</w:t>
      </w:r>
    </w:p>
    <w:p w14:paraId="14ED23C3" w14:textId="29DEE660" w:rsidR="00720FA4" w:rsidRPr="00DA3766" w:rsidRDefault="002A5350" w:rsidP="008A1B9E">
      <w:pPr>
        <w:pStyle w:val="005"/>
        <w:spacing w:before="120" w:after="120"/>
        <w:ind w:firstLine="480"/>
      </w:pPr>
      <w:r w:rsidRPr="00DA3766">
        <w:t>标的公司减资款于</w:t>
      </w:r>
      <w:r w:rsidRPr="00DA3766">
        <w:t>2024</w:t>
      </w:r>
      <w:r w:rsidRPr="00DA3766">
        <w:t>年及</w:t>
      </w:r>
      <w:r w:rsidRPr="00DA3766">
        <w:t>2025</w:t>
      </w:r>
      <w:r w:rsidRPr="00DA3766">
        <w:t>年进行支付，两年支付金额分别为</w:t>
      </w:r>
      <w:r w:rsidRPr="00DA3766">
        <w:t>3.77</w:t>
      </w:r>
      <w:r w:rsidRPr="00DA3766">
        <w:t>亿元及</w:t>
      </w:r>
      <w:r w:rsidR="0082641B" w:rsidRPr="00DA3766">
        <w:t>1.25</w:t>
      </w:r>
      <w:r w:rsidR="0082641B" w:rsidRPr="00DA3766">
        <w:t>亿元。</w:t>
      </w:r>
      <w:r w:rsidR="00720FA4" w:rsidRPr="00DA3766">
        <w:t>截至本回复出具之日，标的公司的减资款项已全部支付完毕。</w:t>
      </w:r>
      <w:r w:rsidR="007A44DA" w:rsidRPr="00DA3766">
        <w:t>报告期内</w:t>
      </w:r>
      <w:r w:rsidR="00720FA4" w:rsidRPr="00DA3766">
        <w:t>，标的公司财务数据及主要财务指标如下所示：</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1526"/>
        <w:gridCol w:w="2334"/>
        <w:gridCol w:w="2334"/>
        <w:gridCol w:w="2334"/>
      </w:tblGrid>
      <w:tr w:rsidR="00720FA4" w:rsidRPr="00DA3766" w14:paraId="04B3400D" w14:textId="77777777" w:rsidTr="00DA3766">
        <w:trPr>
          <w:trHeight w:val="397"/>
          <w:jc w:val="center"/>
        </w:trPr>
        <w:tc>
          <w:tcPr>
            <w:tcW w:w="1526" w:type="dxa"/>
            <w:tcMar>
              <w:top w:w="0" w:type="dxa"/>
              <w:bottom w:w="0" w:type="dxa"/>
            </w:tcMar>
            <w:vAlign w:val="center"/>
          </w:tcPr>
          <w:p w14:paraId="034EB9DA" w14:textId="02D80706"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项目</w:t>
            </w:r>
          </w:p>
        </w:tc>
        <w:tc>
          <w:tcPr>
            <w:tcW w:w="2334" w:type="dxa"/>
            <w:tcMar>
              <w:top w:w="0" w:type="dxa"/>
              <w:bottom w:w="0" w:type="dxa"/>
            </w:tcMar>
            <w:vAlign w:val="center"/>
          </w:tcPr>
          <w:p w14:paraId="7E3C9158" w14:textId="11A83F0A"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bookmarkStart w:id="241" w:name="OLE_LINK49"/>
            <w:r w:rsidRPr="00DA3766">
              <w:rPr>
                <w:b/>
                <w:bCs/>
                <w:sz w:val="21"/>
                <w:szCs w:val="20"/>
              </w:rPr>
              <w:t>2025</w:t>
            </w:r>
            <w:r w:rsidRPr="00DA3766">
              <w:rPr>
                <w:b/>
                <w:bCs/>
                <w:sz w:val="21"/>
                <w:szCs w:val="20"/>
              </w:rPr>
              <w:t>年</w:t>
            </w:r>
            <w:r w:rsidR="00176D50" w:rsidRPr="00DA3766">
              <w:rPr>
                <w:b/>
                <w:bCs/>
                <w:sz w:val="21"/>
                <w:szCs w:val="20"/>
              </w:rPr>
              <w:t>半年</w:t>
            </w:r>
            <w:r w:rsidRPr="00DA3766">
              <w:rPr>
                <w:b/>
                <w:bCs/>
                <w:sz w:val="21"/>
                <w:szCs w:val="20"/>
              </w:rPr>
              <w:t>度</w:t>
            </w:r>
            <w:r w:rsidRPr="00DA3766">
              <w:rPr>
                <w:b/>
                <w:bCs/>
                <w:sz w:val="21"/>
                <w:szCs w:val="20"/>
              </w:rPr>
              <w:t>/2025</w:t>
            </w:r>
            <w:r w:rsidRPr="00DA3766">
              <w:rPr>
                <w:b/>
                <w:bCs/>
                <w:sz w:val="21"/>
                <w:szCs w:val="20"/>
              </w:rPr>
              <w:t>年</w:t>
            </w:r>
            <w:r w:rsidR="00176D50" w:rsidRPr="00DA3766">
              <w:rPr>
                <w:b/>
                <w:bCs/>
                <w:sz w:val="21"/>
                <w:szCs w:val="20"/>
              </w:rPr>
              <w:t>6</w:t>
            </w:r>
            <w:r w:rsidRPr="00DA3766">
              <w:rPr>
                <w:b/>
                <w:bCs/>
                <w:sz w:val="21"/>
                <w:szCs w:val="20"/>
              </w:rPr>
              <w:t>月</w:t>
            </w:r>
            <w:r w:rsidRPr="00DA3766">
              <w:rPr>
                <w:b/>
                <w:bCs/>
                <w:sz w:val="21"/>
                <w:szCs w:val="20"/>
              </w:rPr>
              <w:t>3</w:t>
            </w:r>
            <w:r w:rsidR="00176D50" w:rsidRPr="00DA3766">
              <w:rPr>
                <w:b/>
                <w:bCs/>
                <w:sz w:val="21"/>
                <w:szCs w:val="20"/>
              </w:rPr>
              <w:t>0</w:t>
            </w:r>
            <w:r w:rsidRPr="00DA3766">
              <w:rPr>
                <w:b/>
                <w:bCs/>
                <w:sz w:val="21"/>
                <w:szCs w:val="20"/>
              </w:rPr>
              <w:t>日</w:t>
            </w:r>
            <w:bookmarkEnd w:id="241"/>
          </w:p>
        </w:tc>
        <w:tc>
          <w:tcPr>
            <w:tcW w:w="2334" w:type="dxa"/>
            <w:tcMar>
              <w:top w:w="0" w:type="dxa"/>
              <w:bottom w:w="0" w:type="dxa"/>
            </w:tcMar>
            <w:vAlign w:val="center"/>
          </w:tcPr>
          <w:p w14:paraId="74A0E32A" w14:textId="47A0DA74"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2024</w:t>
            </w:r>
            <w:r w:rsidRPr="00DA3766">
              <w:rPr>
                <w:b/>
                <w:bCs/>
                <w:sz w:val="21"/>
                <w:szCs w:val="20"/>
              </w:rPr>
              <w:t>年度</w:t>
            </w:r>
            <w:r w:rsidRPr="00DA3766">
              <w:rPr>
                <w:b/>
                <w:bCs/>
                <w:sz w:val="21"/>
                <w:szCs w:val="20"/>
              </w:rPr>
              <w:t>/2024</w:t>
            </w:r>
            <w:r w:rsidRPr="00DA3766">
              <w:rPr>
                <w:b/>
                <w:bCs/>
                <w:sz w:val="21"/>
                <w:szCs w:val="20"/>
              </w:rPr>
              <w:t>年</w:t>
            </w:r>
            <w:r w:rsidRPr="00DA3766">
              <w:rPr>
                <w:b/>
                <w:bCs/>
                <w:sz w:val="21"/>
                <w:szCs w:val="20"/>
              </w:rPr>
              <w:t>12</w:t>
            </w:r>
            <w:r w:rsidRPr="00DA3766">
              <w:rPr>
                <w:b/>
                <w:bCs/>
                <w:sz w:val="21"/>
                <w:szCs w:val="20"/>
              </w:rPr>
              <w:t>月</w:t>
            </w:r>
            <w:r w:rsidRPr="00DA3766">
              <w:rPr>
                <w:b/>
                <w:bCs/>
                <w:sz w:val="21"/>
                <w:szCs w:val="20"/>
              </w:rPr>
              <w:t>31</w:t>
            </w:r>
            <w:r w:rsidRPr="00DA3766">
              <w:rPr>
                <w:b/>
                <w:bCs/>
                <w:sz w:val="21"/>
                <w:szCs w:val="20"/>
              </w:rPr>
              <w:t>日</w:t>
            </w:r>
          </w:p>
        </w:tc>
        <w:tc>
          <w:tcPr>
            <w:tcW w:w="2334" w:type="dxa"/>
            <w:tcMar>
              <w:top w:w="0" w:type="dxa"/>
              <w:bottom w:w="0" w:type="dxa"/>
            </w:tcMar>
            <w:vAlign w:val="center"/>
          </w:tcPr>
          <w:p w14:paraId="5B37BF50" w14:textId="562C95B9"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2023</w:t>
            </w:r>
            <w:r w:rsidRPr="00DA3766">
              <w:rPr>
                <w:b/>
                <w:bCs/>
                <w:sz w:val="21"/>
                <w:szCs w:val="20"/>
              </w:rPr>
              <w:t>年度</w:t>
            </w:r>
            <w:r w:rsidRPr="00DA3766">
              <w:rPr>
                <w:b/>
                <w:bCs/>
                <w:sz w:val="21"/>
                <w:szCs w:val="20"/>
              </w:rPr>
              <w:t>/2023</w:t>
            </w:r>
            <w:r w:rsidRPr="00DA3766">
              <w:rPr>
                <w:b/>
                <w:bCs/>
                <w:sz w:val="21"/>
                <w:szCs w:val="20"/>
              </w:rPr>
              <w:t>年</w:t>
            </w:r>
            <w:r w:rsidRPr="00DA3766">
              <w:rPr>
                <w:b/>
                <w:bCs/>
                <w:sz w:val="21"/>
                <w:szCs w:val="20"/>
              </w:rPr>
              <w:t>12</w:t>
            </w:r>
            <w:r w:rsidRPr="00DA3766">
              <w:rPr>
                <w:b/>
                <w:bCs/>
                <w:sz w:val="21"/>
                <w:szCs w:val="20"/>
              </w:rPr>
              <w:t>月</w:t>
            </w:r>
            <w:r w:rsidRPr="00DA3766">
              <w:rPr>
                <w:b/>
                <w:bCs/>
                <w:sz w:val="21"/>
                <w:szCs w:val="20"/>
              </w:rPr>
              <w:t>31</w:t>
            </w:r>
            <w:r w:rsidRPr="00DA3766">
              <w:rPr>
                <w:b/>
                <w:bCs/>
                <w:sz w:val="21"/>
                <w:szCs w:val="20"/>
              </w:rPr>
              <w:t>日</w:t>
            </w:r>
          </w:p>
        </w:tc>
      </w:tr>
      <w:tr w:rsidR="007A44DA" w:rsidRPr="00DA3766" w14:paraId="76D80C13" w14:textId="77777777" w:rsidTr="00DA3766">
        <w:trPr>
          <w:trHeight w:val="397"/>
          <w:jc w:val="center"/>
        </w:trPr>
        <w:tc>
          <w:tcPr>
            <w:tcW w:w="1526" w:type="dxa"/>
            <w:tcMar>
              <w:top w:w="0" w:type="dxa"/>
              <w:bottom w:w="0" w:type="dxa"/>
            </w:tcMar>
            <w:vAlign w:val="center"/>
          </w:tcPr>
          <w:p w14:paraId="6BACD9FC" w14:textId="32910C1B"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营业收入</w:t>
            </w:r>
          </w:p>
        </w:tc>
        <w:tc>
          <w:tcPr>
            <w:tcW w:w="2334" w:type="dxa"/>
            <w:tcMar>
              <w:top w:w="0" w:type="dxa"/>
              <w:bottom w:w="0" w:type="dxa"/>
            </w:tcMar>
            <w:vAlign w:val="center"/>
          </w:tcPr>
          <w:p w14:paraId="61337947" w14:textId="598B9B32"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24,799.86</w:t>
            </w:r>
          </w:p>
        </w:tc>
        <w:tc>
          <w:tcPr>
            <w:tcW w:w="2334" w:type="dxa"/>
            <w:tcMar>
              <w:top w:w="0" w:type="dxa"/>
              <w:bottom w:w="0" w:type="dxa"/>
            </w:tcMar>
            <w:vAlign w:val="center"/>
          </w:tcPr>
          <w:p w14:paraId="0EC085D1" w14:textId="7AF16A04"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44,716.44</w:t>
            </w:r>
          </w:p>
        </w:tc>
        <w:tc>
          <w:tcPr>
            <w:tcW w:w="2334" w:type="dxa"/>
            <w:tcMar>
              <w:top w:w="0" w:type="dxa"/>
              <w:bottom w:w="0" w:type="dxa"/>
            </w:tcMar>
            <w:vAlign w:val="center"/>
          </w:tcPr>
          <w:p w14:paraId="0ADA616B" w14:textId="4B645BBF"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38,501.66</w:t>
            </w:r>
          </w:p>
        </w:tc>
      </w:tr>
      <w:tr w:rsidR="007A44DA" w:rsidRPr="00DA3766" w14:paraId="45C67F02" w14:textId="77777777" w:rsidTr="00DA3766">
        <w:trPr>
          <w:trHeight w:val="397"/>
          <w:jc w:val="center"/>
        </w:trPr>
        <w:tc>
          <w:tcPr>
            <w:tcW w:w="1526" w:type="dxa"/>
            <w:tcMar>
              <w:top w:w="0" w:type="dxa"/>
              <w:bottom w:w="0" w:type="dxa"/>
            </w:tcMar>
            <w:vAlign w:val="center"/>
          </w:tcPr>
          <w:p w14:paraId="59543CAC" w14:textId="11C04C7A"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净利润</w:t>
            </w:r>
          </w:p>
        </w:tc>
        <w:tc>
          <w:tcPr>
            <w:tcW w:w="2334" w:type="dxa"/>
            <w:tcMar>
              <w:top w:w="0" w:type="dxa"/>
              <w:bottom w:w="0" w:type="dxa"/>
            </w:tcMar>
            <w:vAlign w:val="center"/>
          </w:tcPr>
          <w:p w14:paraId="0FA8716C" w14:textId="5E38B1A1"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6,041.44</w:t>
            </w:r>
          </w:p>
        </w:tc>
        <w:tc>
          <w:tcPr>
            <w:tcW w:w="2334" w:type="dxa"/>
            <w:tcMar>
              <w:top w:w="0" w:type="dxa"/>
              <w:bottom w:w="0" w:type="dxa"/>
            </w:tcMar>
            <w:vAlign w:val="center"/>
          </w:tcPr>
          <w:p w14:paraId="4C13F508" w14:textId="58DFB2AB"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9,466.96</w:t>
            </w:r>
          </w:p>
        </w:tc>
        <w:tc>
          <w:tcPr>
            <w:tcW w:w="2334" w:type="dxa"/>
            <w:tcMar>
              <w:top w:w="0" w:type="dxa"/>
              <w:bottom w:w="0" w:type="dxa"/>
            </w:tcMar>
            <w:vAlign w:val="center"/>
          </w:tcPr>
          <w:p w14:paraId="34AC019C" w14:textId="6D64810D"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3,369.27</w:t>
            </w:r>
          </w:p>
        </w:tc>
      </w:tr>
      <w:tr w:rsidR="007A44DA" w:rsidRPr="00DA3766" w14:paraId="42C1DADC" w14:textId="77777777" w:rsidTr="00DA3766">
        <w:trPr>
          <w:trHeight w:val="397"/>
          <w:jc w:val="center"/>
        </w:trPr>
        <w:tc>
          <w:tcPr>
            <w:tcW w:w="1526" w:type="dxa"/>
            <w:tcMar>
              <w:top w:w="0" w:type="dxa"/>
              <w:bottom w:w="0" w:type="dxa"/>
            </w:tcMar>
            <w:vAlign w:val="center"/>
          </w:tcPr>
          <w:p w14:paraId="68372C77" w14:textId="0AB356B5"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货币资金</w:t>
            </w:r>
          </w:p>
        </w:tc>
        <w:tc>
          <w:tcPr>
            <w:tcW w:w="2334" w:type="dxa"/>
            <w:tcMar>
              <w:top w:w="0" w:type="dxa"/>
              <w:bottom w:w="0" w:type="dxa"/>
            </w:tcMar>
            <w:vAlign w:val="center"/>
          </w:tcPr>
          <w:p w14:paraId="27B1ADFE" w14:textId="3608E6D4"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4,470.16</w:t>
            </w:r>
          </w:p>
        </w:tc>
        <w:tc>
          <w:tcPr>
            <w:tcW w:w="2334" w:type="dxa"/>
            <w:tcMar>
              <w:top w:w="0" w:type="dxa"/>
              <w:bottom w:w="0" w:type="dxa"/>
            </w:tcMar>
            <w:vAlign w:val="center"/>
          </w:tcPr>
          <w:p w14:paraId="666CBE2A" w14:textId="32FABB39"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2,825.36</w:t>
            </w:r>
          </w:p>
        </w:tc>
        <w:tc>
          <w:tcPr>
            <w:tcW w:w="2334" w:type="dxa"/>
            <w:tcMar>
              <w:top w:w="0" w:type="dxa"/>
              <w:bottom w:w="0" w:type="dxa"/>
            </w:tcMar>
            <w:vAlign w:val="center"/>
          </w:tcPr>
          <w:p w14:paraId="74C849BD" w14:textId="44B3EA2A"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10,028.32</w:t>
            </w:r>
          </w:p>
        </w:tc>
      </w:tr>
      <w:tr w:rsidR="007A44DA" w:rsidRPr="00DA3766" w14:paraId="24363563" w14:textId="77777777" w:rsidTr="00DA3766">
        <w:trPr>
          <w:trHeight w:val="397"/>
          <w:jc w:val="center"/>
        </w:trPr>
        <w:tc>
          <w:tcPr>
            <w:tcW w:w="1526" w:type="dxa"/>
            <w:tcMar>
              <w:top w:w="0" w:type="dxa"/>
              <w:bottom w:w="0" w:type="dxa"/>
            </w:tcMar>
            <w:vAlign w:val="center"/>
          </w:tcPr>
          <w:p w14:paraId="5F12418B" w14:textId="2023505D"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资产负债率</w:t>
            </w:r>
          </w:p>
        </w:tc>
        <w:tc>
          <w:tcPr>
            <w:tcW w:w="2334" w:type="dxa"/>
            <w:tcMar>
              <w:top w:w="0" w:type="dxa"/>
              <w:bottom w:w="0" w:type="dxa"/>
            </w:tcMar>
            <w:vAlign w:val="center"/>
          </w:tcPr>
          <w:p w14:paraId="5A69694E" w14:textId="6F5F1FB5"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46.69%</w:t>
            </w:r>
          </w:p>
        </w:tc>
        <w:tc>
          <w:tcPr>
            <w:tcW w:w="2334" w:type="dxa"/>
            <w:tcMar>
              <w:top w:w="0" w:type="dxa"/>
              <w:bottom w:w="0" w:type="dxa"/>
            </w:tcMar>
            <w:vAlign w:val="center"/>
          </w:tcPr>
          <w:p w14:paraId="18F9C030" w14:textId="35EEF0FF"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45.98%</w:t>
            </w:r>
          </w:p>
        </w:tc>
        <w:tc>
          <w:tcPr>
            <w:tcW w:w="2334" w:type="dxa"/>
            <w:tcMar>
              <w:top w:w="0" w:type="dxa"/>
              <w:bottom w:w="0" w:type="dxa"/>
            </w:tcMar>
            <w:vAlign w:val="center"/>
          </w:tcPr>
          <w:p w14:paraId="404EA5AA" w14:textId="5F1E8DC7"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22.31%</w:t>
            </w:r>
          </w:p>
        </w:tc>
      </w:tr>
    </w:tbl>
    <w:p w14:paraId="004DBD4D" w14:textId="13E29421" w:rsidR="00720FA4" w:rsidRPr="00DA3766" w:rsidRDefault="00720FA4" w:rsidP="008A1B9E">
      <w:pPr>
        <w:pStyle w:val="005"/>
        <w:spacing w:before="120" w:after="120"/>
        <w:ind w:firstLine="480"/>
      </w:pPr>
      <w:r w:rsidRPr="00DA3766">
        <w:t>由上表可知，在支付完毕减资款项后，</w:t>
      </w:r>
      <w:r w:rsidR="0082641B" w:rsidRPr="00DA3766">
        <w:t>虽标的公司资产负债率有所上升，但</w:t>
      </w:r>
      <w:r w:rsidRPr="00DA3766">
        <w:t>标的公司截至</w:t>
      </w:r>
      <w:r w:rsidRPr="00DA3766">
        <w:t>2025</w:t>
      </w:r>
      <w:r w:rsidRPr="00DA3766">
        <w:t>年</w:t>
      </w:r>
      <w:r w:rsidR="007A44DA" w:rsidRPr="00DA3766">
        <w:t>6</w:t>
      </w:r>
      <w:r w:rsidR="007A44DA" w:rsidRPr="00DA3766">
        <w:t>月</w:t>
      </w:r>
      <w:r w:rsidRPr="00DA3766">
        <w:t>末有</w:t>
      </w:r>
      <w:r w:rsidR="007A44DA" w:rsidRPr="00DA3766">
        <w:t>4,470.16</w:t>
      </w:r>
      <w:r w:rsidRPr="00DA3766">
        <w:t>万元货币资金，流动性充足，</w:t>
      </w:r>
      <w:r w:rsidR="007A44DA" w:rsidRPr="00DA3766">
        <w:t>较</w:t>
      </w:r>
      <w:r w:rsidR="007A44DA" w:rsidRPr="00DA3766">
        <w:t>2024</w:t>
      </w:r>
      <w:r w:rsidR="007A44DA" w:rsidRPr="00DA3766">
        <w:t>年末大幅增长，</w:t>
      </w:r>
      <w:r w:rsidRPr="00DA3766">
        <w:t>且</w:t>
      </w:r>
      <w:r w:rsidRPr="00DA3766">
        <w:t>2025</w:t>
      </w:r>
      <w:r w:rsidRPr="00DA3766">
        <w:t>年</w:t>
      </w:r>
      <w:r w:rsidR="007A44DA" w:rsidRPr="00DA3766">
        <w:t>半年</w:t>
      </w:r>
      <w:r w:rsidRPr="00DA3766">
        <w:t>度营业收入为</w:t>
      </w:r>
      <w:r w:rsidR="007A44DA" w:rsidRPr="00DA3766">
        <w:t>24,799.86</w:t>
      </w:r>
      <w:r w:rsidRPr="00DA3766">
        <w:t>万元，净利润为</w:t>
      </w:r>
      <w:r w:rsidR="007A44DA" w:rsidRPr="00DA3766">
        <w:t>6,041.44</w:t>
      </w:r>
      <w:r w:rsidRPr="00DA3766">
        <w:t>万元，</w:t>
      </w:r>
      <w:r w:rsidR="007A44DA" w:rsidRPr="00DA3766">
        <w:t>体现收入利润双增长的态势</w:t>
      </w:r>
      <w:r w:rsidRPr="00DA3766">
        <w:t>，经营</w:t>
      </w:r>
      <w:r w:rsidR="007A44DA" w:rsidRPr="00DA3766">
        <w:t>状况</w:t>
      </w:r>
      <w:r w:rsidRPr="00DA3766">
        <w:t>良好</w:t>
      </w:r>
      <w:r w:rsidR="0016781B" w:rsidRPr="00DA3766">
        <w:t>。此外，标的公司所从事业务回款质量良好，其中增值</w:t>
      </w:r>
      <w:r w:rsidR="007A44DA" w:rsidRPr="00DA3766">
        <w:t>SaaS</w:t>
      </w:r>
      <w:r w:rsidR="0016781B" w:rsidRPr="00DA3766">
        <w:t>服务、会员服务均为通过第三方持牌支付机构渠道以银行转账方式进行</w:t>
      </w:r>
      <w:r w:rsidR="0016781B" w:rsidRPr="00DA3766">
        <w:t>T+1</w:t>
      </w:r>
      <w:r w:rsidR="0016781B" w:rsidRPr="00DA3766">
        <w:t>结算，收单外包服务及数字增值服务的客户分别为第三方持牌支付机构及国内互联网龙头企业，信用良好且回款及时，标的公司独特的业务模式导致其具备较强的流动性。综上，</w:t>
      </w:r>
      <w:r w:rsidR="000706BE" w:rsidRPr="00DA3766">
        <w:t>减资款</w:t>
      </w:r>
      <w:r w:rsidR="0082641B" w:rsidRPr="00DA3766">
        <w:t>支付未</w:t>
      </w:r>
      <w:r w:rsidR="000706BE" w:rsidRPr="00DA3766">
        <w:t>对标的资产生产经营和流动性</w:t>
      </w:r>
      <w:r w:rsidR="0082641B" w:rsidRPr="00DA3766">
        <w:t>产生</w:t>
      </w:r>
      <w:r w:rsidR="000706BE" w:rsidRPr="00DA3766">
        <w:t>重大不利影响</w:t>
      </w:r>
      <w:r w:rsidR="0082641B" w:rsidRPr="00DA3766">
        <w:t>，</w:t>
      </w:r>
      <w:r w:rsidR="0016781B" w:rsidRPr="00DA3766">
        <w:t>且</w:t>
      </w:r>
      <w:r w:rsidR="0082641B" w:rsidRPr="00DA3766">
        <w:t>未来随着标的公司经营发展而不断实现利润积累，其流动性亦将进一步提高</w:t>
      </w:r>
      <w:r w:rsidR="000706BE" w:rsidRPr="00DA3766">
        <w:t>。</w:t>
      </w:r>
    </w:p>
    <w:p w14:paraId="6EB1CA69" w14:textId="0C12193A" w:rsidR="004B2E60" w:rsidRPr="00DA3766" w:rsidRDefault="00720FA4" w:rsidP="00720FA4">
      <w:pPr>
        <w:pStyle w:val="003"/>
        <w:spacing w:before="120" w:after="120"/>
        <w:ind w:firstLine="482"/>
      </w:pPr>
      <w:r w:rsidRPr="00DA3766">
        <w:t>（三）</w:t>
      </w:r>
      <w:r w:rsidR="004B2E60" w:rsidRPr="00DA3766">
        <w:t>补充披露相关股东在标的资产</w:t>
      </w:r>
      <w:r w:rsidR="004B2E60" w:rsidRPr="00DA3766">
        <w:t>2024</w:t>
      </w:r>
      <w:r w:rsidR="004B2E60" w:rsidRPr="00DA3766">
        <w:t>年收入利润增长的情况下四次减资的原因与商业逻辑，标的资产的生产经营及所处行业是否存在不利因素</w:t>
      </w:r>
      <w:r w:rsidR="0016781B" w:rsidRPr="00DA3766">
        <w:t>。</w:t>
      </w:r>
    </w:p>
    <w:p w14:paraId="57FE683F" w14:textId="24920171" w:rsidR="00720FA4" w:rsidRPr="00DA3766" w:rsidRDefault="00720FA4" w:rsidP="00720FA4">
      <w:pPr>
        <w:pStyle w:val="004"/>
        <w:spacing w:before="120" w:after="120"/>
        <w:ind w:firstLine="482"/>
      </w:pPr>
      <w:r w:rsidRPr="00DA3766">
        <w:t>1</w:t>
      </w:r>
      <w:r w:rsidRPr="00DA3766">
        <w:t>、相关股东在标的资产</w:t>
      </w:r>
      <w:r w:rsidRPr="00DA3766">
        <w:t>2024</w:t>
      </w:r>
      <w:r w:rsidRPr="00DA3766">
        <w:t>年收入利润增长的情况下四次减资的原因与商业逻辑</w:t>
      </w:r>
    </w:p>
    <w:p w14:paraId="55F21AE4" w14:textId="0519375F" w:rsidR="00720FA4" w:rsidRPr="00DA3766" w:rsidRDefault="00720FA4" w:rsidP="008A1B9E">
      <w:pPr>
        <w:pStyle w:val="005"/>
        <w:spacing w:before="120" w:after="120"/>
        <w:ind w:firstLine="480"/>
      </w:pPr>
      <w:r w:rsidRPr="00DA3766">
        <w:t>2024</w:t>
      </w:r>
      <w:r w:rsidRPr="00DA3766">
        <w:t>年</w:t>
      </w:r>
      <w:r w:rsidRPr="00DA3766">
        <w:t>6</w:t>
      </w:r>
      <w:r w:rsidRPr="00DA3766">
        <w:t>月、</w:t>
      </w:r>
      <w:r w:rsidRPr="00DA3766">
        <w:t>2024</w:t>
      </w:r>
      <w:r w:rsidRPr="00DA3766">
        <w:t>年</w:t>
      </w:r>
      <w:r w:rsidRPr="00DA3766">
        <w:t>10</w:t>
      </w:r>
      <w:r w:rsidRPr="00DA3766">
        <w:t>月及</w:t>
      </w:r>
      <w:r w:rsidRPr="00DA3766">
        <w:t>2025</w:t>
      </w:r>
      <w:r w:rsidRPr="00DA3766">
        <w:t>年</w:t>
      </w:r>
      <w:r w:rsidRPr="00DA3766">
        <w:t>3</w:t>
      </w:r>
      <w:r w:rsidRPr="00DA3766">
        <w:t>月的减资对象包括蕙富皓玥、汇垠众富、中信证券、睿信创投、睿启创投、三七科技、三七乐心、粤财基金、粤财源合、依星伴月、远方资本、三七乐心、三七科技、科金二号、枣庄哈拿、金浦文创，该等减资对象均属于标的公司</w:t>
      </w:r>
      <w:r w:rsidRPr="00DA3766">
        <w:t>2021</w:t>
      </w:r>
      <w:r w:rsidRPr="00DA3766">
        <w:t>年</w:t>
      </w:r>
      <w:r w:rsidRPr="00DA3766">
        <w:t>8</w:t>
      </w:r>
      <w:r w:rsidRPr="00DA3766">
        <w:t>月</w:t>
      </w:r>
      <w:r w:rsidRPr="00DA3766">
        <w:t>D</w:t>
      </w:r>
      <w:r w:rsidRPr="00DA3766">
        <w:t>轮融资和</w:t>
      </w:r>
      <w:r w:rsidRPr="00DA3766">
        <w:t>2021</w:t>
      </w:r>
      <w:r w:rsidRPr="00DA3766">
        <w:t>年</w:t>
      </w:r>
      <w:r w:rsidRPr="00DA3766">
        <w:t>11</w:t>
      </w:r>
      <w:r w:rsidRPr="00DA3766">
        <w:t>月</w:t>
      </w:r>
      <w:r w:rsidRPr="00DA3766">
        <w:t>D+</w:t>
      </w:r>
      <w:r w:rsidRPr="00DA3766">
        <w:t>轮融资的投资人。对</w:t>
      </w:r>
      <w:r w:rsidRPr="00DA3766">
        <w:t>D</w:t>
      </w:r>
      <w:r w:rsidRPr="00DA3766">
        <w:t>轮投资人及</w:t>
      </w:r>
      <w:r w:rsidRPr="00DA3766">
        <w:t>D+</w:t>
      </w:r>
      <w:r w:rsidRPr="00DA3766">
        <w:t>轮投资人而言，虽</w:t>
      </w:r>
      <w:r w:rsidRPr="00DA3766">
        <w:t>2024</w:t>
      </w:r>
      <w:r w:rsidRPr="00DA3766">
        <w:t>年标的公司实现</w:t>
      </w:r>
      <w:r w:rsidRPr="00DA3766">
        <w:lastRenderedPageBreak/>
        <w:t>收入和利润翻倍增长，经营形势向好，但以上轮次投资</w:t>
      </w:r>
      <w:r w:rsidR="00445CAC" w:rsidRPr="00DA3766">
        <w:t>入</w:t>
      </w:r>
      <w:r w:rsidRPr="00DA3766">
        <w:t>股标的公司时估值约为</w:t>
      </w:r>
      <w:r w:rsidRPr="00DA3766">
        <w:t>19.26</w:t>
      </w:r>
      <w:r w:rsidRPr="00DA3766">
        <w:t>亿</w:t>
      </w:r>
      <w:r w:rsidR="00B9064B" w:rsidRPr="00DA3766">
        <w:t>元</w:t>
      </w:r>
      <w:r w:rsidRPr="00DA3766">
        <w:t>。当时上述投资人综合判断标的公司短期内无法以高于其入股成本对应的估值水平完成</w:t>
      </w:r>
      <w:r w:rsidRPr="00DA3766">
        <w:t>IPO</w:t>
      </w:r>
      <w:r w:rsidRPr="00DA3766">
        <w:t>或并购，为保障自身投资利益，决定以投资成本或投资成本加一定利息的形式减资退出。</w:t>
      </w:r>
    </w:p>
    <w:p w14:paraId="43FE8D25" w14:textId="77777777" w:rsidR="00720FA4" w:rsidRPr="00DA3766" w:rsidRDefault="00720FA4" w:rsidP="008A1B9E">
      <w:pPr>
        <w:pStyle w:val="005"/>
        <w:spacing w:before="120" w:after="120"/>
        <w:ind w:firstLine="480"/>
        <w:rPr>
          <w:bCs/>
          <w:color w:val="000000"/>
        </w:rPr>
      </w:pPr>
      <w:r w:rsidRPr="00DA3766">
        <w:rPr>
          <w:bCs/>
          <w:color w:val="000000"/>
        </w:rPr>
        <w:t>2024</w:t>
      </w:r>
      <w:r w:rsidRPr="00DA3766">
        <w:rPr>
          <w:bCs/>
          <w:color w:val="000000"/>
        </w:rPr>
        <w:t>年</w:t>
      </w:r>
      <w:r w:rsidRPr="00DA3766">
        <w:rPr>
          <w:bCs/>
          <w:color w:val="000000"/>
        </w:rPr>
        <w:t>12</w:t>
      </w:r>
      <w:r w:rsidRPr="00DA3766">
        <w:rPr>
          <w:bCs/>
          <w:color w:val="000000"/>
        </w:rPr>
        <w:t>月减资对象林芝利新、璀璨远见、璀璨德商属于标的公司</w:t>
      </w:r>
      <w:r w:rsidRPr="00DA3766">
        <w:rPr>
          <w:bCs/>
          <w:color w:val="000000"/>
        </w:rPr>
        <w:t>2020</w:t>
      </w:r>
      <w:r w:rsidRPr="00DA3766">
        <w:rPr>
          <w:bCs/>
          <w:color w:val="000000"/>
        </w:rPr>
        <w:t>年</w:t>
      </w:r>
      <w:r w:rsidRPr="00DA3766">
        <w:rPr>
          <w:bCs/>
          <w:color w:val="000000"/>
        </w:rPr>
        <w:t>1</w:t>
      </w:r>
      <w:r w:rsidRPr="00DA3766">
        <w:rPr>
          <w:bCs/>
          <w:color w:val="000000"/>
        </w:rPr>
        <w:t>月</w:t>
      </w:r>
      <w:r w:rsidRPr="00DA3766">
        <w:rPr>
          <w:bCs/>
          <w:color w:val="000000"/>
        </w:rPr>
        <w:t>C</w:t>
      </w:r>
      <w:r w:rsidRPr="00DA3766">
        <w:rPr>
          <w:bCs/>
          <w:color w:val="000000"/>
        </w:rPr>
        <w:t>轮融资投资人，</w:t>
      </w:r>
      <w:r w:rsidRPr="00DA3766">
        <w:t>林芝利新、璀璨远见及璀璨德商作为</w:t>
      </w:r>
      <w:r w:rsidRPr="00DA3766">
        <w:t>C</w:t>
      </w:r>
      <w:r w:rsidRPr="00DA3766">
        <w:t>轮投资人，于</w:t>
      </w:r>
      <w:r w:rsidRPr="00DA3766">
        <w:t>2020</w:t>
      </w:r>
      <w:r w:rsidRPr="00DA3766">
        <w:t>年</w:t>
      </w:r>
      <w:r w:rsidRPr="00DA3766">
        <w:t>1</w:t>
      </w:r>
      <w:r w:rsidRPr="00DA3766">
        <w:t>月以</w:t>
      </w:r>
      <w:r w:rsidRPr="00DA3766">
        <w:t>10</w:t>
      </w:r>
      <w:r w:rsidRPr="00DA3766">
        <w:t>亿元估值水平投资进入。考虑到</w:t>
      </w:r>
      <w:r w:rsidRPr="00DA3766">
        <w:rPr>
          <w:bCs/>
          <w:color w:val="000000"/>
        </w:rPr>
        <w:t>标的公司短期内无法以高估值水平完成</w:t>
      </w:r>
      <w:r w:rsidRPr="00DA3766">
        <w:rPr>
          <w:bCs/>
          <w:color w:val="000000"/>
        </w:rPr>
        <w:t>IPO</w:t>
      </w:r>
      <w:r w:rsidRPr="00DA3766">
        <w:rPr>
          <w:bCs/>
          <w:color w:val="000000"/>
        </w:rPr>
        <w:t>或并购，且</w:t>
      </w:r>
      <w:r w:rsidRPr="00DA3766">
        <w:t>在此之前标的公司已完成两轮减资，</w:t>
      </w:r>
      <w:r w:rsidRPr="00DA3766">
        <w:rPr>
          <w:bCs/>
          <w:color w:val="000000"/>
        </w:rPr>
        <w:t>为保障自身投资利益，</w:t>
      </w:r>
      <w:r w:rsidRPr="00DA3766">
        <w:t>经上述投资人与标的公司友好协商，决定由标的公司以投资成本加一定利息的形式回购其持有的一部分股权。</w:t>
      </w:r>
    </w:p>
    <w:p w14:paraId="1779A8FF" w14:textId="0B1989BE" w:rsidR="00720FA4" w:rsidRPr="00DA3766" w:rsidRDefault="00720FA4" w:rsidP="00720FA4">
      <w:pPr>
        <w:pStyle w:val="004"/>
        <w:spacing w:before="120" w:after="120"/>
        <w:ind w:firstLine="482"/>
      </w:pPr>
      <w:r w:rsidRPr="00DA3766">
        <w:t>2</w:t>
      </w:r>
      <w:r w:rsidRPr="00DA3766">
        <w:t>、标的资产的生产经营及所处行业不存在重大不利因素</w:t>
      </w:r>
    </w:p>
    <w:p w14:paraId="58A7D67F" w14:textId="77777777" w:rsidR="000706BE" w:rsidRPr="00DA3766" w:rsidRDefault="000706BE" w:rsidP="00DA3766">
      <w:pPr>
        <w:spacing w:before="120" w:afterLines="0" w:after="0"/>
        <w:ind w:firstLine="482"/>
        <w:jc w:val="both"/>
        <w:rPr>
          <w:rFonts w:ascii="Times New Roman" w:hAnsi="Times New Roman" w:cs="Times New Roman"/>
          <w:b/>
          <w:color w:val="000000"/>
        </w:rPr>
      </w:pPr>
      <w:r w:rsidRPr="00DA3766">
        <w:rPr>
          <w:rFonts w:ascii="Times New Roman" w:hAnsi="Times New Roman" w:cs="Times New Roman"/>
          <w:b/>
          <w:color w:val="000000"/>
        </w:rPr>
        <w:t>（</w:t>
      </w:r>
      <w:r w:rsidRPr="00DA3766">
        <w:rPr>
          <w:rFonts w:ascii="Times New Roman" w:hAnsi="Times New Roman" w:cs="Times New Roman"/>
          <w:b/>
          <w:color w:val="000000"/>
        </w:rPr>
        <w:t>1</w:t>
      </w:r>
      <w:r w:rsidRPr="00DA3766">
        <w:rPr>
          <w:rFonts w:ascii="Times New Roman" w:hAnsi="Times New Roman" w:cs="Times New Roman"/>
          <w:b/>
          <w:color w:val="000000"/>
        </w:rPr>
        <w:t>）标的资产的生产经营稳定且保持持续增长</w:t>
      </w:r>
    </w:p>
    <w:p w14:paraId="31550F56" w14:textId="280C0E99" w:rsidR="00720FA4" w:rsidRPr="00DA3766" w:rsidRDefault="00720FA4" w:rsidP="008A1B9E">
      <w:pPr>
        <w:pStyle w:val="005"/>
        <w:spacing w:before="120" w:after="120"/>
        <w:ind w:firstLine="480"/>
      </w:pPr>
      <w:r w:rsidRPr="00DA3766">
        <w:t>报告期内，标的公司经营情况</w:t>
      </w:r>
      <w:r w:rsidR="000706BE" w:rsidRPr="00DA3766">
        <w:t>如下</w:t>
      </w:r>
      <w:r w:rsidRPr="00DA3766">
        <w:t>：</w:t>
      </w:r>
    </w:p>
    <w:p w14:paraId="273A21C6" w14:textId="77777777" w:rsidR="00720FA4" w:rsidRPr="00DA3766" w:rsidRDefault="00720FA4" w:rsidP="008A1B9E">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720FA4" w:rsidRPr="00DA3766" w14:paraId="4510CD19" w14:textId="77777777" w:rsidTr="007F36AF">
        <w:trPr>
          <w:trHeight w:val="397"/>
          <w:jc w:val="center"/>
        </w:trPr>
        <w:tc>
          <w:tcPr>
            <w:tcW w:w="3085" w:type="dxa"/>
            <w:tcMar>
              <w:top w:w="0" w:type="dxa"/>
              <w:left w:w="108" w:type="dxa"/>
              <w:bottom w:w="0" w:type="dxa"/>
              <w:right w:w="108" w:type="dxa"/>
            </w:tcMar>
            <w:vAlign w:val="center"/>
          </w:tcPr>
          <w:p w14:paraId="7C2E6000"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814" w:type="dxa"/>
            <w:tcMar>
              <w:top w:w="0" w:type="dxa"/>
              <w:left w:w="108" w:type="dxa"/>
              <w:bottom w:w="0" w:type="dxa"/>
              <w:right w:w="108" w:type="dxa"/>
            </w:tcMar>
            <w:vAlign w:val="center"/>
          </w:tcPr>
          <w:p w14:paraId="1A25CD40"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814" w:type="dxa"/>
            <w:tcMar>
              <w:top w:w="0" w:type="dxa"/>
              <w:left w:w="108" w:type="dxa"/>
              <w:bottom w:w="0" w:type="dxa"/>
              <w:right w:w="108" w:type="dxa"/>
            </w:tcMar>
            <w:vAlign w:val="center"/>
          </w:tcPr>
          <w:p w14:paraId="373FBD6F"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815" w:type="dxa"/>
            <w:tcMar>
              <w:top w:w="0" w:type="dxa"/>
              <w:left w:w="108" w:type="dxa"/>
              <w:bottom w:w="0" w:type="dxa"/>
              <w:right w:w="108" w:type="dxa"/>
            </w:tcMar>
            <w:vAlign w:val="center"/>
          </w:tcPr>
          <w:p w14:paraId="2353131C"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20FA4" w:rsidRPr="00DA3766" w14:paraId="1572A3DE" w14:textId="77777777" w:rsidTr="007F36AF">
        <w:trPr>
          <w:trHeight w:val="397"/>
          <w:jc w:val="center"/>
        </w:trPr>
        <w:tc>
          <w:tcPr>
            <w:tcW w:w="3085" w:type="dxa"/>
            <w:tcMar>
              <w:top w:w="0" w:type="dxa"/>
              <w:left w:w="108" w:type="dxa"/>
              <w:bottom w:w="0" w:type="dxa"/>
              <w:right w:w="108" w:type="dxa"/>
            </w:tcMar>
            <w:vAlign w:val="center"/>
          </w:tcPr>
          <w:p w14:paraId="30990D34"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营业收入</w:t>
            </w:r>
          </w:p>
        </w:tc>
        <w:tc>
          <w:tcPr>
            <w:tcW w:w="1814" w:type="dxa"/>
            <w:tcMar>
              <w:top w:w="0" w:type="dxa"/>
              <w:left w:w="108" w:type="dxa"/>
              <w:bottom w:w="0" w:type="dxa"/>
              <w:right w:w="108" w:type="dxa"/>
            </w:tcMar>
            <w:vAlign w:val="center"/>
          </w:tcPr>
          <w:p w14:paraId="7A9C448D"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24,799.86</w:t>
            </w:r>
          </w:p>
        </w:tc>
        <w:tc>
          <w:tcPr>
            <w:tcW w:w="1814" w:type="dxa"/>
            <w:tcMar>
              <w:top w:w="0" w:type="dxa"/>
              <w:left w:w="108" w:type="dxa"/>
              <w:bottom w:w="0" w:type="dxa"/>
              <w:right w:w="108" w:type="dxa"/>
            </w:tcMar>
            <w:vAlign w:val="center"/>
          </w:tcPr>
          <w:p w14:paraId="57FECC0F"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44,716.44</w:t>
            </w:r>
          </w:p>
        </w:tc>
        <w:tc>
          <w:tcPr>
            <w:tcW w:w="1815" w:type="dxa"/>
            <w:tcMar>
              <w:top w:w="0" w:type="dxa"/>
              <w:left w:w="108" w:type="dxa"/>
              <w:bottom w:w="0" w:type="dxa"/>
              <w:right w:w="108" w:type="dxa"/>
            </w:tcMar>
            <w:vAlign w:val="center"/>
          </w:tcPr>
          <w:p w14:paraId="64E73895"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38,501.66</w:t>
            </w:r>
          </w:p>
        </w:tc>
      </w:tr>
      <w:tr w:rsidR="00720FA4" w:rsidRPr="00DA3766" w14:paraId="30B66345" w14:textId="77777777" w:rsidTr="007F36AF">
        <w:trPr>
          <w:trHeight w:val="397"/>
          <w:jc w:val="center"/>
        </w:trPr>
        <w:tc>
          <w:tcPr>
            <w:tcW w:w="3085" w:type="dxa"/>
            <w:tcMar>
              <w:top w:w="0" w:type="dxa"/>
              <w:left w:w="108" w:type="dxa"/>
              <w:bottom w:w="0" w:type="dxa"/>
              <w:right w:w="108" w:type="dxa"/>
            </w:tcMar>
            <w:vAlign w:val="center"/>
          </w:tcPr>
          <w:p w14:paraId="6A05392A"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利润总额</w:t>
            </w:r>
          </w:p>
        </w:tc>
        <w:tc>
          <w:tcPr>
            <w:tcW w:w="1814" w:type="dxa"/>
            <w:tcMar>
              <w:top w:w="0" w:type="dxa"/>
              <w:left w:w="108" w:type="dxa"/>
              <w:bottom w:w="0" w:type="dxa"/>
              <w:right w:w="108" w:type="dxa"/>
            </w:tcMar>
            <w:vAlign w:val="center"/>
          </w:tcPr>
          <w:p w14:paraId="656EDEF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6,526.72</w:t>
            </w:r>
          </w:p>
        </w:tc>
        <w:tc>
          <w:tcPr>
            <w:tcW w:w="1814" w:type="dxa"/>
            <w:tcMar>
              <w:top w:w="0" w:type="dxa"/>
              <w:left w:w="108" w:type="dxa"/>
              <w:bottom w:w="0" w:type="dxa"/>
              <w:right w:w="108" w:type="dxa"/>
            </w:tcMar>
            <w:vAlign w:val="center"/>
          </w:tcPr>
          <w:p w14:paraId="696C9A58"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10,186.71</w:t>
            </w:r>
          </w:p>
        </w:tc>
        <w:tc>
          <w:tcPr>
            <w:tcW w:w="1815" w:type="dxa"/>
            <w:tcMar>
              <w:top w:w="0" w:type="dxa"/>
              <w:left w:w="108" w:type="dxa"/>
              <w:bottom w:w="0" w:type="dxa"/>
              <w:right w:w="108" w:type="dxa"/>
            </w:tcMar>
            <w:vAlign w:val="center"/>
          </w:tcPr>
          <w:p w14:paraId="066A2266"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2,888.60</w:t>
            </w:r>
          </w:p>
        </w:tc>
      </w:tr>
      <w:tr w:rsidR="00720FA4" w:rsidRPr="00DA3766" w14:paraId="4A0E5F01" w14:textId="77777777" w:rsidTr="007F36AF">
        <w:trPr>
          <w:trHeight w:val="397"/>
          <w:jc w:val="center"/>
        </w:trPr>
        <w:tc>
          <w:tcPr>
            <w:tcW w:w="3085" w:type="dxa"/>
            <w:tcMar>
              <w:top w:w="0" w:type="dxa"/>
              <w:left w:w="108" w:type="dxa"/>
              <w:bottom w:w="0" w:type="dxa"/>
              <w:right w:w="108" w:type="dxa"/>
            </w:tcMar>
            <w:vAlign w:val="center"/>
          </w:tcPr>
          <w:p w14:paraId="600B1B17"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净利润</w:t>
            </w:r>
          </w:p>
        </w:tc>
        <w:tc>
          <w:tcPr>
            <w:tcW w:w="1814" w:type="dxa"/>
            <w:tcMar>
              <w:top w:w="0" w:type="dxa"/>
              <w:left w:w="108" w:type="dxa"/>
              <w:bottom w:w="0" w:type="dxa"/>
              <w:right w:w="108" w:type="dxa"/>
            </w:tcMar>
            <w:vAlign w:val="center"/>
          </w:tcPr>
          <w:p w14:paraId="251B3712"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6,041.44</w:t>
            </w:r>
          </w:p>
        </w:tc>
        <w:tc>
          <w:tcPr>
            <w:tcW w:w="1814" w:type="dxa"/>
            <w:tcMar>
              <w:top w:w="0" w:type="dxa"/>
              <w:left w:w="108" w:type="dxa"/>
              <w:bottom w:w="0" w:type="dxa"/>
              <w:right w:w="108" w:type="dxa"/>
            </w:tcMar>
            <w:vAlign w:val="center"/>
          </w:tcPr>
          <w:p w14:paraId="201C6EBB"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9,466.96</w:t>
            </w:r>
          </w:p>
        </w:tc>
        <w:tc>
          <w:tcPr>
            <w:tcW w:w="1815" w:type="dxa"/>
            <w:tcMar>
              <w:top w:w="0" w:type="dxa"/>
              <w:left w:w="108" w:type="dxa"/>
              <w:bottom w:w="0" w:type="dxa"/>
              <w:right w:w="108" w:type="dxa"/>
            </w:tcMar>
            <w:vAlign w:val="center"/>
          </w:tcPr>
          <w:p w14:paraId="7DD0B074"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3,369.27</w:t>
            </w:r>
          </w:p>
        </w:tc>
      </w:tr>
      <w:tr w:rsidR="00720FA4" w:rsidRPr="00DA3766" w14:paraId="0C6912AB" w14:textId="77777777" w:rsidTr="007F36AF">
        <w:trPr>
          <w:trHeight w:val="397"/>
          <w:jc w:val="center"/>
        </w:trPr>
        <w:tc>
          <w:tcPr>
            <w:tcW w:w="3085" w:type="dxa"/>
            <w:tcMar>
              <w:top w:w="0" w:type="dxa"/>
              <w:left w:w="108" w:type="dxa"/>
              <w:bottom w:w="0" w:type="dxa"/>
              <w:right w:w="108" w:type="dxa"/>
            </w:tcMar>
            <w:vAlign w:val="center"/>
          </w:tcPr>
          <w:p w14:paraId="245F95C9"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归属于母公司所有者的净利润</w:t>
            </w:r>
          </w:p>
        </w:tc>
        <w:tc>
          <w:tcPr>
            <w:tcW w:w="1814" w:type="dxa"/>
            <w:tcMar>
              <w:top w:w="0" w:type="dxa"/>
              <w:left w:w="108" w:type="dxa"/>
              <w:bottom w:w="0" w:type="dxa"/>
              <w:right w:w="108" w:type="dxa"/>
            </w:tcMar>
            <w:vAlign w:val="center"/>
          </w:tcPr>
          <w:p w14:paraId="0202137E"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5,456.63</w:t>
            </w:r>
          </w:p>
        </w:tc>
        <w:tc>
          <w:tcPr>
            <w:tcW w:w="1814" w:type="dxa"/>
            <w:tcMar>
              <w:top w:w="0" w:type="dxa"/>
              <w:left w:w="108" w:type="dxa"/>
              <w:bottom w:w="0" w:type="dxa"/>
              <w:right w:w="108" w:type="dxa"/>
            </w:tcMar>
            <w:vAlign w:val="center"/>
          </w:tcPr>
          <w:p w14:paraId="24B2899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8,666.13</w:t>
            </w:r>
          </w:p>
        </w:tc>
        <w:tc>
          <w:tcPr>
            <w:tcW w:w="1815" w:type="dxa"/>
            <w:tcMar>
              <w:top w:w="0" w:type="dxa"/>
              <w:left w:w="108" w:type="dxa"/>
              <w:bottom w:w="0" w:type="dxa"/>
              <w:right w:w="108" w:type="dxa"/>
            </w:tcMar>
            <w:vAlign w:val="center"/>
          </w:tcPr>
          <w:p w14:paraId="70551DE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3,869.38</w:t>
            </w:r>
          </w:p>
        </w:tc>
      </w:tr>
    </w:tbl>
    <w:p w14:paraId="7029CFA0" w14:textId="3883E1C9" w:rsidR="000706BE" w:rsidRPr="00DA3766" w:rsidRDefault="00F17E80" w:rsidP="008A1B9E">
      <w:pPr>
        <w:pStyle w:val="005"/>
        <w:spacing w:before="120" w:after="120"/>
        <w:ind w:firstLine="480"/>
      </w:pPr>
      <w:r w:rsidRPr="00DA3766">
        <w:t>由上表可知，报告期内标的公司关键财务指标如营业收入、利润总额、净利润及归属于母公司所有者的净利润持续增长，标的公司生产经营稳定</w:t>
      </w:r>
      <w:bookmarkStart w:id="242" w:name="OLE_LINK58"/>
      <w:r w:rsidRPr="00DA3766">
        <w:t>且维持增长态势</w:t>
      </w:r>
      <w:bookmarkEnd w:id="242"/>
      <w:r w:rsidRPr="00DA3766">
        <w:t>。</w:t>
      </w:r>
    </w:p>
    <w:p w14:paraId="04944567" w14:textId="2D5E6C96" w:rsidR="000706BE" w:rsidRPr="00DA3766" w:rsidRDefault="000706BE" w:rsidP="00DA3766">
      <w:pPr>
        <w:spacing w:before="120" w:afterLines="0" w:after="0"/>
        <w:ind w:firstLine="482"/>
        <w:jc w:val="both"/>
        <w:rPr>
          <w:rFonts w:ascii="Times New Roman" w:hAnsi="Times New Roman" w:cs="Times New Roman"/>
          <w:b/>
          <w:color w:val="000000"/>
        </w:rPr>
      </w:pPr>
      <w:r w:rsidRPr="00DA3766">
        <w:rPr>
          <w:rFonts w:ascii="Times New Roman" w:hAnsi="Times New Roman" w:cs="Times New Roman"/>
          <w:b/>
          <w:color w:val="000000"/>
        </w:rPr>
        <w:t>（</w:t>
      </w:r>
      <w:r w:rsidRPr="00DA3766">
        <w:rPr>
          <w:rFonts w:ascii="Times New Roman" w:hAnsi="Times New Roman" w:cs="Times New Roman"/>
          <w:b/>
          <w:color w:val="000000"/>
        </w:rPr>
        <w:t>2</w:t>
      </w:r>
      <w:r w:rsidRPr="00DA3766">
        <w:rPr>
          <w:rFonts w:ascii="Times New Roman" w:hAnsi="Times New Roman" w:cs="Times New Roman"/>
          <w:b/>
          <w:color w:val="000000"/>
        </w:rPr>
        <w:t>）标的资产</w:t>
      </w:r>
      <w:r w:rsidR="00F17E80" w:rsidRPr="00DA3766">
        <w:rPr>
          <w:rFonts w:ascii="Times New Roman" w:hAnsi="Times New Roman" w:cs="Times New Roman"/>
          <w:b/>
          <w:color w:val="000000"/>
        </w:rPr>
        <w:t>所处行业</w:t>
      </w:r>
      <w:r w:rsidR="00596D6D" w:rsidRPr="00DA3766">
        <w:rPr>
          <w:rFonts w:ascii="Times New Roman" w:hAnsi="Times New Roman" w:cs="Times New Roman"/>
          <w:b/>
          <w:color w:val="000000"/>
        </w:rPr>
        <w:t>发展态势良好，不存在重大不利因素</w:t>
      </w:r>
    </w:p>
    <w:p w14:paraId="46EFD7CA" w14:textId="58F686E0" w:rsidR="00596D6D" w:rsidRPr="00DA3766" w:rsidRDefault="00596D6D" w:rsidP="008A1B9E">
      <w:pPr>
        <w:pStyle w:val="005"/>
        <w:spacing w:before="120" w:after="120"/>
        <w:ind w:firstLine="480"/>
      </w:pPr>
      <w:r w:rsidRPr="00DA3766">
        <w:t>标的资产所处行业的行业政策情况见</w:t>
      </w:r>
      <w:r w:rsidR="00176D50"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（一）所处行业的主管部门、监管体制、主要法律法规及政策</w:t>
      </w:r>
      <w:r w:rsidRPr="00DA3766">
        <w:rPr>
          <w:rFonts w:ascii="宋体" w:hAnsi="宋体"/>
        </w:rPr>
        <w:t>”</w:t>
      </w:r>
      <w:r w:rsidRPr="00DA3766">
        <w:t>。</w:t>
      </w:r>
    </w:p>
    <w:p w14:paraId="615DACAD" w14:textId="336DDACE" w:rsidR="00720FA4" w:rsidRPr="00DA3766" w:rsidRDefault="00F17E80" w:rsidP="008A1B9E">
      <w:pPr>
        <w:pStyle w:val="005"/>
        <w:spacing w:before="120" w:after="120"/>
        <w:ind w:firstLine="480"/>
      </w:pPr>
      <w:r w:rsidRPr="00DA3766">
        <w:t>标的资产所处行业的发展情况见</w:t>
      </w:r>
      <w:r w:rsidR="00F32A32" w:rsidRPr="00DA3766">
        <w:t>《重组报告书》</w:t>
      </w:r>
      <w:r w:rsidR="00596D6D" w:rsidRPr="00DA3766">
        <w:rPr>
          <w:rFonts w:ascii="宋体" w:hAnsi="宋体"/>
        </w:rPr>
        <w:t>“</w:t>
      </w:r>
      <w:r w:rsidR="00596D6D" w:rsidRPr="00DA3766">
        <w:t>第九节</w:t>
      </w:r>
      <w:r w:rsidR="00596D6D" w:rsidRPr="00DA3766">
        <w:t xml:space="preserve"> </w:t>
      </w:r>
      <w:r w:rsidR="00596D6D" w:rsidRPr="00DA3766">
        <w:t>管理层讨论与分析</w:t>
      </w:r>
      <w:r w:rsidR="00596D6D" w:rsidRPr="00DA3766">
        <w:rPr>
          <w:rFonts w:ascii="宋体" w:hAnsi="宋体"/>
        </w:rPr>
        <w:t>”</w:t>
      </w:r>
      <w:r w:rsidR="00596D6D" w:rsidRPr="00DA3766">
        <w:t>之</w:t>
      </w:r>
      <w:r w:rsidR="00596D6D" w:rsidRPr="00DA3766">
        <w:rPr>
          <w:rFonts w:ascii="宋体" w:hAnsi="宋体"/>
        </w:rPr>
        <w:t>“</w:t>
      </w:r>
      <w:r w:rsidR="00596D6D" w:rsidRPr="00DA3766">
        <w:t>二、标的公司行业特点和经营情况分析</w:t>
      </w:r>
      <w:r w:rsidR="00596D6D" w:rsidRPr="00DA3766">
        <w:rPr>
          <w:rFonts w:ascii="宋体" w:hAnsi="宋体"/>
        </w:rPr>
        <w:t>”</w:t>
      </w:r>
      <w:r w:rsidR="00596D6D" w:rsidRPr="00DA3766">
        <w:t>之</w:t>
      </w:r>
      <w:r w:rsidR="00596D6D" w:rsidRPr="00DA3766">
        <w:rPr>
          <w:rFonts w:ascii="宋体" w:hAnsi="宋体"/>
        </w:rPr>
        <w:t>“</w:t>
      </w:r>
      <w:r w:rsidR="00596D6D" w:rsidRPr="00DA3766">
        <w:t>（一）行业基本情况及发</w:t>
      </w:r>
      <w:r w:rsidR="00596D6D" w:rsidRPr="00DA3766">
        <w:lastRenderedPageBreak/>
        <w:t>展概况</w:t>
      </w:r>
      <w:r w:rsidR="00596D6D" w:rsidRPr="00DA3766">
        <w:rPr>
          <w:rFonts w:ascii="宋体" w:hAnsi="宋体"/>
        </w:rPr>
        <w:t>”</w:t>
      </w:r>
      <w:r w:rsidR="00596D6D" w:rsidRPr="00DA3766">
        <w:t>。标的公司所处行业发展态势良好，国家亦出台多项政策鼓励物联网行业发展，标的公司所处行业不存在重大不利因素。</w:t>
      </w:r>
    </w:p>
    <w:p w14:paraId="61B645FB" w14:textId="4027E877" w:rsidR="00720FA4" w:rsidRPr="00DA3766" w:rsidRDefault="00720FA4" w:rsidP="008A1B9E">
      <w:pPr>
        <w:pStyle w:val="005"/>
        <w:spacing w:before="120" w:after="120"/>
        <w:ind w:firstLine="480"/>
      </w:pPr>
      <w:r w:rsidRPr="00DA3766">
        <w:t>综上，</w:t>
      </w:r>
      <w:r w:rsidR="00596D6D" w:rsidRPr="00DA3766">
        <w:t>标的资产本身生产经营稳定，所处行业发展态势良好。</w:t>
      </w:r>
      <w:r w:rsidRPr="00DA3766">
        <w:t>标的资产</w:t>
      </w:r>
      <w:r w:rsidR="00596D6D" w:rsidRPr="00DA3766">
        <w:t>历次减资主要系减资股东结合自身判断考虑无法以高于投资成本价值退出而作出的独立决策，非因标的资产</w:t>
      </w:r>
      <w:r w:rsidRPr="00DA3766">
        <w:t>生产经营</w:t>
      </w:r>
      <w:r w:rsidR="00596D6D" w:rsidRPr="00DA3766">
        <w:t>及</w:t>
      </w:r>
      <w:r w:rsidRPr="00DA3766">
        <w:t>所处行业</w:t>
      </w:r>
      <w:r w:rsidR="00596D6D" w:rsidRPr="00DA3766">
        <w:t>出现</w:t>
      </w:r>
      <w:r w:rsidRPr="00DA3766">
        <w:t>重大不利因素。</w:t>
      </w:r>
    </w:p>
    <w:p w14:paraId="1858EC93" w14:textId="7008C801" w:rsidR="0016781B" w:rsidRPr="00DA3766" w:rsidRDefault="0016781B" w:rsidP="002A2865">
      <w:pPr>
        <w:pStyle w:val="003"/>
        <w:spacing w:before="120" w:after="120"/>
        <w:ind w:firstLine="482"/>
      </w:pPr>
      <w:r w:rsidRPr="00DA3766">
        <w:t>（四）上市公司在外部股东减资退出的情况下以</w:t>
      </w:r>
      <w:r w:rsidRPr="00DA3766">
        <w:t>649.77%</w:t>
      </w:r>
      <w:r w:rsidRPr="00DA3766">
        <w:t>的增值率收购标的资产的原因及合理性，本次交易是否有利于提高上市公司资产质量、增强持续经营能力</w:t>
      </w:r>
    </w:p>
    <w:p w14:paraId="28A7A5EC" w14:textId="62093AF7" w:rsidR="00720FA4" w:rsidRPr="00DA3766" w:rsidRDefault="0016781B" w:rsidP="00720FA4">
      <w:pPr>
        <w:pStyle w:val="004"/>
        <w:spacing w:before="120" w:after="120"/>
        <w:ind w:firstLine="482"/>
        <w:rPr>
          <w:color w:val="000000"/>
        </w:rPr>
      </w:pPr>
      <w:r w:rsidRPr="00DA3766">
        <w:t>1</w:t>
      </w:r>
      <w:r w:rsidRPr="00DA3766">
        <w:t>、</w:t>
      </w:r>
      <w:bookmarkStart w:id="243" w:name="OLE_LINK72"/>
      <w:r w:rsidR="00720FA4" w:rsidRPr="00DA3766">
        <w:t>上市公司在外部股东减资退出的情况下以</w:t>
      </w:r>
      <w:r w:rsidR="00720FA4" w:rsidRPr="00DA3766">
        <w:t>649.77%</w:t>
      </w:r>
      <w:r w:rsidR="00720FA4" w:rsidRPr="00DA3766">
        <w:t>的增值率收购标的资产的原因及合理性</w:t>
      </w:r>
      <w:bookmarkEnd w:id="243"/>
    </w:p>
    <w:p w14:paraId="2637C8E6" w14:textId="6D46FCE7" w:rsidR="00223AC6" w:rsidRPr="00DA3766" w:rsidRDefault="00223AC6" w:rsidP="00223AC6">
      <w:pPr>
        <w:pStyle w:val="005"/>
        <w:spacing w:before="120" w:after="120"/>
        <w:ind w:firstLine="482"/>
        <w:rPr>
          <w:b/>
          <w:bCs/>
        </w:rPr>
      </w:pPr>
      <w:r w:rsidRPr="00DA3766">
        <w:rPr>
          <w:b/>
          <w:bCs/>
        </w:rPr>
        <w:t>（</w:t>
      </w:r>
      <w:r w:rsidRPr="00DA3766">
        <w:rPr>
          <w:b/>
          <w:bCs/>
        </w:rPr>
        <w:t>1</w:t>
      </w:r>
      <w:r w:rsidRPr="00DA3766">
        <w:rPr>
          <w:b/>
          <w:bCs/>
        </w:rPr>
        <w:t>）历史股东减资退出行为具有经济性</w:t>
      </w:r>
    </w:p>
    <w:p w14:paraId="44F011BC" w14:textId="5DDD970C" w:rsidR="00A27D74" w:rsidRPr="00DA3766" w:rsidRDefault="00A27D74" w:rsidP="00A27D74">
      <w:pPr>
        <w:pStyle w:val="005"/>
        <w:spacing w:before="120" w:after="120"/>
        <w:ind w:firstLine="480"/>
      </w:pPr>
      <w:r w:rsidRPr="00DA3766">
        <w:t>标的公司减资退出股东为</w:t>
      </w:r>
      <w:r w:rsidRPr="00DA3766">
        <w:t>D</w:t>
      </w:r>
      <w:r w:rsidRPr="00DA3766">
        <w:t>轮投资人、</w:t>
      </w:r>
      <w:r w:rsidRPr="00DA3766">
        <w:t>D+</w:t>
      </w:r>
      <w:r w:rsidRPr="00DA3766">
        <w:t>轮投资人及部分</w:t>
      </w:r>
      <w:r w:rsidRPr="00DA3766">
        <w:t>C</w:t>
      </w:r>
      <w:r w:rsidRPr="00DA3766">
        <w:t>轮投资人（林芝利新、璀璨远见、璀璨德商）。</w:t>
      </w:r>
      <w:r w:rsidR="00212B80" w:rsidRPr="00212B80">
        <w:t>对于</w:t>
      </w:r>
      <w:r w:rsidR="00212B80" w:rsidRPr="00212B80">
        <w:t>D</w:t>
      </w:r>
      <w:r w:rsidR="00212B80" w:rsidRPr="00212B80">
        <w:t>轮投资人及</w:t>
      </w:r>
      <w:r w:rsidR="00212B80" w:rsidRPr="00212B80">
        <w:t>D+</w:t>
      </w:r>
      <w:r w:rsidR="00212B80" w:rsidRPr="00212B80">
        <w:t>轮投资人而言，综合参考本次交易定价及其投资成本，退出估值高于本次交易综合估值</w:t>
      </w:r>
      <w:r w:rsidR="00212B80" w:rsidRPr="00212B80">
        <w:t>12.06</w:t>
      </w:r>
      <w:r w:rsidR="00212B80" w:rsidRPr="00212B80">
        <w:t>亿元，</w:t>
      </w:r>
      <w:r w:rsidR="00212B80" w:rsidRPr="00212B80">
        <w:t>D</w:t>
      </w:r>
      <w:r w:rsidR="00212B80" w:rsidRPr="00212B80">
        <w:t>轮及</w:t>
      </w:r>
      <w:r w:rsidR="00212B80" w:rsidRPr="00212B80">
        <w:t>D+</w:t>
      </w:r>
      <w:r w:rsidR="00212B80" w:rsidRPr="00212B80">
        <w:t>轮股东减资退出行为系经济的。</w:t>
      </w:r>
      <w:r w:rsidRPr="00DA3766">
        <w:t>对于部分</w:t>
      </w:r>
      <w:r w:rsidRPr="00DA3766">
        <w:t>C</w:t>
      </w:r>
      <w:r w:rsidRPr="00DA3766">
        <w:t>轮投资人，其入股时点较早，经标的公司与上述投资人友好协商，决定由标的公司以投资成本加一定利息的形式回购其股权，已取得一定的投资收益，减资退出行为亦具有经济性。</w:t>
      </w:r>
    </w:p>
    <w:p w14:paraId="7957094D" w14:textId="232E4D82" w:rsidR="00A27D74" w:rsidRPr="00DA3766" w:rsidRDefault="00A27D74" w:rsidP="00A27D74">
      <w:pPr>
        <w:pStyle w:val="005"/>
        <w:spacing w:before="120" w:after="120"/>
        <w:ind w:firstLine="480"/>
      </w:pPr>
      <w:r w:rsidRPr="00DA3766">
        <w:t>综上，外部投资人减资退出</w:t>
      </w:r>
      <w:r w:rsidR="003F02D3" w:rsidRPr="00DA3766">
        <w:t>行为具有经济性，减资决策主要基于其投资成本收回或取得一定的投资收益的战略考虑，与本次交易中标的公司估值存在差异具有合理性。</w:t>
      </w:r>
    </w:p>
    <w:p w14:paraId="2E00B32D" w14:textId="3D6E20E0" w:rsidR="00223AC6" w:rsidRPr="00DA3766" w:rsidRDefault="00223AC6" w:rsidP="008A1B9E">
      <w:pPr>
        <w:pStyle w:val="005"/>
        <w:spacing w:before="120" w:after="120"/>
        <w:ind w:firstLine="482"/>
        <w:rPr>
          <w:b/>
          <w:bCs/>
        </w:rPr>
      </w:pPr>
      <w:r w:rsidRPr="00DA3766">
        <w:rPr>
          <w:b/>
          <w:bCs/>
        </w:rPr>
        <w:t>（</w:t>
      </w:r>
      <w:r w:rsidRPr="00DA3766">
        <w:rPr>
          <w:b/>
          <w:bCs/>
        </w:rPr>
        <w:t>2</w:t>
      </w:r>
      <w:r w:rsidRPr="00DA3766">
        <w:rPr>
          <w:b/>
          <w:bCs/>
        </w:rPr>
        <w:t>）本次交易中标的公司估值具有合理性</w:t>
      </w:r>
    </w:p>
    <w:p w14:paraId="42950C40" w14:textId="735C10E2" w:rsidR="00720FA4" w:rsidRPr="00DA3766" w:rsidRDefault="00720FA4" w:rsidP="008A1B9E">
      <w:pPr>
        <w:pStyle w:val="005"/>
        <w:spacing w:before="120" w:after="120"/>
        <w:ind w:firstLine="480"/>
      </w:pPr>
      <w:r w:rsidRPr="00DA3766">
        <w:t>本次交易中，标的资产的交易价格以符合相关法律法规要求的资产评估机构金证评估出具的</w:t>
      </w:r>
      <w:bookmarkStart w:id="244" w:name="OLE_LINK68"/>
      <w:r w:rsidRPr="00DA3766">
        <w:t>《资产评估报告》</w:t>
      </w:r>
      <w:bookmarkEnd w:id="244"/>
      <w:r w:rsidRPr="00DA3766">
        <w:t>（金证评报字（</w:t>
      </w:r>
      <w:r w:rsidRPr="00DA3766">
        <w:t>2025</w:t>
      </w:r>
      <w:r w:rsidRPr="00DA3766">
        <w:t>）第</w:t>
      </w:r>
      <w:r w:rsidRPr="00DA3766">
        <w:t>0586</w:t>
      </w:r>
      <w:r w:rsidRPr="00DA3766">
        <w:t>号）所载评估值为基础确定。</w:t>
      </w:r>
    </w:p>
    <w:p w14:paraId="6B03D1F5" w14:textId="145F4ED0" w:rsidR="00720FA4" w:rsidRPr="00DA3766" w:rsidRDefault="00720FA4" w:rsidP="008A1B9E">
      <w:pPr>
        <w:pStyle w:val="005"/>
        <w:spacing w:before="120" w:after="120"/>
        <w:ind w:firstLine="480"/>
      </w:pPr>
      <w:r w:rsidRPr="00DA3766">
        <w:t>金证评估依照国家评估相关法律法规，就</w:t>
      </w:r>
      <w:r w:rsidR="008144F1" w:rsidRPr="00DA3766">
        <w:t>标的公司</w:t>
      </w:r>
      <w:r w:rsidRPr="00DA3766">
        <w:t>截至</w:t>
      </w:r>
      <w:r w:rsidRPr="00DA3766">
        <w:t>2025</w:t>
      </w:r>
      <w:r w:rsidRPr="00DA3766">
        <w:t>年</w:t>
      </w:r>
      <w:r w:rsidRPr="00DA3766">
        <w:t>6</w:t>
      </w:r>
      <w:r w:rsidRPr="00DA3766">
        <w:t>月</w:t>
      </w:r>
      <w:r w:rsidRPr="00DA3766">
        <w:t>30</w:t>
      </w:r>
      <w:r w:rsidRPr="00DA3766">
        <w:t>日的全部权益价值进行了评估，本次评估采用市场法和收益法，具体如下：</w:t>
      </w:r>
    </w:p>
    <w:p w14:paraId="0C9A94A0" w14:textId="77777777" w:rsidR="00720FA4" w:rsidRPr="00DA3766" w:rsidRDefault="00720FA4" w:rsidP="00720FA4">
      <w:pPr>
        <w:keepNext/>
        <w:spacing w:beforeLines="0" w:before="0" w:afterLines="0" w:after="0" w:line="240" w:lineRule="auto"/>
        <w:ind w:firstLineChars="0" w:firstLine="0"/>
        <w:jc w:val="right"/>
        <w:rPr>
          <w:rFonts w:ascii="Times New Roman" w:hAnsi="Times New Roman" w:cs="Times New Roman"/>
          <w:sz w:val="21"/>
          <w:szCs w:val="21"/>
          <w:lang w:val="zh-CN"/>
        </w:rPr>
      </w:pPr>
      <w:r w:rsidRPr="00DA3766">
        <w:rPr>
          <w:rFonts w:ascii="Times New Roman" w:hAnsi="Times New Roman" w:cs="Times New Roman"/>
          <w:sz w:val="21"/>
          <w:szCs w:val="21"/>
          <w:lang w:val="zh-CN"/>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96"/>
        <w:gridCol w:w="2185"/>
        <w:gridCol w:w="1312"/>
        <w:gridCol w:w="1312"/>
        <w:gridCol w:w="1247"/>
      </w:tblGrid>
      <w:tr w:rsidR="00720FA4" w:rsidRPr="00DA3766" w14:paraId="312440E7" w14:textId="77777777" w:rsidTr="00DA3766">
        <w:trPr>
          <w:trHeight w:val="397"/>
          <w:jc w:val="center"/>
        </w:trPr>
        <w:tc>
          <w:tcPr>
            <w:tcW w:w="749" w:type="pct"/>
            <w:tcMar>
              <w:top w:w="0" w:type="dxa"/>
              <w:left w:w="108" w:type="dxa"/>
              <w:bottom w:w="0" w:type="dxa"/>
              <w:right w:w="108" w:type="dxa"/>
            </w:tcMar>
            <w:vAlign w:val="center"/>
          </w:tcPr>
          <w:p w14:paraId="214471E7"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评估标的</w:t>
            </w:r>
          </w:p>
        </w:tc>
        <w:tc>
          <w:tcPr>
            <w:tcW w:w="701" w:type="pct"/>
            <w:tcMar>
              <w:top w:w="0" w:type="dxa"/>
              <w:left w:w="108" w:type="dxa"/>
              <w:bottom w:w="0" w:type="dxa"/>
              <w:right w:w="108" w:type="dxa"/>
            </w:tcMar>
            <w:vAlign w:val="center"/>
          </w:tcPr>
          <w:p w14:paraId="59D27219"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评估方法</w:t>
            </w:r>
          </w:p>
        </w:tc>
        <w:tc>
          <w:tcPr>
            <w:tcW w:w="1281" w:type="pct"/>
            <w:tcMar>
              <w:top w:w="0" w:type="dxa"/>
              <w:left w:w="108" w:type="dxa"/>
              <w:bottom w:w="0" w:type="dxa"/>
              <w:right w:w="108" w:type="dxa"/>
            </w:tcMar>
            <w:vAlign w:val="center"/>
          </w:tcPr>
          <w:p w14:paraId="79701859"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股东全部权益账面值</w:t>
            </w:r>
          </w:p>
        </w:tc>
        <w:tc>
          <w:tcPr>
            <w:tcW w:w="769" w:type="pct"/>
            <w:tcMar>
              <w:top w:w="0" w:type="dxa"/>
              <w:left w:w="108" w:type="dxa"/>
              <w:bottom w:w="0" w:type="dxa"/>
              <w:right w:w="108" w:type="dxa"/>
            </w:tcMar>
            <w:vAlign w:val="center"/>
          </w:tcPr>
          <w:p w14:paraId="5C63046B"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评估值</w:t>
            </w:r>
          </w:p>
        </w:tc>
        <w:tc>
          <w:tcPr>
            <w:tcW w:w="769" w:type="pct"/>
            <w:tcMar>
              <w:top w:w="0" w:type="dxa"/>
              <w:left w:w="108" w:type="dxa"/>
              <w:bottom w:w="0" w:type="dxa"/>
              <w:right w:w="108" w:type="dxa"/>
            </w:tcMar>
            <w:vAlign w:val="center"/>
          </w:tcPr>
          <w:p w14:paraId="5DAD60E6"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增值额</w:t>
            </w:r>
          </w:p>
        </w:tc>
        <w:tc>
          <w:tcPr>
            <w:tcW w:w="731" w:type="pct"/>
            <w:tcMar>
              <w:top w:w="0" w:type="dxa"/>
              <w:left w:w="108" w:type="dxa"/>
              <w:bottom w:w="0" w:type="dxa"/>
              <w:right w:w="108" w:type="dxa"/>
            </w:tcMar>
            <w:vAlign w:val="center"/>
          </w:tcPr>
          <w:p w14:paraId="5F6B4433"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增值率</w:t>
            </w:r>
          </w:p>
        </w:tc>
      </w:tr>
      <w:tr w:rsidR="00720FA4" w:rsidRPr="00DA3766" w14:paraId="1A9AC618" w14:textId="77777777" w:rsidTr="00DA3766">
        <w:trPr>
          <w:trHeight w:val="397"/>
          <w:jc w:val="center"/>
        </w:trPr>
        <w:tc>
          <w:tcPr>
            <w:tcW w:w="749" w:type="pct"/>
            <w:vMerge w:val="restart"/>
            <w:tcMar>
              <w:top w:w="0" w:type="dxa"/>
              <w:left w:w="108" w:type="dxa"/>
              <w:bottom w:w="0" w:type="dxa"/>
              <w:right w:w="108" w:type="dxa"/>
            </w:tcMar>
            <w:vAlign w:val="center"/>
          </w:tcPr>
          <w:p w14:paraId="56DAB8BB" w14:textId="77777777" w:rsidR="00720FA4" w:rsidRPr="00DA3766" w:rsidRDefault="00720FA4" w:rsidP="00DA3766">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r w:rsidRPr="00DA3766">
              <w:rPr>
                <w:rFonts w:ascii="Times New Roman" w:hAnsi="Times New Roman" w:cs="Times New Roman"/>
                <w:sz w:val="21"/>
                <w:szCs w:val="21"/>
              </w:rPr>
              <w:t>星云开物</w:t>
            </w:r>
          </w:p>
        </w:tc>
        <w:tc>
          <w:tcPr>
            <w:tcW w:w="701" w:type="pct"/>
            <w:tcMar>
              <w:top w:w="0" w:type="dxa"/>
              <w:left w:w="108" w:type="dxa"/>
              <w:bottom w:w="0" w:type="dxa"/>
              <w:right w:w="108" w:type="dxa"/>
            </w:tcMar>
            <w:vAlign w:val="center"/>
          </w:tcPr>
          <w:p w14:paraId="1FEDBD78" w14:textId="77777777" w:rsidR="00720FA4" w:rsidRPr="00DA3766" w:rsidRDefault="00720FA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sidRPr="00DA3766">
              <w:rPr>
                <w:rFonts w:ascii="Times New Roman" w:hAnsi="Times New Roman" w:cs="Times New Roman"/>
                <w:sz w:val="21"/>
                <w:szCs w:val="21"/>
                <w:lang w:bidi="ar"/>
              </w:rPr>
              <w:t>收益法</w:t>
            </w:r>
          </w:p>
        </w:tc>
        <w:tc>
          <w:tcPr>
            <w:tcW w:w="1281" w:type="pct"/>
            <w:tcMar>
              <w:top w:w="0" w:type="dxa"/>
              <w:left w:w="108" w:type="dxa"/>
              <w:bottom w:w="0" w:type="dxa"/>
              <w:right w:w="108" w:type="dxa"/>
            </w:tcMar>
            <w:vAlign w:val="center"/>
          </w:tcPr>
          <w:p w14:paraId="7E8A6EC5"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14:paraId="1FC87507"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121,000.00</w:t>
            </w:r>
          </w:p>
        </w:tc>
        <w:tc>
          <w:tcPr>
            <w:tcW w:w="769" w:type="pct"/>
            <w:tcMar>
              <w:top w:w="0" w:type="dxa"/>
              <w:left w:w="108" w:type="dxa"/>
              <w:bottom w:w="0" w:type="dxa"/>
              <w:right w:w="108" w:type="dxa"/>
            </w:tcMar>
            <w:vAlign w:val="center"/>
          </w:tcPr>
          <w:p w14:paraId="683E51F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104,861.63</w:t>
            </w:r>
          </w:p>
        </w:tc>
        <w:tc>
          <w:tcPr>
            <w:tcW w:w="731" w:type="pct"/>
            <w:tcMar>
              <w:top w:w="0" w:type="dxa"/>
              <w:left w:w="108" w:type="dxa"/>
              <w:bottom w:w="0" w:type="dxa"/>
              <w:right w:w="108" w:type="dxa"/>
            </w:tcMar>
            <w:vAlign w:val="center"/>
          </w:tcPr>
          <w:p w14:paraId="39DAD14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649.77%</w:t>
            </w:r>
          </w:p>
        </w:tc>
      </w:tr>
      <w:tr w:rsidR="00720FA4" w:rsidRPr="00DA3766" w14:paraId="4D66F973" w14:textId="77777777" w:rsidTr="00DA3766">
        <w:trPr>
          <w:trHeight w:val="397"/>
          <w:jc w:val="center"/>
        </w:trPr>
        <w:tc>
          <w:tcPr>
            <w:tcW w:w="749" w:type="pct"/>
            <w:vMerge/>
            <w:tcMar>
              <w:top w:w="0" w:type="dxa"/>
              <w:left w:w="108" w:type="dxa"/>
              <w:bottom w:w="0" w:type="dxa"/>
              <w:right w:w="108" w:type="dxa"/>
            </w:tcMar>
            <w:vAlign w:val="center"/>
          </w:tcPr>
          <w:p w14:paraId="3EAE3686" w14:textId="77777777" w:rsidR="00720FA4" w:rsidRPr="00DA3766" w:rsidRDefault="00720FA4" w:rsidP="00DA3766">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p>
        </w:tc>
        <w:tc>
          <w:tcPr>
            <w:tcW w:w="701" w:type="pct"/>
            <w:tcMar>
              <w:top w:w="0" w:type="dxa"/>
              <w:left w:w="108" w:type="dxa"/>
              <w:bottom w:w="0" w:type="dxa"/>
              <w:right w:w="108" w:type="dxa"/>
            </w:tcMar>
            <w:vAlign w:val="center"/>
          </w:tcPr>
          <w:p w14:paraId="3C6E882C" w14:textId="77777777" w:rsidR="00720FA4" w:rsidRPr="00DA3766" w:rsidRDefault="00720FA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sidRPr="00DA3766">
              <w:rPr>
                <w:rFonts w:ascii="Times New Roman" w:hAnsi="Times New Roman" w:cs="Times New Roman"/>
                <w:sz w:val="21"/>
                <w:szCs w:val="21"/>
                <w:lang w:bidi="ar"/>
              </w:rPr>
              <w:t>市场法</w:t>
            </w:r>
          </w:p>
        </w:tc>
        <w:tc>
          <w:tcPr>
            <w:tcW w:w="1281" w:type="pct"/>
            <w:tcMar>
              <w:top w:w="0" w:type="dxa"/>
              <w:left w:w="108" w:type="dxa"/>
              <w:bottom w:w="0" w:type="dxa"/>
              <w:right w:w="108" w:type="dxa"/>
            </w:tcMar>
            <w:vAlign w:val="center"/>
          </w:tcPr>
          <w:p w14:paraId="776AE37C"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14:paraId="5AA614A4"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134,000.00</w:t>
            </w:r>
          </w:p>
        </w:tc>
        <w:tc>
          <w:tcPr>
            <w:tcW w:w="769" w:type="pct"/>
            <w:tcMar>
              <w:top w:w="0" w:type="dxa"/>
              <w:left w:w="108" w:type="dxa"/>
              <w:bottom w:w="0" w:type="dxa"/>
              <w:right w:w="108" w:type="dxa"/>
            </w:tcMar>
            <w:vAlign w:val="center"/>
          </w:tcPr>
          <w:p w14:paraId="3072B68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117,861.63</w:t>
            </w:r>
          </w:p>
        </w:tc>
        <w:tc>
          <w:tcPr>
            <w:tcW w:w="731" w:type="pct"/>
            <w:tcMar>
              <w:top w:w="0" w:type="dxa"/>
              <w:left w:w="108" w:type="dxa"/>
              <w:bottom w:w="0" w:type="dxa"/>
              <w:right w:w="108" w:type="dxa"/>
            </w:tcMar>
            <w:vAlign w:val="center"/>
          </w:tcPr>
          <w:p w14:paraId="3BD09EC0"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730.32%</w:t>
            </w:r>
          </w:p>
        </w:tc>
      </w:tr>
    </w:tbl>
    <w:p w14:paraId="027C987B" w14:textId="77777777" w:rsidR="00720FA4" w:rsidRPr="00DA3766" w:rsidRDefault="00720FA4" w:rsidP="00720FA4">
      <w:pPr>
        <w:spacing w:beforeLines="0" w:before="0" w:afterLines="0" w:after="0" w:line="240" w:lineRule="auto"/>
        <w:ind w:firstLine="420"/>
        <w:rPr>
          <w:rFonts w:ascii="Times New Roman" w:hAnsi="Times New Roman" w:cs="Times New Roman"/>
          <w:bCs/>
          <w:sz w:val="21"/>
          <w:szCs w:val="21"/>
          <w:lang w:bidi="ar"/>
        </w:rPr>
      </w:pPr>
      <w:r w:rsidRPr="00DA3766">
        <w:rPr>
          <w:rFonts w:ascii="Times New Roman" w:hAnsi="Times New Roman" w:cs="Times New Roman"/>
          <w:bCs/>
          <w:sz w:val="21"/>
          <w:szCs w:val="21"/>
          <w:lang w:bidi="ar"/>
        </w:rPr>
        <w:t>注：股东全部权益账面值为星云开物合并口径归属于母公司所有者权益账面价值。</w:t>
      </w:r>
    </w:p>
    <w:p w14:paraId="00F26926" w14:textId="77777777" w:rsidR="00720FA4" w:rsidRPr="00635015" w:rsidRDefault="00720FA4" w:rsidP="00635015">
      <w:pPr>
        <w:pStyle w:val="005"/>
        <w:spacing w:before="120" w:after="120"/>
        <w:ind w:firstLine="464"/>
        <w:rPr>
          <w:spacing w:val="-4"/>
        </w:rPr>
      </w:pPr>
      <w:r w:rsidRPr="00635015">
        <w:rPr>
          <w:spacing w:val="-4"/>
        </w:rPr>
        <w:t>本次交易选用收益法评估结果作为最终评估结果，即星云开物的股东全部权益评估价值为</w:t>
      </w:r>
      <w:r w:rsidRPr="00635015">
        <w:rPr>
          <w:spacing w:val="-4"/>
        </w:rPr>
        <w:t>121,000.00</w:t>
      </w:r>
      <w:r w:rsidRPr="00635015">
        <w:rPr>
          <w:spacing w:val="-4"/>
        </w:rPr>
        <w:t>万元，评估增值率为</w:t>
      </w:r>
      <w:r w:rsidRPr="00635015">
        <w:rPr>
          <w:spacing w:val="-4"/>
        </w:rPr>
        <w:t>649.77%</w:t>
      </w:r>
      <w:r w:rsidRPr="00635015">
        <w:rPr>
          <w:spacing w:val="-4"/>
        </w:rPr>
        <w:t>，相对较高，具体原因如下：</w:t>
      </w:r>
    </w:p>
    <w:p w14:paraId="6EB88EB3" w14:textId="6A3C305F" w:rsidR="00720FA4" w:rsidRPr="00DA3766" w:rsidRDefault="00720FA4" w:rsidP="008A1B9E">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一体化解决方案，致力于实现自助设备产业的数字化升级。标的公司采用轻资产经营模式，主要通过外协加工模式生产</w:t>
      </w:r>
      <w:r w:rsidRPr="00DA3766">
        <w:t>IoT</w:t>
      </w:r>
      <w:r w:rsidRPr="00DA3766">
        <w:t>智能硬件，销售予下游客户后由其部署于本地自动化设备，再通过提供</w:t>
      </w:r>
      <w:r w:rsidR="007A44DA" w:rsidRPr="00DA3766">
        <w:t>SaaS</w:t>
      </w:r>
      <w:r w:rsidRPr="00DA3766">
        <w:t>云平台等相关服务实现盈利。截至</w:t>
      </w:r>
      <w:r w:rsidRPr="00DA3766">
        <w:t>2025</w:t>
      </w:r>
      <w:r w:rsidRPr="00DA3766">
        <w:t>年</w:t>
      </w:r>
      <w:r w:rsidRPr="00DA3766">
        <w:t>6</w:t>
      </w:r>
      <w:r w:rsidRPr="00DA3766">
        <w:t>月末，标的公司无自有房产或土地，固定资产账面价值为</w:t>
      </w:r>
      <w:r w:rsidRPr="00DA3766">
        <w:t>924.92</w:t>
      </w:r>
      <w:r w:rsidRPr="00DA3766">
        <w:t>万元，占总资产比例为</w:t>
      </w:r>
      <w:r w:rsidRPr="00DA3766">
        <w:t>2.63%</w:t>
      </w:r>
      <w:r w:rsidRPr="00DA3766">
        <w:t>，占比较低。</w:t>
      </w:r>
    </w:p>
    <w:p w14:paraId="39476D32" w14:textId="77777777" w:rsidR="00720FA4" w:rsidRPr="00DA3766" w:rsidRDefault="00720FA4" w:rsidP="008A1B9E">
      <w:pPr>
        <w:pStyle w:val="005"/>
        <w:spacing w:before="120" w:after="120"/>
        <w:ind w:firstLine="480"/>
      </w:pPr>
      <w:r w:rsidRPr="00DA3766">
        <w:t>本次交易以</w:t>
      </w:r>
      <w:r w:rsidRPr="00DA3766">
        <w:t>2025</w:t>
      </w:r>
      <w:r w:rsidRPr="00DA3766">
        <w:t>年</w:t>
      </w:r>
      <w:r w:rsidRPr="00DA3766">
        <w:t>6</w:t>
      </w:r>
      <w:r w:rsidRPr="00DA3766">
        <w:t>月</w:t>
      </w:r>
      <w:r w:rsidRPr="00DA3766">
        <w:t>30</w:t>
      </w:r>
      <w:r w:rsidRPr="00DA3766">
        <w:t>日为评估基准日，采用收益法对标的公司进行评估，即根据标的公司经营模式、资本结构、历史盈利水平及发展趋势等情况，预测标的公司未来收益年限内自由现金流，并以此为基础计算得出星云开物的股东全部权益评估价值。因此，由于标的公司具有较强的盈利能力并具备轻资产经营的特点，</w:t>
      </w:r>
      <w:bookmarkStart w:id="245" w:name="_Hlk216280855"/>
      <w:r w:rsidRPr="00DA3766">
        <w:t>本次交易采用收益法进行评估的评估结果与标的公司归属于母公司所有者权益账面价值存在一定差异具有合理性</w:t>
      </w:r>
      <w:bookmarkEnd w:id="245"/>
      <w:r w:rsidRPr="00DA3766">
        <w:t>。</w:t>
      </w:r>
      <w:bookmarkEnd w:id="240"/>
    </w:p>
    <w:p w14:paraId="44D4F4FF" w14:textId="275F50EA" w:rsidR="00D437E3" w:rsidRPr="00DA3766" w:rsidRDefault="00223AC6" w:rsidP="008A1B9E">
      <w:pPr>
        <w:pStyle w:val="005"/>
        <w:spacing w:before="120" w:after="120"/>
        <w:ind w:firstLine="480"/>
        <w:rPr>
          <w:bCs/>
          <w:color w:val="000000"/>
        </w:rPr>
      </w:pPr>
      <w:r w:rsidRPr="00DA3766">
        <w:rPr>
          <w:color w:val="000000"/>
        </w:rPr>
        <w:t>综上所述，</w:t>
      </w:r>
      <w:r w:rsidR="003F02D3" w:rsidRPr="00DA3766">
        <w:rPr>
          <w:color w:val="000000"/>
        </w:rPr>
        <w:t>外部投资人减资退出行为具有经济性，减资决策主要基于其投资成本收回或取得一定投资收益的战略考虑，本次交易上市公司在外部股东减资退出的情况下以</w:t>
      </w:r>
      <w:r w:rsidR="003F02D3" w:rsidRPr="00DA3766">
        <w:rPr>
          <w:color w:val="000000"/>
        </w:rPr>
        <w:t>649.77%</w:t>
      </w:r>
      <w:r w:rsidR="003F02D3" w:rsidRPr="00DA3766">
        <w:rPr>
          <w:color w:val="000000"/>
        </w:rPr>
        <w:t>的增值率收购标的资产具有合理性。</w:t>
      </w:r>
    </w:p>
    <w:p w14:paraId="0434EDDC" w14:textId="0909D13E" w:rsidR="00720FA4" w:rsidRPr="00DA3766" w:rsidRDefault="0016781B" w:rsidP="00720FA4">
      <w:pPr>
        <w:pStyle w:val="004"/>
        <w:spacing w:before="120" w:after="120"/>
        <w:ind w:firstLine="482"/>
        <w:rPr>
          <w:color w:val="000000"/>
        </w:rPr>
      </w:pPr>
      <w:r w:rsidRPr="00DA3766">
        <w:t>2</w:t>
      </w:r>
      <w:r w:rsidRPr="00DA3766">
        <w:t>、</w:t>
      </w:r>
      <w:bookmarkStart w:id="246" w:name="_Hlk219374127"/>
      <w:r w:rsidR="00720FA4" w:rsidRPr="00DA3766">
        <w:t>本次交易有利于提高上市公司资产质量、增强持续经营能力</w:t>
      </w:r>
      <w:bookmarkEnd w:id="246"/>
    </w:p>
    <w:p w14:paraId="7D95CA77" w14:textId="0E18A852" w:rsidR="00720FA4" w:rsidRPr="00DA3766" w:rsidRDefault="00720FA4" w:rsidP="00720FA4">
      <w:pPr>
        <w:pStyle w:val="005"/>
        <w:spacing w:before="120" w:after="120"/>
        <w:ind w:firstLine="482"/>
        <w:rPr>
          <w:b/>
          <w:bCs/>
        </w:rPr>
      </w:pPr>
      <w:bookmarkStart w:id="247" w:name="_Hlk219374243"/>
      <w:r w:rsidRPr="00DA3766">
        <w:rPr>
          <w:b/>
          <w:bCs/>
        </w:rPr>
        <w:t>（</w:t>
      </w:r>
      <w:r w:rsidRPr="00DA3766">
        <w:rPr>
          <w:b/>
          <w:bCs/>
        </w:rPr>
        <w:t>1</w:t>
      </w:r>
      <w:r w:rsidRPr="00DA3766">
        <w:rPr>
          <w:b/>
          <w:bCs/>
        </w:rPr>
        <w:t>）有利于完善上市</w:t>
      </w:r>
      <w:r w:rsidR="007B33D1" w:rsidRPr="00DA3766">
        <w:rPr>
          <w:b/>
          <w:bCs/>
        </w:rPr>
        <w:t>公司</w:t>
      </w:r>
      <w:r w:rsidRPr="00DA3766">
        <w:rPr>
          <w:b/>
          <w:bCs/>
        </w:rPr>
        <w:t>IoT</w:t>
      </w:r>
      <w:r w:rsidRPr="00DA3766">
        <w:rPr>
          <w:b/>
          <w:bCs/>
        </w:rPr>
        <w:t>底层技术，巩固上市公司核心技术体系</w:t>
      </w:r>
    </w:p>
    <w:p w14:paraId="76852440" w14:textId="77777777" w:rsidR="00720FA4" w:rsidRPr="00DA3766" w:rsidRDefault="00720FA4" w:rsidP="008A1B9E">
      <w:pPr>
        <w:pStyle w:val="005"/>
        <w:spacing w:before="120" w:after="120"/>
        <w:ind w:firstLine="480"/>
      </w:pPr>
      <w:r w:rsidRPr="00DA3766">
        <w:t>上市公司与标的公司均围绕物联网、大数据、云计算、人工智能等技术方向重点布局，并分别形成了各有侧重、优势突出的核心技术体系。</w:t>
      </w:r>
    </w:p>
    <w:p w14:paraId="6CCC902D" w14:textId="77777777" w:rsidR="00720FA4" w:rsidRPr="00DA3766" w:rsidRDefault="00720FA4" w:rsidP="008A1B9E">
      <w:pPr>
        <w:pStyle w:val="005"/>
        <w:spacing w:before="120" w:after="120"/>
        <w:ind w:firstLine="480"/>
      </w:pPr>
      <w:r w:rsidRPr="00DA3766">
        <w:t>上市公司始终秉承</w:t>
      </w:r>
      <w:r w:rsidRPr="00DA3766">
        <w:rPr>
          <w:rFonts w:ascii="宋体" w:hAnsi="宋体"/>
        </w:rPr>
        <w:t>“</w:t>
      </w:r>
      <w:r w:rsidRPr="00DA3766">
        <w:t>技术缔造价值</w:t>
      </w:r>
      <w:r w:rsidRPr="00DA3766">
        <w:rPr>
          <w:rFonts w:ascii="宋体" w:hAnsi="宋体"/>
        </w:rPr>
        <w:t>”</w:t>
      </w:r>
      <w:r w:rsidRPr="00DA3766">
        <w:t>的核心理念，掌握了数字孪生构建与应用、政务大数据分析与挖掘、图像超分与识别、跨平台高性能音视频通讯、智能人机交互、低代码应用开发等核心技术，持续巩固在智慧政务、智慧教育和智慧</w:t>
      </w:r>
      <w:r w:rsidRPr="00DA3766">
        <w:lastRenderedPageBreak/>
        <w:t>医疗等领域的竞争优势。</w:t>
      </w:r>
    </w:p>
    <w:p w14:paraId="7EC401F5" w14:textId="77777777" w:rsidR="00720FA4" w:rsidRPr="00DA3766" w:rsidRDefault="00720FA4" w:rsidP="008A1B9E">
      <w:pPr>
        <w:pStyle w:val="005"/>
        <w:spacing w:before="120" w:after="120"/>
        <w:ind w:firstLine="480"/>
      </w:pPr>
      <w:r w:rsidRPr="00DA3766">
        <w:t>标的公司则专注于攻关</w:t>
      </w:r>
      <w:r w:rsidRPr="00DA3766">
        <w:t>IoT</w:t>
      </w:r>
      <w:r w:rsidRPr="00DA3766">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DA3766">
        <w:t>217</w:t>
      </w:r>
      <w:r w:rsidRPr="00DA3766">
        <w:t>项专利，</w:t>
      </w:r>
      <w:r w:rsidRPr="00DA3766">
        <w:t>199</w:t>
      </w:r>
      <w:r w:rsidRPr="00DA3766">
        <w:t>项软件著作权。</w:t>
      </w:r>
    </w:p>
    <w:p w14:paraId="408C1EB2" w14:textId="77777777" w:rsidR="00720FA4" w:rsidRPr="00DA3766" w:rsidRDefault="00720FA4" w:rsidP="00720FA4">
      <w:pPr>
        <w:pStyle w:val="005"/>
        <w:spacing w:before="120" w:after="120"/>
        <w:ind w:firstLine="480"/>
      </w:pPr>
      <w:r w:rsidRPr="00DA3766">
        <w:t>通过本次交易，上市公司的核心技术优势将得到进一步巩固增强。</w:t>
      </w:r>
    </w:p>
    <w:p w14:paraId="5A8274E5" w14:textId="77777777" w:rsidR="00720FA4" w:rsidRPr="00DA3766" w:rsidRDefault="00720FA4" w:rsidP="00720FA4">
      <w:pPr>
        <w:pStyle w:val="005"/>
        <w:spacing w:before="120" w:after="120"/>
        <w:ind w:firstLine="482"/>
        <w:rPr>
          <w:b/>
          <w:bCs/>
        </w:rPr>
      </w:pPr>
      <w:r w:rsidRPr="00DA3766">
        <w:rPr>
          <w:b/>
          <w:bCs/>
        </w:rPr>
        <w:t>（</w:t>
      </w:r>
      <w:r w:rsidRPr="00DA3766">
        <w:rPr>
          <w:b/>
          <w:bCs/>
        </w:rPr>
        <w:t>2</w:t>
      </w:r>
      <w:r w:rsidRPr="00DA3766">
        <w:rPr>
          <w:b/>
          <w:bCs/>
        </w:rPr>
        <w:t>）有利于持续完善上市公司物联网产业链布局，拓宽业务应用场景</w:t>
      </w:r>
    </w:p>
    <w:p w14:paraId="59CB540D" w14:textId="77777777" w:rsidR="00720FA4" w:rsidRPr="00635015" w:rsidRDefault="00720FA4" w:rsidP="00635015">
      <w:pPr>
        <w:pStyle w:val="005"/>
        <w:spacing w:before="120" w:after="120"/>
        <w:ind w:firstLine="464"/>
        <w:rPr>
          <w:spacing w:val="-4"/>
        </w:rPr>
      </w:pPr>
      <w:r w:rsidRPr="00635015">
        <w:rPr>
          <w:spacing w:val="-4"/>
        </w:rPr>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14:paraId="68644EE9" w14:textId="23BE6729" w:rsidR="00720FA4" w:rsidRPr="00DA3766" w:rsidRDefault="00720FA4" w:rsidP="008A1B9E">
      <w:pPr>
        <w:pStyle w:val="005"/>
        <w:spacing w:before="120" w:after="120"/>
        <w:ind w:firstLine="480"/>
      </w:pPr>
      <w:r w:rsidRPr="00DA3766">
        <w:t>标的公司专注于提供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一体化解决方案，已经打造覆盖智慧生活解决方案、智慧零售解决方案、智慧出行解决方案等在内的全场景解决方案矩阵，能够全面覆盖多类型的自助设备终端场景，有效满足客户和消费者的多元需求。</w:t>
      </w:r>
    </w:p>
    <w:p w14:paraId="6B3438D4" w14:textId="77777777" w:rsidR="00720FA4" w:rsidRPr="00DA3766" w:rsidRDefault="00720FA4" w:rsidP="008A1B9E">
      <w:pPr>
        <w:pStyle w:val="005"/>
        <w:spacing w:before="120" w:after="120"/>
        <w:ind w:firstLine="480"/>
      </w:pPr>
      <w:r w:rsidRPr="00DA3766">
        <w:t>通过本次交易，上市公司将完善对物联网产业链上的布局，拓宽业务应用场景至消费级市场，夯实物联网领域内优势，助力上市公司持续高质量发展。</w:t>
      </w:r>
    </w:p>
    <w:p w14:paraId="4D750457" w14:textId="77777777" w:rsidR="00720FA4" w:rsidRPr="00DA3766" w:rsidRDefault="00720FA4" w:rsidP="00720FA4">
      <w:pPr>
        <w:pStyle w:val="005"/>
        <w:spacing w:before="120" w:after="120"/>
        <w:ind w:firstLine="482"/>
        <w:rPr>
          <w:b/>
          <w:bCs/>
        </w:rPr>
      </w:pPr>
      <w:r w:rsidRPr="00DA3766">
        <w:rPr>
          <w:b/>
          <w:bCs/>
        </w:rPr>
        <w:t>（</w:t>
      </w:r>
      <w:r w:rsidRPr="00DA3766">
        <w:rPr>
          <w:b/>
          <w:bCs/>
        </w:rPr>
        <w:t>3</w:t>
      </w:r>
      <w:r w:rsidRPr="00DA3766">
        <w:rPr>
          <w:b/>
          <w:bCs/>
        </w:rPr>
        <w:t>）有利于提高上市公司资产质量</w:t>
      </w:r>
    </w:p>
    <w:p w14:paraId="1D346A07" w14:textId="3AAF8C9D" w:rsidR="00720FA4" w:rsidRPr="00DA3766" w:rsidRDefault="00720FA4" w:rsidP="008A1B9E">
      <w:pPr>
        <w:pStyle w:val="005"/>
        <w:spacing w:before="120" w:after="120"/>
        <w:ind w:firstLine="480"/>
      </w:pPr>
      <w:r w:rsidRPr="00DA3766">
        <w:t>自设立以来，标的公司专注于提供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一体化解决方案，致力于打造生活、零售、出行等生活性服务业数字化转型的技术底座，以技术创新和商业化实践助力城市数字经济发展。报告期内，标的公司具有稳定的经营能力和较强的盈利能力。</w:t>
      </w:r>
    </w:p>
    <w:p w14:paraId="7ED46202" w14:textId="77777777" w:rsidR="00720FA4" w:rsidRPr="00DA3766" w:rsidRDefault="00720FA4" w:rsidP="008A1B9E">
      <w:pPr>
        <w:pStyle w:val="005"/>
        <w:spacing w:before="120" w:after="120"/>
        <w:ind w:firstLine="480"/>
      </w:pPr>
      <w:r w:rsidRPr="00DA3766">
        <w:t>通过本次交易，上市公司将新增自助设备物联网相关业务板块，从而加快实现向终端消费领域的深度拓展，整体业务结构将得到进一步优化升级，资产质量将得到进一步提高。</w:t>
      </w:r>
    </w:p>
    <w:p w14:paraId="34C0F444" w14:textId="77777777" w:rsidR="00720FA4" w:rsidRPr="00DA3766" w:rsidRDefault="00720FA4" w:rsidP="008A1B9E">
      <w:pPr>
        <w:pStyle w:val="005"/>
        <w:spacing w:before="120" w:after="120"/>
        <w:ind w:firstLine="482"/>
        <w:rPr>
          <w:b/>
          <w:bCs/>
        </w:rPr>
      </w:pPr>
      <w:r w:rsidRPr="00DA3766">
        <w:rPr>
          <w:b/>
          <w:bCs/>
        </w:rPr>
        <w:t>（</w:t>
      </w:r>
      <w:r w:rsidRPr="00DA3766">
        <w:rPr>
          <w:b/>
          <w:bCs/>
        </w:rPr>
        <w:t>4</w:t>
      </w:r>
      <w:r w:rsidRPr="00DA3766">
        <w:rPr>
          <w:b/>
          <w:bCs/>
        </w:rPr>
        <w:t>）本次交易有利于提高上市公司盈利能力及持续经营能力</w:t>
      </w:r>
    </w:p>
    <w:p w14:paraId="6967B32F" w14:textId="77777777" w:rsidR="00720FA4" w:rsidRPr="00DA3766" w:rsidRDefault="00720FA4" w:rsidP="008A1B9E">
      <w:pPr>
        <w:pStyle w:val="005"/>
        <w:spacing w:before="120" w:after="120"/>
        <w:ind w:firstLine="480"/>
      </w:pPr>
      <w:r w:rsidRPr="00DA3766">
        <w:t>上市公司深耕信息技术领域二十多年，一直致力于融合物联网、大数据、云</w:t>
      </w:r>
      <w:r w:rsidRPr="00DA3766">
        <w:lastRenderedPageBreak/>
        <w:t>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14:paraId="4A521426" w14:textId="7D694AFA" w:rsidR="00720FA4" w:rsidRPr="00DA3766" w:rsidRDefault="00720FA4" w:rsidP="008A1B9E">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一体化解决方案，致力于实现自助设备产业的数字化升级。自</w:t>
      </w:r>
      <w:r w:rsidRPr="00DA3766">
        <w:t>2015</w:t>
      </w:r>
      <w:r w:rsidRPr="00DA3766">
        <w:t>年成立以来，标的公司秉承</w:t>
      </w:r>
      <w:r w:rsidRPr="00DA3766">
        <w:rPr>
          <w:rFonts w:ascii="宋体" w:hAnsi="宋体"/>
        </w:rPr>
        <w:t>“</w:t>
      </w:r>
      <w:r w:rsidRPr="00DA3766">
        <w:t>打造千万级智能设备平台</w:t>
      </w:r>
      <w:r w:rsidRPr="00DA3766">
        <w:rPr>
          <w:rFonts w:ascii="宋体" w:hAnsi="宋体"/>
        </w:rPr>
        <w:t>”</w:t>
      </w:r>
      <w:r w:rsidRPr="00DA3766">
        <w:t>的长期愿景和</w:t>
      </w:r>
      <w:r w:rsidRPr="00DA3766">
        <w:rPr>
          <w:rFonts w:ascii="宋体" w:hAnsi="宋体"/>
        </w:rPr>
        <w:t>“</w:t>
      </w:r>
      <w:r w:rsidRPr="00DA3766">
        <w:t>让设备更智能，让生活更美好</w:t>
      </w:r>
      <w:r w:rsidRPr="00DA3766">
        <w:rPr>
          <w:rFonts w:ascii="宋体" w:hAnsi="宋体"/>
        </w:rPr>
        <w:t>”</w:t>
      </w:r>
      <w:r w:rsidRPr="00DA3766">
        <w:t>的企业使命，已成为国内自助设备物联网硬软件的头部服务商。</w:t>
      </w:r>
    </w:p>
    <w:p w14:paraId="49DBDC3B" w14:textId="77777777" w:rsidR="00720FA4" w:rsidRPr="00DA3766" w:rsidRDefault="00720FA4" w:rsidP="008A1B9E">
      <w:pPr>
        <w:pStyle w:val="005"/>
        <w:spacing w:before="120" w:after="120"/>
        <w:ind w:firstLine="480"/>
      </w:pPr>
      <w:r w:rsidRPr="00DA3766">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bookmarkEnd w:id="247"/>
    </w:p>
    <w:p w14:paraId="129CA8E4" w14:textId="77777777" w:rsidR="00720FA4" w:rsidRPr="00DA3766" w:rsidRDefault="00720FA4" w:rsidP="008A1B9E">
      <w:pPr>
        <w:pStyle w:val="005"/>
        <w:spacing w:before="120" w:after="120"/>
        <w:ind w:firstLine="480"/>
      </w:pPr>
      <w:bookmarkStart w:id="248" w:name="_Hlk219374145"/>
      <w:r w:rsidRPr="00DA3766">
        <w:t>综上所述，本次交易有利于提高上市公司资产质量、增强持续经营能力。</w:t>
      </w:r>
      <w:bookmarkEnd w:id="248"/>
    </w:p>
    <w:p w14:paraId="5422530C" w14:textId="0EAFE233"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p>
    <w:p w14:paraId="2560D4C2" w14:textId="574612F7" w:rsidR="00720FA4" w:rsidRPr="00DA3766" w:rsidRDefault="00720FA4" w:rsidP="00720FA4">
      <w:pPr>
        <w:pStyle w:val="002"/>
        <w:spacing w:before="120" w:after="120"/>
        <w:ind w:firstLine="482"/>
      </w:pPr>
      <w:bookmarkStart w:id="249" w:name="_Hlk219330698"/>
      <w:r w:rsidRPr="00DA3766">
        <w:t>五、</w:t>
      </w:r>
      <w:bookmarkStart w:id="250" w:name="_Hlk219373815"/>
      <w:r w:rsidRPr="00DA3766">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bookmarkEnd w:id="250"/>
      <w:r w:rsidRPr="00DA3766">
        <w:t>。</w:t>
      </w:r>
    </w:p>
    <w:p w14:paraId="0ED2C7EE" w14:textId="631C7007" w:rsidR="00720FA4" w:rsidRPr="00DA3766" w:rsidRDefault="00720FA4" w:rsidP="00720FA4">
      <w:pPr>
        <w:pStyle w:val="003"/>
        <w:spacing w:before="120" w:after="120"/>
        <w:ind w:firstLine="482"/>
      </w:pPr>
      <w:bookmarkStart w:id="251" w:name="_Hlk219374351"/>
      <w:bookmarkEnd w:id="249"/>
      <w:r w:rsidRPr="00DA3766">
        <w:t>（一）基本情况</w:t>
      </w:r>
    </w:p>
    <w:p w14:paraId="519CDBE8" w14:textId="0C85730E" w:rsidR="00720FA4" w:rsidRPr="00DA3766" w:rsidRDefault="00720FA4" w:rsidP="008A1B9E">
      <w:pPr>
        <w:pStyle w:val="005"/>
        <w:spacing w:before="120" w:after="120"/>
        <w:ind w:firstLine="480"/>
      </w:pPr>
      <w:r w:rsidRPr="00DA3766">
        <w:t>2024</w:t>
      </w:r>
      <w:r w:rsidRPr="00DA3766">
        <w:t>年</w:t>
      </w:r>
      <w:r w:rsidRPr="00DA3766">
        <w:t>11</w:t>
      </w:r>
      <w:r w:rsidRPr="00DA3766">
        <w:t>月</w:t>
      </w:r>
      <w:r w:rsidRPr="00DA3766">
        <w:t>7</w:t>
      </w:r>
      <w:r w:rsidRPr="00DA3766">
        <w:t>日，星云开物召开</w:t>
      </w:r>
      <w:r w:rsidRPr="00DA3766">
        <w:t>2024</w:t>
      </w:r>
      <w:r w:rsidRPr="00DA3766">
        <w:t>年第五次临时股东大会，审议通过《关于减少公司注册资本的议案》，注册资本由</w:t>
      </w:r>
      <w:r w:rsidRPr="00DA3766">
        <w:t>1,217.2693</w:t>
      </w:r>
      <w:r w:rsidRPr="00DA3766">
        <w:t>万元减少至</w:t>
      </w:r>
      <w:r w:rsidRPr="00DA3766">
        <w:t>1,132.9782</w:t>
      </w:r>
      <w:r w:rsidRPr="00DA3766">
        <w:lastRenderedPageBreak/>
        <w:t>万元，减少注册资本</w:t>
      </w:r>
      <w:r w:rsidRPr="00DA3766">
        <w:t>84.2911</w:t>
      </w:r>
      <w:r w:rsidRPr="00DA3766">
        <w:t>万元，其中，由林芝利新减少注册资本</w:t>
      </w:r>
      <w:r w:rsidRPr="00DA3766">
        <w:t>64.8393</w:t>
      </w:r>
      <w:r w:rsidRPr="00DA3766">
        <w:t>万元、璀璨远见减少注册资本</w:t>
      </w:r>
      <w:r w:rsidRPr="00DA3766">
        <w:t>14.7833</w:t>
      </w:r>
      <w:r w:rsidRPr="00DA3766">
        <w:t>万元、璀璨德商减少注册资本</w:t>
      </w:r>
      <w:r w:rsidRPr="00DA3766">
        <w:t>4.6685</w:t>
      </w:r>
      <w:r w:rsidRPr="00DA3766">
        <w:t>万元。就前述减资事宜，星云开物于</w:t>
      </w:r>
      <w:r w:rsidRPr="00DA3766">
        <w:t>2024</w:t>
      </w:r>
      <w:r w:rsidRPr="00DA3766">
        <w:t>年</w:t>
      </w:r>
      <w:r w:rsidRPr="00DA3766">
        <w:t>11</w:t>
      </w:r>
      <w:r w:rsidRPr="00DA3766">
        <w:t>月</w:t>
      </w:r>
      <w:r w:rsidRPr="00DA3766">
        <w:t>7</w:t>
      </w:r>
      <w:r w:rsidRPr="00DA3766">
        <w:t>日与璀璨远见、璀璨德商签署了《关于广东星云开物科技股份有限公司的减资协议》，于</w:t>
      </w:r>
      <w:r w:rsidRPr="00DA3766">
        <w:t>2024</w:t>
      </w:r>
      <w:r w:rsidRPr="00DA3766">
        <w:t>年</w:t>
      </w:r>
      <w:r w:rsidRPr="00DA3766">
        <w:t>11</w:t>
      </w:r>
      <w:r w:rsidRPr="00DA3766">
        <w:t>月</w:t>
      </w:r>
      <w:r w:rsidRPr="00DA3766">
        <w:t>22</w:t>
      </w:r>
      <w:r w:rsidRPr="00DA3766">
        <w:t>日与林芝利新签署《关于广东星云开物科技股份有限公司的减资协议》，</w:t>
      </w:r>
      <w:r w:rsidRPr="00DA3766">
        <w:t>2024</w:t>
      </w:r>
      <w:r w:rsidRPr="00DA3766">
        <w:t>年</w:t>
      </w:r>
      <w:r w:rsidRPr="00DA3766">
        <w:t>11</w:t>
      </w:r>
      <w:r w:rsidRPr="00DA3766">
        <w:t>月</w:t>
      </w:r>
      <w:r w:rsidRPr="00DA3766">
        <w:t>7</w:t>
      </w:r>
      <w:r w:rsidRPr="00DA3766">
        <w:t>日星云开物就本次减资事宜发布了减资公告，</w:t>
      </w:r>
      <w:r w:rsidRPr="00DA3766">
        <w:t>2024</w:t>
      </w:r>
      <w:r w:rsidRPr="00DA3766">
        <w:t>年</w:t>
      </w:r>
      <w:r w:rsidRPr="00DA3766">
        <w:t>12</w:t>
      </w:r>
      <w:r w:rsidRPr="00DA3766">
        <w:t>月</w:t>
      </w:r>
      <w:r w:rsidRPr="00DA3766">
        <w:t>25</w:t>
      </w:r>
      <w:r w:rsidRPr="00DA3766">
        <w:t>日星云开物完成本次减资的工商变更登记。</w:t>
      </w:r>
    </w:p>
    <w:p w14:paraId="13FC7D94" w14:textId="4F1AD261" w:rsidR="00720FA4" w:rsidRPr="00DA3766" w:rsidRDefault="00720FA4" w:rsidP="008A1B9E">
      <w:pPr>
        <w:pStyle w:val="005"/>
        <w:spacing w:before="120" w:after="120"/>
        <w:ind w:firstLine="480"/>
      </w:pPr>
      <w:r w:rsidRPr="00DA3766">
        <w:t>2024</w:t>
      </w:r>
      <w:r w:rsidRPr="00DA3766">
        <w:t>年</w:t>
      </w:r>
      <w:r w:rsidRPr="00DA3766">
        <w:t>12</w:t>
      </w:r>
      <w:r w:rsidRPr="00DA3766">
        <w:t>月</w:t>
      </w:r>
      <w:r w:rsidRPr="00DA3766">
        <w:t>20</w:t>
      </w:r>
      <w:r w:rsidRPr="00DA3766">
        <w:t>日，原本俱甲与璀璨远见、璀璨德商签订《股份转让协议》，约定原本俱甲将其持有的</w:t>
      </w:r>
      <w:r w:rsidR="008144F1" w:rsidRPr="00DA3766">
        <w:t>标的</w:t>
      </w:r>
      <w:r w:rsidRPr="00DA3766">
        <w:t>公司</w:t>
      </w:r>
      <w:r w:rsidRPr="00DA3766">
        <w:t>18.4353</w:t>
      </w:r>
      <w:r w:rsidRPr="00DA3766">
        <w:t>万股股份以</w:t>
      </w:r>
      <w:r w:rsidRPr="00DA3766">
        <w:t>1,481.6300</w:t>
      </w:r>
      <w:r w:rsidRPr="00DA3766">
        <w:t>万元的价格转让给璀璨远见，将其持有的</w:t>
      </w:r>
      <w:r w:rsidR="008144F1" w:rsidRPr="00DA3766">
        <w:t>标的</w:t>
      </w:r>
      <w:r w:rsidRPr="00DA3766">
        <w:t>公司</w:t>
      </w:r>
      <w:r w:rsidRPr="00DA3766">
        <w:t>5.8218</w:t>
      </w:r>
      <w:r w:rsidRPr="00DA3766">
        <w:t>万股股份以</w:t>
      </w:r>
      <w:r w:rsidRPr="00DA3766">
        <w:t>467.8969</w:t>
      </w:r>
      <w:r w:rsidRPr="00DA3766">
        <w:t>万元的价格转让给璀璨德商。</w:t>
      </w:r>
      <w:r w:rsidRPr="00DA3766">
        <w:t>2025</w:t>
      </w:r>
      <w:r w:rsidRPr="00DA3766">
        <w:t>年</w:t>
      </w:r>
      <w:r w:rsidRPr="00DA3766">
        <w:t>6</w:t>
      </w:r>
      <w:r w:rsidRPr="00DA3766">
        <w:t>月</w:t>
      </w:r>
      <w:r w:rsidRPr="00DA3766">
        <w:t>4</w:t>
      </w:r>
      <w:r w:rsidRPr="00DA3766">
        <w:t>日，璀璨远见、璀璨德商完成了上述转让对价支付。</w:t>
      </w:r>
    </w:p>
    <w:p w14:paraId="6164FA17" w14:textId="66D9894E" w:rsidR="00720FA4" w:rsidRPr="00DA3766" w:rsidRDefault="00720FA4" w:rsidP="00720FA4">
      <w:pPr>
        <w:pStyle w:val="003"/>
        <w:spacing w:before="120" w:after="120"/>
        <w:ind w:firstLine="482"/>
      </w:pPr>
      <w:r w:rsidRPr="00DA3766">
        <w:t>（二）璀璨远见、璀璨德商在减资的同月受让标的资产股权的原因及商业合理性</w:t>
      </w:r>
    </w:p>
    <w:p w14:paraId="3B51CB44" w14:textId="162B4E84" w:rsidR="00720FA4" w:rsidRPr="00DA3766" w:rsidRDefault="00720FA4" w:rsidP="008A1B9E">
      <w:pPr>
        <w:pStyle w:val="005"/>
        <w:spacing w:before="120" w:after="120"/>
        <w:ind w:firstLine="480"/>
      </w:pPr>
      <w:r w:rsidRPr="00DA3766">
        <w:t>璀璨远见、璀璨德商系标的公司</w:t>
      </w:r>
      <w:r w:rsidRPr="00DA3766">
        <w:t>2020</w:t>
      </w:r>
      <w:r w:rsidRPr="00DA3766">
        <w:t>年</w:t>
      </w:r>
      <w:r w:rsidRPr="00DA3766">
        <w:t>1</w:t>
      </w:r>
      <w:r w:rsidRPr="00DA3766">
        <w:t>月</w:t>
      </w:r>
      <w:r w:rsidRPr="00DA3766">
        <w:t>C</w:t>
      </w:r>
      <w:r w:rsidRPr="00DA3766">
        <w:t>轮融资投资人，林芝利新（领头方）、璀璨远见及璀璨德商作为</w:t>
      </w:r>
      <w:r w:rsidRPr="00DA3766">
        <w:t>C</w:t>
      </w:r>
      <w:r w:rsidRPr="00DA3766">
        <w:t>轮投资人，于</w:t>
      </w:r>
      <w:r w:rsidRPr="00DA3766">
        <w:t>2020</w:t>
      </w:r>
      <w:r w:rsidRPr="00DA3766">
        <w:t>年</w:t>
      </w:r>
      <w:r w:rsidRPr="00DA3766">
        <w:t>1</w:t>
      </w:r>
      <w:r w:rsidRPr="00DA3766">
        <w:t>月以</w:t>
      </w:r>
      <w:r w:rsidRPr="00DA3766">
        <w:t>10</w:t>
      </w:r>
      <w:r w:rsidRPr="00DA3766">
        <w:t>亿元估值水平投资进入。考虑到标的公司短期内无法以高估值水平完成</w:t>
      </w:r>
      <w:r w:rsidRPr="00DA3766">
        <w:t>IPO</w:t>
      </w:r>
      <w:r w:rsidRPr="00DA3766">
        <w:t>或并购，且在此之前标的公司已完成两轮减资，为保障自身投资利益，林芝利新选择行使部分回购权，作为跟投方的璀璨远见及璀璨德商选择跟随林芝利新选择行使部分回购权，经上述投资人与标的公司友好协商，决定由标的公司以投资成本加一定利息的形式回购其持有的一部分股权。本次璀璨远见及璀璨德商减资系按照其减资股权对应投入成本</w:t>
      </w:r>
      <w:r w:rsidR="00E06192" w:rsidRPr="00DA3766">
        <w:t>加上</w:t>
      </w:r>
      <w:r w:rsidRPr="00DA3766">
        <w:t>一定年化利息作价，具有商业合理性。</w:t>
      </w:r>
    </w:p>
    <w:p w14:paraId="591B085D" w14:textId="56D46C8F" w:rsidR="00720FA4" w:rsidRPr="00DA3766" w:rsidRDefault="00E06192" w:rsidP="008A1B9E">
      <w:pPr>
        <w:pStyle w:val="005"/>
        <w:spacing w:before="120" w:after="120"/>
        <w:ind w:firstLine="480"/>
      </w:pPr>
      <w:r w:rsidRPr="00DA3766">
        <w:t>原本俱甲的原执行事务合伙人西藏泽泽创业投资管理有限公司（</w:t>
      </w:r>
      <w:r w:rsidRPr="00DA3766">
        <w:t>2022</w:t>
      </w:r>
      <w:r w:rsidRPr="00DA3766">
        <w:t>年</w:t>
      </w:r>
      <w:r w:rsidRPr="00DA3766">
        <w:t>11</w:t>
      </w:r>
      <w:r w:rsidRPr="00DA3766">
        <w:t>月退出原本俱甲）系璀璨德商的执行事务合伙人及基金管理人，同时亦是璀璨远见的执行事务合伙人及基金管理人深圳璀璨私募股权投资管理有限公司的控股股东（持股</w:t>
      </w:r>
      <w:r w:rsidRPr="00DA3766">
        <w:t>80%</w:t>
      </w:r>
      <w:r w:rsidRPr="00DA3766">
        <w:t>）。</w:t>
      </w:r>
      <w:r w:rsidR="00720FA4" w:rsidRPr="00DA3766">
        <w:t>原本俱甲系</w:t>
      </w:r>
      <w:r w:rsidR="00720FA4" w:rsidRPr="00DA3766">
        <w:t>2020</w:t>
      </w:r>
      <w:r w:rsidR="00720FA4" w:rsidRPr="00DA3766">
        <w:t>年</w:t>
      </w:r>
      <w:r w:rsidR="00720FA4" w:rsidRPr="00DA3766">
        <w:t>8</w:t>
      </w:r>
      <w:r w:rsidR="00720FA4" w:rsidRPr="00DA3766">
        <w:t>月通过受让标的公司老股方式入股的投资人，其所持标的公司股权不享有回购权，随着</w:t>
      </w:r>
      <w:r w:rsidR="00720FA4" w:rsidRPr="00DA3766">
        <w:t>2024</w:t>
      </w:r>
      <w:r w:rsidR="00720FA4" w:rsidRPr="00DA3766">
        <w:t>年</w:t>
      </w:r>
      <w:r w:rsidR="00720FA4" w:rsidRPr="00DA3766">
        <w:t>6</w:t>
      </w:r>
      <w:r w:rsidR="00720FA4" w:rsidRPr="00DA3766">
        <w:t>月、</w:t>
      </w:r>
      <w:r w:rsidR="00720FA4" w:rsidRPr="00DA3766">
        <w:t>2024</w:t>
      </w:r>
      <w:r w:rsidR="00720FA4" w:rsidRPr="00DA3766">
        <w:t>年</w:t>
      </w:r>
      <w:r w:rsidR="00720FA4" w:rsidRPr="00DA3766">
        <w:t>10</w:t>
      </w:r>
      <w:r w:rsidR="00720FA4" w:rsidRPr="00DA3766">
        <w:t>及</w:t>
      </w:r>
      <w:r w:rsidR="00720FA4" w:rsidRPr="00DA3766">
        <w:t>2024</w:t>
      </w:r>
      <w:r w:rsidR="00720FA4" w:rsidRPr="00DA3766">
        <w:t>年</w:t>
      </w:r>
      <w:r w:rsidR="00720FA4" w:rsidRPr="00DA3766">
        <w:t>12</w:t>
      </w:r>
      <w:r w:rsidR="00720FA4" w:rsidRPr="00DA3766">
        <w:t>月标的公司三轮减资，原本俱甲</w:t>
      </w:r>
      <w:r w:rsidRPr="00DA3766">
        <w:t>亦</w:t>
      </w:r>
      <w:r w:rsidR="00720FA4" w:rsidRPr="00DA3766">
        <w:t>希望寻求退出，</w:t>
      </w:r>
      <w:r w:rsidRPr="00DA3766">
        <w:t>经原本俱甲与璀璨远见及璀璨德商商议，璀璨远见及璀璨德商同意受让其持有的标的公司股权，受</w:t>
      </w:r>
      <w:r w:rsidRPr="00DA3766">
        <w:lastRenderedPageBreak/>
        <w:t>让价格对应标的公司估值为</w:t>
      </w:r>
      <w:r w:rsidRPr="00DA3766">
        <w:t>9.1</w:t>
      </w:r>
      <w:r w:rsidRPr="00DA3766">
        <w:t>亿元，系参考璀璨远见及璀璨德商减资时标的公司估值并给予一定折扣由各方协商确定，该等估值系综合考量标的公司发展前景、所受让股权无回购权保障等因素协商确定，具有商业合理性。</w:t>
      </w:r>
    </w:p>
    <w:p w14:paraId="58C87446" w14:textId="17EAF51C" w:rsidR="00720FA4" w:rsidRPr="00DA3766" w:rsidRDefault="00720FA4" w:rsidP="00720FA4">
      <w:pPr>
        <w:pStyle w:val="003"/>
        <w:spacing w:before="120" w:after="120"/>
        <w:ind w:firstLine="482"/>
      </w:pPr>
      <w:r w:rsidRPr="00DA3766">
        <w:t>（三）同转让方存在的关联关系或其他利益关系，不存在利益输送，价格公允，不构成股份支付</w:t>
      </w:r>
    </w:p>
    <w:p w14:paraId="67749318" w14:textId="1A8DBC73" w:rsidR="00720FA4" w:rsidRPr="00DA3766" w:rsidRDefault="00720FA4" w:rsidP="008A1B9E">
      <w:pPr>
        <w:pStyle w:val="005"/>
        <w:spacing w:before="120" w:after="120"/>
        <w:ind w:firstLine="480"/>
      </w:pPr>
      <w:r w:rsidRPr="00DA3766">
        <w:t>原本俱甲</w:t>
      </w:r>
      <w:r w:rsidR="004A761D" w:rsidRPr="00DA3766">
        <w:t>历史上</w:t>
      </w:r>
      <w:r w:rsidRPr="00DA3766">
        <w:t>的执行事务合伙人西藏泽泽创业投资管理有限公司为璀璨德商的执行事务合伙人及基金管理人，同时亦是璀璨远见的执行事务合伙人及基金管理人深圳璀璨私募股权投资管理有限公司的控股股东（持股</w:t>
      </w:r>
      <w:r w:rsidRPr="00DA3766">
        <w:t>80%</w:t>
      </w:r>
      <w:r w:rsidRPr="00DA3766">
        <w:t>）。</w:t>
      </w:r>
      <w:r w:rsidRPr="00DA3766">
        <w:t>2022</w:t>
      </w:r>
      <w:r w:rsidRPr="00DA3766">
        <w:t>年</w:t>
      </w:r>
      <w:r w:rsidRPr="00DA3766">
        <w:t>11</w:t>
      </w:r>
      <w:r w:rsidRPr="00DA3766">
        <w:t>月，西藏泽泽创业投资管理有限公司从原本俱甲退出，不再担任其执行事务合伙人。此外，原本俱甲的主要投资人之一西安原本俱甲企业管理咨询合伙企业（有限合伙）</w:t>
      </w:r>
      <w:r w:rsidR="004A761D" w:rsidRPr="00DA3766">
        <w:t>系</w:t>
      </w:r>
      <w:r w:rsidRPr="00DA3766">
        <w:t>璀璨远见的有限合伙人，目前持有璀璨远见</w:t>
      </w:r>
      <w:r w:rsidRPr="00DA3766">
        <w:t>9.2559%</w:t>
      </w:r>
      <w:r w:rsidRPr="00DA3766">
        <w:t>的合伙份额。除上述情况外，原本俱甲与璀璨远见、璀璨德商不存在其他关联关系或其他利益关系。</w:t>
      </w:r>
    </w:p>
    <w:p w14:paraId="2E03F2A2" w14:textId="667D183E" w:rsidR="00720FA4" w:rsidRPr="00DA3766" w:rsidRDefault="00720FA4" w:rsidP="008A1B9E">
      <w:pPr>
        <w:pStyle w:val="005"/>
        <w:spacing w:before="120" w:after="120"/>
        <w:ind w:firstLine="480"/>
      </w:pPr>
      <w:r w:rsidRPr="00DA3766">
        <w:t>璀璨远见、璀璨德商的减资退出及原本俱甲的转让退出均系外部投资人的合理商业行为，作价系投资人基于一定背景下的商业谈判结果，具有公允性，不存在利益输送情形，不构成股份支付。</w:t>
      </w:r>
    </w:p>
    <w:p w14:paraId="2D7F02F8" w14:textId="4A834C69"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bookmarkEnd w:id="251"/>
    </w:p>
    <w:p w14:paraId="6672238A" w14:textId="77300D78" w:rsidR="00720FA4" w:rsidRPr="00DA3766" w:rsidRDefault="00720FA4" w:rsidP="00720FA4">
      <w:pPr>
        <w:pStyle w:val="002"/>
        <w:spacing w:before="120" w:after="120"/>
        <w:ind w:firstLine="482"/>
      </w:pPr>
      <w:bookmarkStart w:id="252" w:name="_Hlk219374407"/>
      <w:bookmarkStart w:id="253" w:name="_Hlk219330704"/>
      <w:r w:rsidRPr="00DA3766">
        <w:t>六、杨裕雄在上市公司董事会就本次交易申请停牌前</w:t>
      </w:r>
      <w:r w:rsidRPr="00DA3766">
        <w:t>6</w:t>
      </w:r>
      <w:r w:rsidRPr="00DA3766">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bookmarkEnd w:id="252"/>
    </w:p>
    <w:p w14:paraId="19766431" w14:textId="08732ED4" w:rsidR="00720FA4" w:rsidRPr="00DA3766" w:rsidRDefault="00720FA4" w:rsidP="00720FA4">
      <w:pPr>
        <w:pStyle w:val="003"/>
        <w:spacing w:before="120" w:after="120"/>
        <w:ind w:firstLine="482"/>
      </w:pPr>
      <w:bookmarkStart w:id="254" w:name="_Hlk219374431"/>
      <w:bookmarkEnd w:id="253"/>
      <w:r w:rsidRPr="00DA3766">
        <w:t>（一）杨裕雄在上市公司董事会就本次交易申请停牌前</w:t>
      </w:r>
      <w:r w:rsidRPr="00DA3766">
        <w:t>6</w:t>
      </w:r>
      <w:r w:rsidRPr="00DA3766">
        <w:t>个月内入股标的资产的原因及商业合理性</w:t>
      </w:r>
    </w:p>
    <w:p w14:paraId="22C650B4" w14:textId="2E419030" w:rsidR="00720FA4" w:rsidRPr="00DA3766" w:rsidRDefault="00720FA4" w:rsidP="008A1B9E">
      <w:pPr>
        <w:pStyle w:val="005"/>
        <w:spacing w:before="120" w:after="120"/>
        <w:ind w:firstLine="480"/>
      </w:pPr>
      <w:r w:rsidRPr="00DA3766">
        <w:t>2025</w:t>
      </w:r>
      <w:r w:rsidRPr="00DA3766">
        <w:t>年</w:t>
      </w:r>
      <w:r w:rsidRPr="00DA3766">
        <w:t>3</w:t>
      </w:r>
      <w:r w:rsidRPr="00DA3766">
        <w:t>月</w:t>
      </w:r>
      <w:r w:rsidRPr="00DA3766">
        <w:t>10</w:t>
      </w:r>
      <w:r w:rsidRPr="00DA3766">
        <w:t>日，蜜芽宝贝与杨裕雄签订《股权转让协议》，约定蜜芽宝</w:t>
      </w:r>
      <w:r w:rsidRPr="00DA3766">
        <w:lastRenderedPageBreak/>
        <w:t>贝将其持有的</w:t>
      </w:r>
      <w:r w:rsidR="004A761D" w:rsidRPr="00DA3766">
        <w:t>标的</w:t>
      </w:r>
      <w:r w:rsidRPr="00DA3766">
        <w:t>公司</w:t>
      </w:r>
      <w:r w:rsidRPr="00DA3766">
        <w:t>15.9620</w:t>
      </w:r>
      <w:r w:rsidRPr="00DA3766">
        <w:t>万股股份以</w:t>
      </w:r>
      <w:r w:rsidRPr="00DA3766">
        <w:t>195.00</w:t>
      </w:r>
      <w:r w:rsidRPr="00DA3766">
        <w:t>万元的价格转让给杨裕雄。</w:t>
      </w:r>
    </w:p>
    <w:p w14:paraId="2D12CFF9" w14:textId="2A1740AC" w:rsidR="00720FA4" w:rsidRPr="00DA3766" w:rsidRDefault="00720FA4" w:rsidP="008A1B9E">
      <w:pPr>
        <w:pStyle w:val="005"/>
        <w:spacing w:before="120" w:after="120"/>
        <w:ind w:firstLine="480"/>
      </w:pPr>
      <w:r w:rsidRPr="00DA3766">
        <w:t>蜜芽宝贝系</w:t>
      </w:r>
      <w:r w:rsidRPr="00DA3766">
        <w:t>2016</w:t>
      </w:r>
      <w:r w:rsidRPr="00DA3766">
        <w:t>年</w:t>
      </w:r>
      <w:r w:rsidRPr="00DA3766">
        <w:t>4</w:t>
      </w:r>
      <w:r w:rsidRPr="00DA3766">
        <w:t>月投资入股标的公司的天使轮投资者，其所持有的标的公司股权不享有回购权，且其作为外部投资人享有的优先清算权亦处于劣后等级，随着</w:t>
      </w:r>
      <w:r w:rsidRPr="00DA3766">
        <w:t>2024</w:t>
      </w:r>
      <w:r w:rsidRPr="00DA3766">
        <w:t>年</w:t>
      </w:r>
      <w:r w:rsidRPr="00DA3766">
        <w:t>6</w:t>
      </w:r>
      <w:r w:rsidRPr="00DA3766">
        <w:t>月、</w:t>
      </w:r>
      <w:r w:rsidRPr="00DA3766">
        <w:t>2024</w:t>
      </w:r>
      <w:r w:rsidRPr="00DA3766">
        <w:t>年</w:t>
      </w:r>
      <w:r w:rsidRPr="00DA3766">
        <w:t>10</w:t>
      </w:r>
      <w:r w:rsidRPr="00DA3766">
        <w:t>月、</w:t>
      </w:r>
      <w:r w:rsidRPr="00DA3766">
        <w:t>2024</w:t>
      </w:r>
      <w:r w:rsidRPr="00DA3766">
        <w:t>年</w:t>
      </w:r>
      <w:r w:rsidRPr="00DA3766">
        <w:t>12</w:t>
      </w:r>
      <w:r w:rsidRPr="00DA3766">
        <w:t>月及</w:t>
      </w:r>
      <w:r w:rsidRPr="00DA3766">
        <w:t>2025</w:t>
      </w:r>
      <w:r w:rsidRPr="00DA3766">
        <w:t>年</w:t>
      </w:r>
      <w:r w:rsidRPr="00DA3766">
        <w:t>3</w:t>
      </w:r>
      <w:r w:rsidRPr="00DA3766">
        <w:t>月四轮外部投资人减资退出，蜜芽宝贝</w:t>
      </w:r>
      <w:r w:rsidR="00756907" w:rsidRPr="00DA3766">
        <w:t>亦因自身战略规划调整希望重点布局实体产业，对标的公司存在退出诉求</w:t>
      </w:r>
      <w:r w:rsidRPr="00DA3766">
        <w:t>。</w:t>
      </w:r>
    </w:p>
    <w:p w14:paraId="45C16158" w14:textId="430565C1" w:rsidR="00720FA4" w:rsidRPr="00DA3766" w:rsidRDefault="00720FA4" w:rsidP="008A1B9E">
      <w:pPr>
        <w:pStyle w:val="005"/>
        <w:spacing w:before="120" w:after="120"/>
        <w:ind w:firstLine="480"/>
      </w:pPr>
      <w:r w:rsidRPr="00DA3766">
        <w:t>杨裕雄与标的公司实控人陈耿豪系校友，从商多年，在广州及中山均开办</w:t>
      </w:r>
      <w:r w:rsidR="004A761D" w:rsidRPr="00DA3766">
        <w:t>了</w:t>
      </w:r>
      <w:r w:rsidRPr="00DA3766">
        <w:t>企业</w:t>
      </w:r>
      <w:r w:rsidR="00E06192" w:rsidRPr="00DA3766">
        <w:t>。</w:t>
      </w:r>
      <w:r w:rsidRPr="00DA3766">
        <w:t>作为外部投资人，其曾于</w:t>
      </w:r>
      <w:r w:rsidRPr="00DA3766">
        <w:t>2018</w:t>
      </w:r>
      <w:r w:rsidRPr="00DA3766">
        <w:t>年</w:t>
      </w:r>
      <w:r w:rsidRPr="00DA3766">
        <w:t>6</w:t>
      </w:r>
      <w:r w:rsidRPr="00DA3766">
        <w:t>月通过受让外部投资人金俊峰持有的标的公司持股平台乐摇的股权投资持股标的公司，后于</w:t>
      </w:r>
      <w:r w:rsidRPr="00DA3766">
        <w:t>2019</w:t>
      </w:r>
      <w:r w:rsidRPr="00DA3766">
        <w:t>年</w:t>
      </w:r>
      <w:r w:rsidRPr="00DA3766">
        <w:t>1</w:t>
      </w:r>
      <w:r w:rsidRPr="00DA3766">
        <w:t>月转让给广州科学城创业投资管理有限公司完成退出，对标的公司有一定了解。在了解到蜜芽宝贝有退出意向后，其看好标的公司发展前景，有意受让蜜芽宝贝股权，经协商最终于</w:t>
      </w:r>
      <w:r w:rsidRPr="00DA3766">
        <w:t>2025</w:t>
      </w:r>
      <w:r w:rsidRPr="00DA3766">
        <w:t>年</w:t>
      </w:r>
      <w:r w:rsidRPr="00DA3766">
        <w:t>3</w:t>
      </w:r>
      <w:r w:rsidRPr="00DA3766">
        <w:t>月达成一致并签订了《股权转让协议》。</w:t>
      </w:r>
    </w:p>
    <w:p w14:paraId="26C0374D" w14:textId="77777777" w:rsidR="00720FA4" w:rsidRPr="00DA3766" w:rsidRDefault="00720FA4" w:rsidP="008A1B9E">
      <w:pPr>
        <w:pStyle w:val="005"/>
        <w:spacing w:before="120" w:after="120"/>
        <w:ind w:firstLine="480"/>
      </w:pPr>
      <w:r w:rsidRPr="00DA3766">
        <w:t>本次转作价系由双方协商确定，对应标的公司估值为</w:t>
      </w:r>
      <w:r w:rsidRPr="00DA3766">
        <w:t>13,571.83</w:t>
      </w:r>
      <w:r w:rsidRPr="00DA3766">
        <w:t>万元，该价格系双方综合蜜芽宝贝投入及取得回报情况、转让股权不享有回购权及优先清算劣后、标的公司已完成多轮投资人减资退出且面临其余外部投资人对赌触发风险等因素商议决定。具体情况如下：</w:t>
      </w:r>
    </w:p>
    <w:p w14:paraId="37163FA4" w14:textId="6043A72F" w:rsidR="00720FA4" w:rsidRPr="00DA3766" w:rsidRDefault="00720FA4" w:rsidP="00720FA4">
      <w:pPr>
        <w:pStyle w:val="004"/>
        <w:spacing w:before="120" w:after="120"/>
        <w:ind w:firstLine="482"/>
      </w:pPr>
      <w:r w:rsidRPr="00DA3766">
        <w:t>1</w:t>
      </w:r>
      <w:r w:rsidRPr="00DA3766">
        <w:t>、蜜芽宝贝投入及取得回报情况</w:t>
      </w:r>
    </w:p>
    <w:p w14:paraId="6B945908" w14:textId="77777777" w:rsidR="00720FA4" w:rsidRPr="00DA3766" w:rsidRDefault="00720FA4" w:rsidP="008A1B9E">
      <w:pPr>
        <w:pStyle w:val="005"/>
        <w:spacing w:before="120" w:after="120"/>
        <w:ind w:firstLine="480"/>
      </w:pPr>
      <w:r w:rsidRPr="00DA3766">
        <w:t>蜜芽宝贝作为标的公司天使投资人，投资成本及投资收益情况如下：</w:t>
      </w:r>
    </w:p>
    <w:p w14:paraId="35287BAC" w14:textId="77777777" w:rsidR="00720FA4" w:rsidRPr="00DA3766" w:rsidRDefault="00720FA4" w:rsidP="00720FA4">
      <w:pPr>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单位：万元</w:t>
      </w:r>
    </w:p>
    <w:tbl>
      <w:tblPr>
        <w:tblStyle w:val="36"/>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2802"/>
        <w:gridCol w:w="1711"/>
        <w:gridCol w:w="1337"/>
        <w:gridCol w:w="1337"/>
        <w:gridCol w:w="1341"/>
      </w:tblGrid>
      <w:tr w:rsidR="002F0E7C" w:rsidRPr="00DA3766" w14:paraId="112E9AA0" w14:textId="77777777" w:rsidTr="00DA3766">
        <w:trPr>
          <w:trHeight w:val="397"/>
          <w:jc w:val="center"/>
        </w:trPr>
        <w:tc>
          <w:tcPr>
            <w:tcW w:w="1643" w:type="pct"/>
            <w:tcMar>
              <w:top w:w="0" w:type="dxa"/>
              <w:bottom w:w="0" w:type="dxa"/>
            </w:tcMar>
            <w:vAlign w:val="center"/>
          </w:tcPr>
          <w:p w14:paraId="6D1D416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股权变动轮次</w:t>
            </w:r>
          </w:p>
        </w:tc>
        <w:tc>
          <w:tcPr>
            <w:tcW w:w="1003" w:type="pct"/>
            <w:tcMar>
              <w:top w:w="0" w:type="dxa"/>
              <w:bottom w:w="0" w:type="dxa"/>
            </w:tcMar>
            <w:vAlign w:val="center"/>
          </w:tcPr>
          <w:p w14:paraId="16624CE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时间</w:t>
            </w:r>
          </w:p>
        </w:tc>
        <w:tc>
          <w:tcPr>
            <w:tcW w:w="784" w:type="pct"/>
            <w:tcMar>
              <w:top w:w="0" w:type="dxa"/>
              <w:bottom w:w="0" w:type="dxa"/>
            </w:tcMar>
            <w:vAlign w:val="center"/>
          </w:tcPr>
          <w:p w14:paraId="542C2C61"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成本</w:t>
            </w:r>
          </w:p>
        </w:tc>
        <w:tc>
          <w:tcPr>
            <w:tcW w:w="784" w:type="pct"/>
            <w:tcMar>
              <w:top w:w="0" w:type="dxa"/>
              <w:bottom w:w="0" w:type="dxa"/>
            </w:tcMar>
            <w:vAlign w:val="center"/>
          </w:tcPr>
          <w:p w14:paraId="3DAF5A8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收益</w:t>
            </w:r>
          </w:p>
        </w:tc>
        <w:tc>
          <w:tcPr>
            <w:tcW w:w="786" w:type="pct"/>
            <w:tcMar>
              <w:top w:w="0" w:type="dxa"/>
              <w:bottom w:w="0" w:type="dxa"/>
            </w:tcMar>
            <w:vAlign w:val="center"/>
          </w:tcPr>
          <w:p w14:paraId="4ADCBC3F"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收益率</w:t>
            </w:r>
          </w:p>
        </w:tc>
      </w:tr>
      <w:tr w:rsidR="002F0E7C" w:rsidRPr="00DA3766" w14:paraId="097510AB" w14:textId="77777777" w:rsidTr="00DA3766">
        <w:trPr>
          <w:trHeight w:val="397"/>
          <w:jc w:val="center"/>
        </w:trPr>
        <w:tc>
          <w:tcPr>
            <w:tcW w:w="1643" w:type="pct"/>
            <w:tcMar>
              <w:top w:w="0" w:type="dxa"/>
              <w:bottom w:w="0" w:type="dxa"/>
            </w:tcMar>
            <w:vAlign w:val="center"/>
          </w:tcPr>
          <w:p w14:paraId="43EEA884"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有限公司第一次增资增资</w:t>
            </w:r>
          </w:p>
        </w:tc>
        <w:tc>
          <w:tcPr>
            <w:tcW w:w="1003" w:type="pct"/>
            <w:tcMar>
              <w:top w:w="0" w:type="dxa"/>
              <w:bottom w:w="0" w:type="dxa"/>
            </w:tcMar>
            <w:vAlign w:val="center"/>
          </w:tcPr>
          <w:p w14:paraId="35C3B93A"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4</w:t>
            </w:r>
            <w:r w:rsidRPr="00DA3766">
              <w:rPr>
                <w:rFonts w:ascii="Times New Roman" w:hAnsi="Times New Roman" w:cs="Times New Roman"/>
                <w:sz w:val="21"/>
                <w:szCs w:val="21"/>
              </w:rPr>
              <w:t>月</w:t>
            </w:r>
          </w:p>
        </w:tc>
        <w:tc>
          <w:tcPr>
            <w:tcW w:w="784" w:type="pct"/>
            <w:tcMar>
              <w:top w:w="0" w:type="dxa"/>
              <w:bottom w:w="0" w:type="dxa"/>
            </w:tcMar>
            <w:vAlign w:val="center"/>
          </w:tcPr>
          <w:p w14:paraId="30A5C7C7"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250.00</w:t>
            </w:r>
          </w:p>
        </w:tc>
        <w:tc>
          <w:tcPr>
            <w:tcW w:w="784" w:type="pct"/>
            <w:tcMar>
              <w:top w:w="0" w:type="dxa"/>
              <w:bottom w:w="0" w:type="dxa"/>
            </w:tcMar>
            <w:vAlign w:val="center"/>
          </w:tcPr>
          <w:p w14:paraId="62EDF1B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86" w:type="pct"/>
            <w:tcMar>
              <w:top w:w="0" w:type="dxa"/>
              <w:bottom w:w="0" w:type="dxa"/>
            </w:tcMar>
            <w:vAlign w:val="center"/>
          </w:tcPr>
          <w:p w14:paraId="3AAFE871"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r>
      <w:tr w:rsidR="002F0E7C" w:rsidRPr="00DA3766" w14:paraId="661FE45A" w14:textId="77777777" w:rsidTr="00DA3766">
        <w:trPr>
          <w:trHeight w:val="397"/>
          <w:jc w:val="center"/>
        </w:trPr>
        <w:tc>
          <w:tcPr>
            <w:tcW w:w="1643" w:type="pct"/>
            <w:tcMar>
              <w:top w:w="0" w:type="dxa"/>
              <w:bottom w:w="0" w:type="dxa"/>
            </w:tcMar>
            <w:vAlign w:val="center"/>
          </w:tcPr>
          <w:p w14:paraId="6B0D2CE3"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有限公司第四次股权转让</w:t>
            </w:r>
          </w:p>
        </w:tc>
        <w:tc>
          <w:tcPr>
            <w:tcW w:w="1003" w:type="pct"/>
            <w:tcMar>
              <w:top w:w="0" w:type="dxa"/>
              <w:bottom w:w="0" w:type="dxa"/>
            </w:tcMar>
            <w:vAlign w:val="center"/>
          </w:tcPr>
          <w:p w14:paraId="737FE637"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w:t>
            </w:r>
          </w:p>
        </w:tc>
        <w:tc>
          <w:tcPr>
            <w:tcW w:w="784" w:type="pct"/>
            <w:tcMar>
              <w:top w:w="0" w:type="dxa"/>
              <w:bottom w:w="0" w:type="dxa"/>
            </w:tcMar>
            <w:vAlign w:val="center"/>
          </w:tcPr>
          <w:p w14:paraId="0CAFBF99"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185.18</w:t>
            </w:r>
          </w:p>
        </w:tc>
        <w:tc>
          <w:tcPr>
            <w:tcW w:w="784" w:type="pct"/>
            <w:tcMar>
              <w:top w:w="0" w:type="dxa"/>
              <w:bottom w:w="0" w:type="dxa"/>
            </w:tcMar>
            <w:vAlign w:val="center"/>
          </w:tcPr>
          <w:p w14:paraId="4D560E8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480.00</w:t>
            </w:r>
          </w:p>
        </w:tc>
        <w:tc>
          <w:tcPr>
            <w:tcW w:w="786" w:type="pct"/>
            <w:tcMar>
              <w:top w:w="0" w:type="dxa"/>
              <w:bottom w:w="0" w:type="dxa"/>
            </w:tcMar>
            <w:vAlign w:val="center"/>
          </w:tcPr>
          <w:p w14:paraId="300FB858"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159.21%</w:t>
            </w:r>
          </w:p>
        </w:tc>
      </w:tr>
      <w:tr w:rsidR="002F0E7C" w:rsidRPr="00DA3766" w14:paraId="7AFF36EB" w14:textId="77777777" w:rsidTr="00DA3766">
        <w:trPr>
          <w:trHeight w:val="397"/>
          <w:jc w:val="center"/>
        </w:trPr>
        <w:tc>
          <w:tcPr>
            <w:tcW w:w="1643" w:type="pct"/>
            <w:tcMar>
              <w:top w:w="0" w:type="dxa"/>
              <w:bottom w:w="0" w:type="dxa"/>
            </w:tcMar>
            <w:vAlign w:val="center"/>
          </w:tcPr>
          <w:p w14:paraId="70884F79"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股份公司第二次股权转让</w:t>
            </w:r>
          </w:p>
        </w:tc>
        <w:tc>
          <w:tcPr>
            <w:tcW w:w="1003" w:type="pct"/>
            <w:tcMar>
              <w:top w:w="0" w:type="dxa"/>
              <w:bottom w:w="0" w:type="dxa"/>
            </w:tcMar>
            <w:vAlign w:val="center"/>
          </w:tcPr>
          <w:p w14:paraId="385DBBAF"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784" w:type="pct"/>
            <w:tcMar>
              <w:top w:w="0" w:type="dxa"/>
              <w:bottom w:w="0" w:type="dxa"/>
            </w:tcMar>
            <w:vAlign w:val="center"/>
          </w:tcPr>
          <w:p w14:paraId="7EF6039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64.82</w:t>
            </w:r>
          </w:p>
        </w:tc>
        <w:tc>
          <w:tcPr>
            <w:tcW w:w="784" w:type="pct"/>
            <w:tcMar>
              <w:top w:w="0" w:type="dxa"/>
              <w:bottom w:w="0" w:type="dxa"/>
            </w:tcMar>
            <w:vAlign w:val="center"/>
          </w:tcPr>
          <w:p w14:paraId="3EF56C1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195.00</w:t>
            </w:r>
          </w:p>
        </w:tc>
        <w:tc>
          <w:tcPr>
            <w:tcW w:w="786" w:type="pct"/>
            <w:tcMar>
              <w:top w:w="0" w:type="dxa"/>
              <w:bottom w:w="0" w:type="dxa"/>
            </w:tcMar>
            <w:vAlign w:val="center"/>
          </w:tcPr>
          <w:p w14:paraId="2D06DAA8" w14:textId="77777777" w:rsidR="002F0E7C" w:rsidRPr="00DA3766" w:rsidRDefault="002F0E7C" w:rsidP="00DA3766">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color w:val="000000"/>
                <w:sz w:val="21"/>
                <w:szCs w:val="21"/>
                <w:lang w:bidi="ar"/>
              </w:rPr>
            </w:pPr>
            <w:r w:rsidRPr="00DA3766">
              <w:rPr>
                <w:rFonts w:ascii="Times New Roman" w:eastAsia="楷体" w:hAnsi="Times New Roman" w:cs="Times New Roman"/>
                <w:color w:val="000000"/>
                <w:sz w:val="21"/>
                <w:szCs w:val="21"/>
                <w:lang w:bidi="ar"/>
              </w:rPr>
              <w:t>200.82%</w:t>
            </w:r>
          </w:p>
        </w:tc>
      </w:tr>
      <w:tr w:rsidR="002F0E7C" w:rsidRPr="00DA3766" w14:paraId="294115CB" w14:textId="77777777" w:rsidTr="00DA3766">
        <w:trPr>
          <w:trHeight w:val="397"/>
          <w:jc w:val="center"/>
        </w:trPr>
        <w:tc>
          <w:tcPr>
            <w:tcW w:w="2646" w:type="pct"/>
            <w:gridSpan w:val="2"/>
            <w:tcMar>
              <w:top w:w="0" w:type="dxa"/>
              <w:bottom w:w="0" w:type="dxa"/>
            </w:tcMar>
            <w:vAlign w:val="center"/>
          </w:tcPr>
          <w:p w14:paraId="2BEAD80C"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合计</w:t>
            </w:r>
          </w:p>
        </w:tc>
        <w:tc>
          <w:tcPr>
            <w:tcW w:w="784" w:type="pct"/>
            <w:tcMar>
              <w:top w:w="0" w:type="dxa"/>
              <w:bottom w:w="0" w:type="dxa"/>
            </w:tcMar>
            <w:vAlign w:val="center"/>
          </w:tcPr>
          <w:p w14:paraId="6B6F15CE"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sz w:val="21"/>
                <w:szCs w:val="21"/>
              </w:rPr>
              <w:t>250.00</w:t>
            </w:r>
          </w:p>
        </w:tc>
        <w:tc>
          <w:tcPr>
            <w:tcW w:w="784" w:type="pct"/>
            <w:tcMar>
              <w:top w:w="0" w:type="dxa"/>
              <w:bottom w:w="0" w:type="dxa"/>
            </w:tcMar>
            <w:vAlign w:val="center"/>
          </w:tcPr>
          <w:p w14:paraId="1FA46AB0"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sz w:val="21"/>
                <w:szCs w:val="21"/>
              </w:rPr>
              <w:t>675.00</w:t>
            </w:r>
          </w:p>
        </w:tc>
        <w:tc>
          <w:tcPr>
            <w:tcW w:w="786" w:type="pct"/>
            <w:tcMar>
              <w:top w:w="0" w:type="dxa"/>
              <w:bottom w:w="0" w:type="dxa"/>
            </w:tcMar>
            <w:vAlign w:val="center"/>
          </w:tcPr>
          <w:p w14:paraId="159C53A1" w14:textId="77777777" w:rsidR="002F0E7C" w:rsidRPr="00DA3766" w:rsidRDefault="002F0E7C" w:rsidP="00DA3766">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b/>
                <w:color w:val="000000"/>
                <w:sz w:val="21"/>
                <w:szCs w:val="21"/>
                <w:lang w:bidi="ar"/>
              </w:rPr>
            </w:pPr>
            <w:r w:rsidRPr="00DA3766">
              <w:rPr>
                <w:rFonts w:ascii="Times New Roman" w:eastAsia="楷体" w:hAnsi="Times New Roman" w:cs="Times New Roman"/>
                <w:b/>
                <w:color w:val="000000"/>
                <w:sz w:val="21"/>
                <w:szCs w:val="21"/>
                <w:lang w:bidi="ar"/>
              </w:rPr>
              <w:t>170.00%</w:t>
            </w:r>
          </w:p>
        </w:tc>
      </w:tr>
    </w:tbl>
    <w:p w14:paraId="40EDC49B" w14:textId="411D84F7" w:rsidR="00720FA4" w:rsidRPr="00DA3766" w:rsidRDefault="00720FA4" w:rsidP="008A1B9E">
      <w:pPr>
        <w:pStyle w:val="005"/>
        <w:spacing w:before="120" w:after="120"/>
        <w:ind w:firstLine="480"/>
      </w:pPr>
      <w:r w:rsidRPr="00DA3766">
        <w:t>由上表可知，蜜芽宝贝投资标的公司累计获取收益</w:t>
      </w:r>
      <w:r w:rsidRPr="00DA3766">
        <w:t>425</w:t>
      </w:r>
      <w:r w:rsidRPr="00DA3766">
        <w:t>万元，累计收益率</w:t>
      </w:r>
      <w:r w:rsidR="0052410D" w:rsidRPr="00DA3766">
        <w:t>为</w:t>
      </w:r>
      <w:r w:rsidRPr="00DA3766">
        <w:t>170%</w:t>
      </w:r>
      <w:r w:rsidR="002F0E7C" w:rsidRPr="00DA3766">
        <w:t>，已取得可观的投资收益</w:t>
      </w:r>
      <w:r w:rsidRPr="00DA3766">
        <w:t>。</w:t>
      </w:r>
    </w:p>
    <w:p w14:paraId="7C9C44CF" w14:textId="54E6825D" w:rsidR="00720FA4" w:rsidRPr="00DA3766" w:rsidRDefault="00720FA4" w:rsidP="00720FA4">
      <w:pPr>
        <w:pStyle w:val="004"/>
        <w:spacing w:before="120" w:after="120"/>
        <w:ind w:firstLine="482"/>
        <w:rPr>
          <w:color w:val="000000"/>
        </w:rPr>
      </w:pPr>
      <w:r w:rsidRPr="00DA3766">
        <w:rPr>
          <w:color w:val="000000"/>
        </w:rPr>
        <w:t>2</w:t>
      </w:r>
      <w:r w:rsidRPr="00DA3766">
        <w:rPr>
          <w:color w:val="000000"/>
        </w:rPr>
        <w:t>、</w:t>
      </w:r>
      <w:r w:rsidRPr="00DA3766">
        <w:t>相关股权不享有回购权且清算的优先级劣后</w:t>
      </w:r>
    </w:p>
    <w:p w14:paraId="1208C146" w14:textId="17498980" w:rsidR="00720FA4" w:rsidRPr="00DA3766" w:rsidRDefault="00720FA4" w:rsidP="008A1B9E">
      <w:pPr>
        <w:pStyle w:val="005"/>
        <w:spacing w:before="120" w:after="120"/>
        <w:ind w:firstLine="480"/>
      </w:pPr>
      <w:r w:rsidRPr="00DA3766">
        <w:t>根据</w:t>
      </w:r>
      <w:r w:rsidRPr="00DA3766">
        <w:t>2021</w:t>
      </w:r>
      <w:r w:rsidRPr="00DA3766">
        <w:t>年</w:t>
      </w:r>
      <w:r w:rsidRPr="00DA3766">
        <w:t>10</w:t>
      </w:r>
      <w:r w:rsidRPr="00DA3766">
        <w:t>月由标的公司</w:t>
      </w:r>
      <w:r w:rsidRPr="00DA3766">
        <w:t>D+</w:t>
      </w:r>
      <w:r w:rsidRPr="00DA3766">
        <w:t>轮融资后与当时</w:t>
      </w:r>
      <w:r w:rsidRPr="00DA3766">
        <w:t>34</w:t>
      </w:r>
      <w:r w:rsidRPr="00DA3766">
        <w:t>名股东签订《股东协议》，</w:t>
      </w:r>
      <w:r w:rsidR="008F74F5" w:rsidRPr="008F74F5">
        <w:lastRenderedPageBreak/>
        <w:t>蜜芽宝贝不享有回购权，且优先清算权方面处于劣后次序。</w:t>
      </w:r>
    </w:p>
    <w:p w14:paraId="343F59D6" w14:textId="5E15DB46" w:rsidR="00720FA4" w:rsidRPr="00DA3766" w:rsidRDefault="005C4196" w:rsidP="008A1B9E">
      <w:pPr>
        <w:pStyle w:val="005"/>
        <w:spacing w:before="120" w:after="120"/>
        <w:ind w:firstLine="480"/>
      </w:pPr>
      <w:r w:rsidRPr="00DA3766">
        <w:t>截至</w:t>
      </w:r>
      <w:r w:rsidRPr="00DA3766">
        <w:t>2024</w:t>
      </w:r>
      <w:r w:rsidRPr="00DA3766">
        <w:t>年末，标的公司归属于母公司所有者权益合计为</w:t>
      </w:r>
      <w:r w:rsidRPr="00DA3766">
        <w:t>2,825.36</w:t>
      </w:r>
      <w:r w:rsidRPr="00DA3766">
        <w:t>万元，账面货币资金为</w:t>
      </w:r>
      <w:r w:rsidRPr="00DA3766">
        <w:t>2,825.36</w:t>
      </w:r>
      <w:r w:rsidRPr="00DA3766">
        <w:t>万元。除已减资退出的股东外，</w:t>
      </w:r>
      <w:r w:rsidRPr="00DA3766">
        <w:t>A</w:t>
      </w:r>
      <w:r w:rsidRPr="00DA3766">
        <w:t>轮投资人、</w:t>
      </w:r>
      <w:r w:rsidRPr="00DA3766">
        <w:t>B</w:t>
      </w:r>
      <w:r w:rsidRPr="00DA3766">
        <w:t>轮投资人、</w:t>
      </w:r>
      <w:r w:rsidRPr="00DA3766">
        <w:t>B+</w:t>
      </w:r>
      <w:r w:rsidRPr="00DA3766">
        <w:t>轮投资人、</w:t>
      </w:r>
      <w:r w:rsidRPr="00DA3766">
        <w:t>C</w:t>
      </w:r>
      <w:r w:rsidRPr="00DA3766">
        <w:t>轮投资人（未减资退出部分）及金浦文创尚未退出，以上轮次投资人合计投资成本为</w:t>
      </w:r>
      <w:r w:rsidRPr="00DA3766">
        <w:t>21,481.13</w:t>
      </w:r>
      <w:r w:rsidRPr="00DA3766">
        <w:t>万元。根据《股东协议》，若相关股东发出书面回购通知并行使回购权，标的公司账面净资产无法全额还清，可能面临清算、解散或终止经营等情形，届时蜜芽宝贝因未享有回购权且优先清算权方面处于劣后次序，投资成本存在无法收回的可能。</w:t>
      </w:r>
    </w:p>
    <w:p w14:paraId="7D663B42" w14:textId="11783796" w:rsidR="00720FA4" w:rsidRPr="00DA3766" w:rsidRDefault="00720FA4" w:rsidP="00720FA4">
      <w:pPr>
        <w:pStyle w:val="004"/>
        <w:spacing w:before="120" w:after="120"/>
        <w:ind w:firstLine="482"/>
      </w:pPr>
      <w:r w:rsidRPr="00DA3766">
        <w:t>3</w:t>
      </w:r>
      <w:r w:rsidRPr="00DA3766">
        <w:t>、标的公司已完成多轮投资人减资退出且面临其余外部投资人对赌触发风险</w:t>
      </w:r>
    </w:p>
    <w:p w14:paraId="55FC4EFB" w14:textId="0489C449" w:rsidR="00720FA4" w:rsidRPr="00DA3766" w:rsidRDefault="00720FA4" w:rsidP="008A1B9E">
      <w:pPr>
        <w:pStyle w:val="005"/>
        <w:spacing w:before="120" w:after="120"/>
        <w:ind w:firstLine="480"/>
      </w:pPr>
      <w:r w:rsidRPr="00DA3766">
        <w:t>投资人基于标的公司短期内无法以高于其入股成本对应的估值水平完成</w:t>
      </w:r>
      <w:r w:rsidRPr="00DA3766">
        <w:t>IPO</w:t>
      </w:r>
      <w:r w:rsidRPr="00DA3766">
        <w:t>或并购的判断，已完成</w:t>
      </w:r>
      <w:r w:rsidRPr="00DA3766">
        <w:t>4</w:t>
      </w:r>
      <w:r w:rsidRPr="00DA3766">
        <w:t>轮减资退出，且至本次转让时，存在标的公司无法于</w:t>
      </w:r>
      <w:r w:rsidRPr="00DA3766">
        <w:t>2025</w:t>
      </w:r>
      <w:r w:rsidRPr="00DA3766">
        <w:t>年</w:t>
      </w:r>
      <w:r w:rsidRPr="00DA3766">
        <w:t>12</w:t>
      </w:r>
      <w:r w:rsidRPr="00DA3766">
        <w:t>月</w:t>
      </w:r>
      <w:r w:rsidRPr="00DA3766">
        <w:t>31</w:t>
      </w:r>
      <w:r w:rsidRPr="00DA3766">
        <w:t>日前完成合格首次公开发</w:t>
      </w:r>
      <w:r w:rsidR="004A761D" w:rsidRPr="00DA3766">
        <w:t>行</w:t>
      </w:r>
      <w:r w:rsidRPr="00DA3766">
        <w:t>或并购从而触发股东对赌回购义务的风险。</w:t>
      </w:r>
    </w:p>
    <w:p w14:paraId="09A08B57" w14:textId="4B6EE4B3" w:rsidR="00720FA4" w:rsidRPr="00DA3766" w:rsidRDefault="00720FA4" w:rsidP="008A1B9E">
      <w:pPr>
        <w:pStyle w:val="005"/>
        <w:spacing w:before="120" w:after="120"/>
        <w:ind w:firstLine="480"/>
        <w:rPr>
          <w:kern w:val="0"/>
          <w:szCs w:val="24"/>
        </w:rPr>
      </w:pPr>
      <w:r w:rsidRPr="00DA3766">
        <w:rPr>
          <w:kern w:val="0"/>
          <w:szCs w:val="24"/>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14:paraId="39CC2341" w14:textId="2875A934" w:rsidR="00407341" w:rsidRPr="00DA3766" w:rsidRDefault="00407341" w:rsidP="00407341">
      <w:pPr>
        <w:pStyle w:val="003"/>
        <w:spacing w:before="120" w:after="120"/>
        <w:ind w:firstLine="482"/>
      </w:pPr>
      <w:r w:rsidRPr="00DA3766">
        <w:t>（二）杨裕雄同上市公司、标的资产、标的资产实际控制人、标的资产管理层、标的资产客户供应商是否存在关联关系或其他利益关系</w:t>
      </w:r>
    </w:p>
    <w:p w14:paraId="6328418E" w14:textId="77777777" w:rsidR="00407341" w:rsidRPr="00DA3766" w:rsidRDefault="00407341" w:rsidP="008A1B9E">
      <w:pPr>
        <w:pStyle w:val="005"/>
        <w:spacing w:before="120" w:after="120"/>
        <w:ind w:firstLine="480"/>
      </w:pPr>
      <w:r w:rsidRPr="00DA3766">
        <w:t>根据杨裕雄提供的股东调查表并经访谈确认，截至本回复出具日，除投资持股标的公司外，杨裕雄投资控制或担任董事、高级管理人员的企业情况如下：</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1918"/>
        <w:gridCol w:w="1287"/>
        <w:gridCol w:w="2790"/>
      </w:tblGrid>
      <w:tr w:rsidR="00407341" w:rsidRPr="00DA3766" w14:paraId="2F65780E" w14:textId="77777777" w:rsidTr="00DA3766">
        <w:trPr>
          <w:trHeight w:val="397"/>
          <w:jc w:val="center"/>
        </w:trPr>
        <w:tc>
          <w:tcPr>
            <w:tcW w:w="1483" w:type="pct"/>
            <w:tcMar>
              <w:top w:w="0" w:type="dxa"/>
              <w:bottom w:w="0" w:type="dxa"/>
            </w:tcMar>
            <w:vAlign w:val="center"/>
          </w:tcPr>
          <w:p w14:paraId="1A67BE81"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投资或任职单位名称</w:t>
            </w:r>
          </w:p>
        </w:tc>
        <w:tc>
          <w:tcPr>
            <w:tcW w:w="1125" w:type="pct"/>
            <w:tcMar>
              <w:top w:w="0" w:type="dxa"/>
              <w:bottom w:w="0" w:type="dxa"/>
            </w:tcMar>
            <w:vAlign w:val="center"/>
          </w:tcPr>
          <w:p w14:paraId="19040D25"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主营业务</w:t>
            </w:r>
          </w:p>
        </w:tc>
        <w:tc>
          <w:tcPr>
            <w:tcW w:w="755" w:type="pct"/>
            <w:tcMar>
              <w:top w:w="0" w:type="dxa"/>
              <w:bottom w:w="0" w:type="dxa"/>
            </w:tcMar>
            <w:vAlign w:val="center"/>
          </w:tcPr>
          <w:p w14:paraId="4B78F359"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注册资本（万元）</w:t>
            </w:r>
          </w:p>
        </w:tc>
        <w:tc>
          <w:tcPr>
            <w:tcW w:w="1637" w:type="pct"/>
            <w:tcMar>
              <w:top w:w="0" w:type="dxa"/>
              <w:bottom w:w="0" w:type="dxa"/>
            </w:tcMar>
            <w:vAlign w:val="center"/>
          </w:tcPr>
          <w:p w14:paraId="7A1C6BEE"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持股比例及任职情况</w:t>
            </w:r>
          </w:p>
        </w:tc>
      </w:tr>
      <w:tr w:rsidR="00407341" w:rsidRPr="00DA3766" w14:paraId="1521D460" w14:textId="77777777" w:rsidTr="00DA3766">
        <w:trPr>
          <w:trHeight w:val="397"/>
          <w:jc w:val="center"/>
        </w:trPr>
        <w:tc>
          <w:tcPr>
            <w:tcW w:w="1483" w:type="pct"/>
            <w:tcMar>
              <w:top w:w="0" w:type="dxa"/>
              <w:bottom w:w="0" w:type="dxa"/>
            </w:tcMar>
            <w:vAlign w:val="center"/>
          </w:tcPr>
          <w:p w14:paraId="62BB8ED2"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中山艾伟电子有限公司</w:t>
            </w:r>
          </w:p>
        </w:tc>
        <w:tc>
          <w:tcPr>
            <w:tcW w:w="1125" w:type="pct"/>
            <w:tcMar>
              <w:top w:w="0" w:type="dxa"/>
              <w:bottom w:w="0" w:type="dxa"/>
            </w:tcMar>
            <w:vAlign w:val="center"/>
          </w:tcPr>
          <w:p w14:paraId="5062F10B"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7EC61C44"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200.00</w:t>
            </w:r>
          </w:p>
        </w:tc>
        <w:tc>
          <w:tcPr>
            <w:tcW w:w="1637" w:type="pct"/>
            <w:tcMar>
              <w:top w:w="0" w:type="dxa"/>
              <w:bottom w:w="0" w:type="dxa"/>
            </w:tcMar>
            <w:vAlign w:val="center"/>
          </w:tcPr>
          <w:p w14:paraId="113764C7"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80%</w:t>
            </w:r>
            <w:r w:rsidRPr="00DA3766">
              <w:rPr>
                <w:rFonts w:ascii="Times New Roman" w:hAnsi="Times New Roman" w:cs="Times New Roman"/>
                <w:spacing w:val="10"/>
                <w:sz w:val="21"/>
                <w:szCs w:val="21"/>
              </w:rPr>
              <w:t>，并担任执行董事、经理、财务负责人</w:t>
            </w:r>
          </w:p>
        </w:tc>
      </w:tr>
      <w:tr w:rsidR="00407341" w:rsidRPr="00DA3766" w14:paraId="75C26B31" w14:textId="77777777" w:rsidTr="00DA3766">
        <w:trPr>
          <w:trHeight w:val="397"/>
          <w:jc w:val="center"/>
        </w:trPr>
        <w:tc>
          <w:tcPr>
            <w:tcW w:w="1483" w:type="pct"/>
            <w:tcMar>
              <w:top w:w="0" w:type="dxa"/>
              <w:bottom w:w="0" w:type="dxa"/>
            </w:tcMar>
            <w:vAlign w:val="center"/>
          </w:tcPr>
          <w:p w14:paraId="4DDD358D"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hyperlink r:id="rId90" w:tgtFrame="https://www.qcc.com/firm/_blank" w:history="1">
              <w:r w:rsidRPr="00DA3766">
                <w:rPr>
                  <w:rFonts w:ascii="Times New Roman" w:hAnsi="Times New Roman" w:cs="Times New Roman"/>
                  <w:spacing w:val="10"/>
                  <w:sz w:val="21"/>
                  <w:szCs w:val="21"/>
                </w:rPr>
                <w:t>广东华裕高新科技有限公司</w:t>
              </w:r>
            </w:hyperlink>
          </w:p>
        </w:tc>
        <w:tc>
          <w:tcPr>
            <w:tcW w:w="1125" w:type="pct"/>
            <w:tcMar>
              <w:top w:w="0" w:type="dxa"/>
              <w:bottom w:w="0" w:type="dxa"/>
            </w:tcMar>
            <w:vAlign w:val="center"/>
          </w:tcPr>
          <w:p w14:paraId="3A5C316C"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7DE0D5D8"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2000.00</w:t>
            </w:r>
          </w:p>
        </w:tc>
        <w:tc>
          <w:tcPr>
            <w:tcW w:w="1637" w:type="pct"/>
            <w:tcMar>
              <w:top w:w="0" w:type="dxa"/>
              <w:bottom w:w="0" w:type="dxa"/>
            </w:tcMar>
            <w:vAlign w:val="center"/>
          </w:tcPr>
          <w:p w14:paraId="3578C8F7"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95%</w:t>
            </w:r>
            <w:r w:rsidRPr="00DA3766">
              <w:rPr>
                <w:rFonts w:ascii="Times New Roman" w:hAnsi="Times New Roman" w:cs="Times New Roman"/>
                <w:spacing w:val="10"/>
                <w:sz w:val="21"/>
                <w:szCs w:val="21"/>
              </w:rPr>
              <w:t>，并担任执行董事、经理</w:t>
            </w:r>
          </w:p>
        </w:tc>
      </w:tr>
      <w:tr w:rsidR="00407341" w:rsidRPr="00DA3766" w14:paraId="11C17683" w14:textId="77777777" w:rsidTr="00DA3766">
        <w:trPr>
          <w:trHeight w:val="397"/>
          <w:jc w:val="center"/>
        </w:trPr>
        <w:tc>
          <w:tcPr>
            <w:tcW w:w="1483" w:type="pct"/>
            <w:tcMar>
              <w:top w:w="0" w:type="dxa"/>
              <w:bottom w:w="0" w:type="dxa"/>
            </w:tcMar>
            <w:vAlign w:val="center"/>
          </w:tcPr>
          <w:p w14:paraId="3E97313C"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广东华裕电子有限公司</w:t>
            </w:r>
          </w:p>
        </w:tc>
        <w:tc>
          <w:tcPr>
            <w:tcW w:w="1125" w:type="pct"/>
            <w:tcMar>
              <w:top w:w="0" w:type="dxa"/>
              <w:bottom w:w="0" w:type="dxa"/>
            </w:tcMar>
            <w:vAlign w:val="center"/>
          </w:tcPr>
          <w:p w14:paraId="49489D25"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01C15FD3"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500.00</w:t>
            </w:r>
          </w:p>
        </w:tc>
        <w:tc>
          <w:tcPr>
            <w:tcW w:w="1637" w:type="pct"/>
            <w:tcMar>
              <w:top w:w="0" w:type="dxa"/>
              <w:bottom w:w="0" w:type="dxa"/>
            </w:tcMar>
            <w:vAlign w:val="center"/>
          </w:tcPr>
          <w:p w14:paraId="7285CAC9"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95.98%</w:t>
            </w:r>
          </w:p>
        </w:tc>
      </w:tr>
    </w:tbl>
    <w:p w14:paraId="7882506B" w14:textId="5A2F6856" w:rsidR="00407341" w:rsidRPr="00DA3766" w:rsidRDefault="00407341" w:rsidP="008A1B9E">
      <w:pPr>
        <w:pStyle w:val="005"/>
        <w:spacing w:before="120" w:after="120"/>
        <w:ind w:firstLine="480"/>
      </w:pPr>
      <w:r w:rsidRPr="00DA3766">
        <w:lastRenderedPageBreak/>
        <w:t>经核查，除投资标的公司外，杨裕雄及其投资控制或担任董事、高级管理人员的企业与上市公司、标的资产、标的资产实际控制人、标的资产管理层、标的资产客户供应商均不存在关联关系或其他利益关系。</w:t>
      </w:r>
    </w:p>
    <w:p w14:paraId="7087F41C" w14:textId="18F04EA6" w:rsidR="00407341" w:rsidRPr="00DA3766" w:rsidRDefault="00407341" w:rsidP="00407341">
      <w:pPr>
        <w:pStyle w:val="003"/>
        <w:spacing w:before="120" w:after="120"/>
        <w:ind w:firstLine="482"/>
      </w:pPr>
      <w:r w:rsidRPr="00DA3766">
        <w:t>（三）杨裕雄入股价格低于本次交易估值的原因及合理性，不存在股份支付或利益输送</w:t>
      </w:r>
    </w:p>
    <w:p w14:paraId="00CA309E" w14:textId="77777777" w:rsidR="00407341" w:rsidRPr="00DA3766" w:rsidRDefault="00407341" w:rsidP="008A1B9E">
      <w:pPr>
        <w:pStyle w:val="005"/>
        <w:spacing w:before="120" w:after="120"/>
        <w:ind w:firstLine="480"/>
      </w:pPr>
      <w:r w:rsidRPr="00DA3766">
        <w:t>如前所述，蜜芽宝贝系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14:paraId="67B7D093" w14:textId="77777777" w:rsidR="00407341" w:rsidRPr="00DA3766" w:rsidRDefault="00407341" w:rsidP="008A1B9E">
      <w:pPr>
        <w:pStyle w:val="005"/>
        <w:spacing w:before="120" w:after="120"/>
        <w:ind w:firstLine="480"/>
      </w:pPr>
      <w:r w:rsidRPr="00DA3766">
        <w:t>本次交易估值系上市公司基于标的公司与上市公司的业务协同性，为完善</w:t>
      </w:r>
      <w:r w:rsidRPr="00DA3766">
        <w:t>IoT</w:t>
      </w:r>
      <w:r w:rsidRPr="00DA3766">
        <w:t>底层技术，巩固上市公司核心技术体系，持续完善上市公司物联网产业链布局，拓宽业务应用场景，提高上市公司资产质量，提升持续经营能力和抗风险能力，结合以符合相关法律法规要求的资产评估机构金证评估出具的《资产评估报告》（金证评报字（</w:t>
      </w:r>
      <w:r w:rsidRPr="00DA3766">
        <w:t>2025</w:t>
      </w:r>
      <w:r w:rsidRPr="00DA3766">
        <w:t>）第</w:t>
      </w:r>
      <w:r w:rsidRPr="00DA3766">
        <w:t>0586</w:t>
      </w:r>
      <w:r w:rsidRPr="00DA3766">
        <w:t>号）所载评估值为基础协商确定。</w:t>
      </w:r>
    </w:p>
    <w:p w14:paraId="11C97392" w14:textId="77777777" w:rsidR="00407341" w:rsidRPr="00DA3766" w:rsidRDefault="00407341" w:rsidP="008A1B9E">
      <w:pPr>
        <w:pStyle w:val="005"/>
        <w:spacing w:before="120" w:after="120"/>
        <w:ind w:firstLine="480"/>
      </w:pPr>
      <w:r w:rsidRPr="00DA3766">
        <w:t>本次交易估值的作价背景与基础与</w:t>
      </w:r>
      <w:r w:rsidRPr="00DA3766">
        <w:t>2025</w:t>
      </w:r>
      <w:r w:rsidRPr="00DA3766">
        <w:t>年</w:t>
      </w:r>
      <w:r w:rsidRPr="00DA3766">
        <w:t>3</w:t>
      </w:r>
      <w:r w:rsidRPr="00DA3766">
        <w:t>月杨裕雄受让蜜芽宝贝股权的背景和基础不同，其价格差异与各自交易背景相匹配，具有合理性。</w:t>
      </w:r>
    </w:p>
    <w:p w14:paraId="786350A6" w14:textId="77777777" w:rsidR="00407341" w:rsidRPr="00DA3766" w:rsidRDefault="00407341" w:rsidP="008A1B9E">
      <w:pPr>
        <w:pStyle w:val="005"/>
        <w:spacing w:before="120" w:after="120"/>
        <w:ind w:firstLine="480"/>
      </w:pPr>
      <w:r w:rsidRPr="00DA3766">
        <w:t>经对杨裕雄及蜜芽宝贝访谈确认，本次转让系双方真实意思表述，不存在股权代持或其他利益安排情形，双方就本次转让不存在任何争议、纠纷或潜在纠纷情形。</w:t>
      </w:r>
    </w:p>
    <w:p w14:paraId="1519DB61" w14:textId="77777777" w:rsidR="00407341" w:rsidRPr="00DA3766" w:rsidRDefault="00407341" w:rsidP="008A1B9E">
      <w:pPr>
        <w:pStyle w:val="005"/>
        <w:spacing w:before="120" w:after="120"/>
        <w:ind w:firstLine="480"/>
      </w:pPr>
      <w:r w:rsidRPr="00DA3766">
        <w:t>同时，标的公司实际控制人及核心管理层成员陈耿豪、张杰波、杨凯然、王佳均已出具《关于不存在股权代持的确认函》，就杨裕雄受让蜜芽宝贝事项，承诺如下：</w:t>
      </w:r>
      <w:r w:rsidRPr="00DA3766">
        <w:rPr>
          <w:rFonts w:ascii="宋体" w:hAnsi="宋体"/>
        </w:rPr>
        <w:t>“</w:t>
      </w:r>
      <w:r w:rsidRPr="00DA3766">
        <w:t>1</w:t>
      </w:r>
      <w:r w:rsidRPr="00DA3766">
        <w:t>、本人及本人近亲属</w:t>
      </w:r>
      <w:r w:rsidRPr="00DA3766">
        <w:t>/</w:t>
      </w:r>
      <w:r w:rsidRPr="00DA3766">
        <w:t>关联方未以任何形式向杨裕雄受让蜜芽宝贝所持星云开物股权提供任何资金支持，不存在杨裕雄受让蜜芽宝贝股权对价资金来源于本人及本人近亲属</w:t>
      </w:r>
      <w:r w:rsidRPr="00DA3766">
        <w:t>/</w:t>
      </w:r>
      <w:r w:rsidRPr="00DA3766">
        <w:t>关联方情形。</w:t>
      </w:r>
    </w:p>
    <w:p w14:paraId="1C01E172" w14:textId="77777777" w:rsidR="00407341" w:rsidRPr="00DA3766" w:rsidRDefault="00407341" w:rsidP="008A1B9E">
      <w:pPr>
        <w:pStyle w:val="005"/>
        <w:spacing w:before="120" w:after="120"/>
        <w:ind w:firstLine="480"/>
      </w:pPr>
      <w:r w:rsidRPr="00DA3766">
        <w:t>2</w:t>
      </w:r>
      <w:r w:rsidRPr="00DA3766">
        <w:t>、本人及本人近亲属</w:t>
      </w:r>
      <w:r w:rsidRPr="00DA3766">
        <w:t>/</w:t>
      </w:r>
      <w:r w:rsidRPr="00DA3766">
        <w:t>关联方未以委托持股、信托持股或通过其他利益安排等方式委托杨裕雄持有星云开物股权或其他权益。</w:t>
      </w:r>
    </w:p>
    <w:p w14:paraId="0F3297A7" w14:textId="77777777" w:rsidR="00407341" w:rsidRPr="00DA3766" w:rsidRDefault="00407341" w:rsidP="008A1B9E">
      <w:pPr>
        <w:pStyle w:val="005"/>
        <w:spacing w:before="120" w:after="120"/>
        <w:ind w:firstLine="480"/>
      </w:pPr>
      <w:r w:rsidRPr="00DA3766">
        <w:t>3</w:t>
      </w:r>
      <w:r w:rsidRPr="00DA3766">
        <w:t>、除此之外，截至本承诺函出具日，除本人以自己名义显名持有的星云开物股权外，不存在以委托持股、信托持股或通过其他利益安排等方式委托第三方</w:t>
      </w:r>
      <w:r w:rsidRPr="00DA3766">
        <w:lastRenderedPageBreak/>
        <w:t>代为持有星云开物任何股权或其他权益。</w:t>
      </w:r>
    </w:p>
    <w:p w14:paraId="00195B96" w14:textId="22F08EDA" w:rsidR="00407341" w:rsidRPr="00DA3766" w:rsidRDefault="00407341" w:rsidP="008A1B9E">
      <w:pPr>
        <w:pStyle w:val="005"/>
        <w:spacing w:before="120" w:after="120"/>
        <w:ind w:firstLine="480"/>
      </w:pPr>
      <w:r w:rsidRPr="00DA3766">
        <w:t>4</w:t>
      </w:r>
      <w:r w:rsidRPr="00DA3766">
        <w:t>、本人如违反上述承诺，对公众投资者或其他第三方造成损害的，将依法承担赔偿责任。</w:t>
      </w:r>
      <w:r w:rsidRPr="00DA3766">
        <w:rPr>
          <w:rFonts w:ascii="宋体" w:hAnsi="宋体"/>
        </w:rPr>
        <w:t>”</w:t>
      </w:r>
    </w:p>
    <w:p w14:paraId="51F8E5EA" w14:textId="573B9F97" w:rsidR="00407341" w:rsidRPr="00DA3766" w:rsidRDefault="00407341" w:rsidP="008A1B9E">
      <w:pPr>
        <w:pStyle w:val="005"/>
        <w:spacing w:before="120" w:after="120"/>
        <w:ind w:firstLine="480"/>
      </w:pPr>
      <w:r w:rsidRPr="00DA3766">
        <w:t>综上所述，杨裕雄入股价格低于本次交易估值系由于交易背景差异导致，具有合理性，不存在股份支付或利益输送情形。</w:t>
      </w:r>
    </w:p>
    <w:p w14:paraId="33B267F8" w14:textId="4E876D76" w:rsidR="00407341" w:rsidRPr="00DA3766" w:rsidRDefault="00407341" w:rsidP="00407341">
      <w:pPr>
        <w:pStyle w:val="003"/>
        <w:spacing w:before="120" w:after="120"/>
        <w:ind w:firstLine="482"/>
      </w:pPr>
      <w:r w:rsidRPr="00DA3766">
        <w:t>（四）杨裕雄所持股权未纳入本次交易的原因及后续收购计划，杨裕雄所持股权是否受限</w:t>
      </w:r>
    </w:p>
    <w:p w14:paraId="30BD677A" w14:textId="343BE9E7" w:rsidR="00407341" w:rsidRPr="00DA3766" w:rsidRDefault="00407341" w:rsidP="008A1B9E">
      <w:pPr>
        <w:pStyle w:val="005"/>
        <w:spacing w:before="120" w:after="120"/>
        <w:ind w:firstLine="480"/>
      </w:pPr>
      <w:r w:rsidRPr="00DA3766">
        <w:t>经杨裕雄书面确认并经访谈上市公司，杨裕雄所持股权未纳入本次交易系由于杨裕雄未能就转让价格、方式等相关条款与上市公司达成一致</w:t>
      </w:r>
      <w:r w:rsidR="005C4196" w:rsidRPr="00DA3766">
        <w:t>。具体而言，杨裕雄看好标的公司未来发展，相较于本次交易中以</w:t>
      </w:r>
      <w:r w:rsidR="005C4196" w:rsidRPr="00DA3766">
        <w:t>8</w:t>
      </w:r>
      <w:r w:rsidR="005C4196" w:rsidRPr="00DA3766">
        <w:t>亿元估值出售其持有的标的公司股权，更倾向于长期持有标的公司股权以获得长远分红收益或待标的公司盈利水平持续提升后以择机出售。此外，杨裕雄持有标的公司的股权属于</w:t>
      </w:r>
      <w:r w:rsidR="002917C0" w:rsidRPr="00DA3766">
        <w:t>重组交易前</w:t>
      </w:r>
      <w:r w:rsidR="002917C0" w:rsidRPr="00DA3766">
        <w:t>12</w:t>
      </w:r>
      <w:r w:rsidR="002917C0" w:rsidRPr="00DA3766">
        <w:t>个月内取得的标的公司股份</w:t>
      </w:r>
      <w:r w:rsidR="005C4196" w:rsidRPr="00DA3766">
        <w:t>，根据法律法规要求因本次交易取得的上市公司股权需锁定</w:t>
      </w:r>
      <w:r w:rsidR="005C4196" w:rsidRPr="00DA3766">
        <w:t>36</w:t>
      </w:r>
      <w:r w:rsidR="005C4196" w:rsidRPr="00DA3766">
        <w:t>个月，对锁定期安排亦未达成一致。</w:t>
      </w:r>
      <w:r w:rsidRPr="00DA3766">
        <w:t>杨裕雄</w:t>
      </w:r>
      <w:r w:rsidR="008C23CC" w:rsidRPr="00DA3766">
        <w:t>已书面确认</w:t>
      </w:r>
      <w:r w:rsidRPr="00DA3766">
        <w:t>自愿放弃参与本次交易。截至本回复出具之日，上市公司与杨裕雄未就后续收购达成任何收购计划。</w:t>
      </w:r>
    </w:p>
    <w:p w14:paraId="63F5B4B3" w14:textId="6D377C26" w:rsidR="00407341" w:rsidRPr="00DA3766" w:rsidRDefault="00407341" w:rsidP="008A1B9E">
      <w:pPr>
        <w:pStyle w:val="005"/>
        <w:spacing w:before="120" w:after="120"/>
        <w:ind w:firstLine="480"/>
      </w:pPr>
      <w:r w:rsidRPr="00DA3766">
        <w:t>根据标的公司现行有效的章程、杨裕雄出具的调查表并经访谈确认、网络检索核查，杨裕雄所持标的公司股权不存在质押、冻结或其他权利受限情形。</w:t>
      </w:r>
    </w:p>
    <w:p w14:paraId="4FE6395C" w14:textId="7989246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bookmarkEnd w:id="254"/>
    </w:p>
    <w:p w14:paraId="0F4F738F" w14:textId="54FAD870" w:rsidR="00407341" w:rsidRPr="00DA3766" w:rsidRDefault="00407341" w:rsidP="00407341">
      <w:pPr>
        <w:pStyle w:val="002"/>
        <w:spacing w:before="120" w:after="120"/>
        <w:ind w:firstLine="482"/>
      </w:pPr>
      <w:bookmarkStart w:id="255" w:name="_Hlk219330727"/>
      <w:r w:rsidRPr="00DA3766">
        <w:t>七、标的资产是否存在股权代持、股权质押冻结、争议纠纷或潜在纠纷，股权是否清晰等情形，未来资产过户是否不存在障碍</w:t>
      </w:r>
    </w:p>
    <w:bookmarkEnd w:id="255"/>
    <w:p w14:paraId="7FEE5F22" w14:textId="6BFA67B9" w:rsidR="00407341" w:rsidRPr="00DA3766" w:rsidRDefault="00407341" w:rsidP="00407341">
      <w:pPr>
        <w:pStyle w:val="003"/>
        <w:spacing w:before="120" w:after="120"/>
        <w:ind w:firstLine="482"/>
      </w:pPr>
      <w:r w:rsidRPr="00DA3766">
        <w:t>（一）标的资产历史上</w:t>
      </w:r>
      <w:r w:rsidR="00176D50" w:rsidRPr="00DA3766">
        <w:t>股权代持的形成背景、代持过程及解除情况</w:t>
      </w:r>
    </w:p>
    <w:p w14:paraId="4771BD4B" w14:textId="006A22EA" w:rsidR="00407341" w:rsidRPr="00DA3766" w:rsidRDefault="00407341" w:rsidP="008A1B9E">
      <w:pPr>
        <w:pStyle w:val="005"/>
        <w:spacing w:before="120" w:after="120"/>
        <w:ind w:firstLine="480"/>
      </w:pPr>
      <w:r w:rsidRPr="00DA3766">
        <w:t>经核查，</w:t>
      </w:r>
      <w:bookmarkStart w:id="256" w:name="_Hlk219375298"/>
      <w:bookmarkStart w:id="257" w:name="_Hlk219375158"/>
      <w:r w:rsidRPr="00DA3766">
        <w:t>标的</w:t>
      </w:r>
      <w:r w:rsidR="00176D50" w:rsidRPr="00DA3766">
        <w:t>资产</w:t>
      </w:r>
      <w:r w:rsidRPr="00DA3766">
        <w:t>历史上存在陈耿豪在持股平台代员工持有激励股权以及张杰波代杨凯然在持股平台持股情况，其形成背景、代持过程、解除情况具体如下</w:t>
      </w:r>
      <w:bookmarkEnd w:id="256"/>
      <w:r w:rsidRPr="00DA3766">
        <w:t>：</w:t>
      </w:r>
    </w:p>
    <w:tbl>
      <w:tblPr>
        <w:tblW w:w="524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185"/>
        <w:gridCol w:w="938"/>
        <w:gridCol w:w="959"/>
        <w:gridCol w:w="1086"/>
        <w:gridCol w:w="1347"/>
        <w:gridCol w:w="1577"/>
        <w:gridCol w:w="1738"/>
      </w:tblGrid>
      <w:tr w:rsidR="00F519FC" w:rsidRPr="00DA3766" w14:paraId="0C41721F" w14:textId="77777777" w:rsidTr="007F36AF">
        <w:trPr>
          <w:trHeight w:val="397"/>
          <w:tblHeader/>
          <w:jc w:val="center"/>
        </w:trPr>
        <w:tc>
          <w:tcPr>
            <w:tcW w:w="671" w:type="pct"/>
            <w:tcMar>
              <w:top w:w="0" w:type="dxa"/>
              <w:bottom w:w="0" w:type="dxa"/>
            </w:tcMar>
            <w:vAlign w:val="center"/>
          </w:tcPr>
          <w:p w14:paraId="7177D13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发生时间</w:t>
            </w:r>
          </w:p>
        </w:tc>
        <w:tc>
          <w:tcPr>
            <w:tcW w:w="531" w:type="pct"/>
            <w:tcMar>
              <w:top w:w="0" w:type="dxa"/>
              <w:bottom w:w="0" w:type="dxa"/>
            </w:tcMar>
            <w:vAlign w:val="center"/>
          </w:tcPr>
          <w:p w14:paraId="1CA3200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代持人</w:t>
            </w:r>
          </w:p>
        </w:tc>
        <w:tc>
          <w:tcPr>
            <w:tcW w:w="543" w:type="pct"/>
            <w:tcMar>
              <w:top w:w="0" w:type="dxa"/>
              <w:bottom w:w="0" w:type="dxa"/>
            </w:tcMar>
            <w:vAlign w:val="center"/>
          </w:tcPr>
          <w:p w14:paraId="3911552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被代持人</w:t>
            </w:r>
          </w:p>
        </w:tc>
        <w:tc>
          <w:tcPr>
            <w:tcW w:w="615" w:type="pct"/>
            <w:tcMar>
              <w:top w:w="0" w:type="dxa"/>
              <w:bottom w:w="0" w:type="dxa"/>
            </w:tcMar>
            <w:vAlign w:val="center"/>
          </w:tcPr>
          <w:p w14:paraId="68FDCA5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代持份额所在平台</w:t>
            </w:r>
          </w:p>
        </w:tc>
        <w:tc>
          <w:tcPr>
            <w:tcW w:w="763" w:type="pct"/>
            <w:tcMar>
              <w:top w:w="0" w:type="dxa"/>
              <w:bottom w:w="0" w:type="dxa"/>
            </w:tcMar>
            <w:vAlign w:val="center"/>
          </w:tcPr>
          <w:p w14:paraId="3EEB72AA" w14:textId="77777777" w:rsidR="007F36AF"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代持份额</w:t>
            </w:r>
          </w:p>
          <w:p w14:paraId="6B480C0C" w14:textId="699AB773"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（万元）</w:t>
            </w:r>
          </w:p>
        </w:tc>
        <w:tc>
          <w:tcPr>
            <w:tcW w:w="893" w:type="pct"/>
            <w:tcMar>
              <w:top w:w="0" w:type="dxa"/>
              <w:bottom w:w="0" w:type="dxa"/>
            </w:tcMar>
            <w:vAlign w:val="center"/>
          </w:tcPr>
          <w:p w14:paraId="46031B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代持背景</w:t>
            </w:r>
          </w:p>
        </w:tc>
        <w:tc>
          <w:tcPr>
            <w:tcW w:w="984" w:type="pct"/>
            <w:tcMar>
              <w:top w:w="0" w:type="dxa"/>
              <w:bottom w:w="0" w:type="dxa"/>
            </w:tcMar>
            <w:vAlign w:val="center"/>
          </w:tcPr>
          <w:p w14:paraId="1B75AB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解除原因及过程</w:t>
            </w:r>
          </w:p>
        </w:tc>
      </w:tr>
      <w:tr w:rsidR="00F519FC" w:rsidRPr="00DA3766" w14:paraId="7F6539CC" w14:textId="77777777" w:rsidTr="007F36AF">
        <w:trPr>
          <w:trHeight w:val="397"/>
          <w:jc w:val="center"/>
        </w:trPr>
        <w:tc>
          <w:tcPr>
            <w:tcW w:w="671" w:type="pct"/>
            <w:tcMar>
              <w:top w:w="0" w:type="dxa"/>
              <w:bottom w:w="0" w:type="dxa"/>
            </w:tcMar>
            <w:vAlign w:val="center"/>
          </w:tcPr>
          <w:p w14:paraId="45C3D399"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2017.08.16</w:t>
            </w:r>
          </w:p>
        </w:tc>
        <w:tc>
          <w:tcPr>
            <w:tcW w:w="531" w:type="pct"/>
            <w:tcMar>
              <w:top w:w="0" w:type="dxa"/>
              <w:bottom w:w="0" w:type="dxa"/>
            </w:tcMar>
            <w:vAlign w:val="center"/>
          </w:tcPr>
          <w:p w14:paraId="0499613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张杰波</w:t>
            </w:r>
          </w:p>
        </w:tc>
        <w:tc>
          <w:tcPr>
            <w:tcW w:w="543" w:type="pct"/>
            <w:tcMar>
              <w:top w:w="0" w:type="dxa"/>
              <w:bottom w:w="0" w:type="dxa"/>
            </w:tcMar>
            <w:vAlign w:val="center"/>
          </w:tcPr>
          <w:p w14:paraId="0B340DA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66FD2EE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乐摇</w:t>
            </w:r>
          </w:p>
        </w:tc>
        <w:tc>
          <w:tcPr>
            <w:tcW w:w="763" w:type="pct"/>
            <w:tcMar>
              <w:top w:w="0" w:type="dxa"/>
              <w:bottom w:w="0" w:type="dxa"/>
            </w:tcMar>
            <w:vAlign w:val="center"/>
          </w:tcPr>
          <w:p w14:paraId="19FDA00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62.0335</w:t>
            </w:r>
            <w:r w:rsidRPr="00DA3766">
              <w:rPr>
                <w:rFonts w:ascii="Times New Roman" w:hAnsi="Times New Roman" w:cs="Times New Roman"/>
                <w:color w:val="000000"/>
                <w:sz w:val="21"/>
                <w:szCs w:val="21"/>
                <w:lang w:bidi="ar"/>
              </w:rPr>
              <w:t>万元</w:t>
            </w:r>
          </w:p>
        </w:tc>
        <w:tc>
          <w:tcPr>
            <w:tcW w:w="893" w:type="pct"/>
            <w:tcMar>
              <w:top w:w="0" w:type="dxa"/>
              <w:bottom w:w="0" w:type="dxa"/>
            </w:tcMar>
            <w:vAlign w:val="center"/>
          </w:tcPr>
          <w:p w14:paraId="31F0D7ED" w14:textId="6BC3EE23"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张杰波、杨凯然均属于标的公司创始团队成员，</w:t>
            </w:r>
            <w:r w:rsidRPr="00DA3766">
              <w:rPr>
                <w:rFonts w:ascii="Times New Roman" w:hAnsi="Times New Roman" w:cs="Times New Roman"/>
                <w:color w:val="000000"/>
                <w:sz w:val="21"/>
                <w:szCs w:val="21"/>
                <w:lang w:bidi="ar"/>
              </w:rPr>
              <w:t>2017</w:t>
            </w:r>
            <w:r w:rsidRPr="00DA3766">
              <w:rPr>
                <w:rFonts w:ascii="Times New Roman" w:hAnsi="Times New Roman" w:cs="Times New Roman"/>
                <w:color w:val="000000"/>
                <w:sz w:val="21"/>
                <w:szCs w:val="21"/>
                <w:lang w:bidi="ar"/>
              </w:rPr>
              <w:t>年因蜜芽宝贝退出部分持股，由乐摇承接，为便于操作，本次承接所需资金由张杰波向乐摇出资方式提供，实际权益经标的公司创始团队商议为张杰波、杨凯然分别持有，其中杨凯然持有</w:t>
            </w:r>
            <w:r w:rsidRPr="00DA3766">
              <w:rPr>
                <w:rFonts w:ascii="Times New Roman" w:hAnsi="Times New Roman" w:cs="Times New Roman"/>
                <w:color w:val="000000"/>
                <w:sz w:val="21"/>
                <w:szCs w:val="21"/>
                <w:lang w:bidi="ar"/>
              </w:rPr>
              <w:t>62.0335</w:t>
            </w:r>
            <w:r w:rsidRPr="00DA3766">
              <w:rPr>
                <w:rFonts w:ascii="Times New Roman" w:hAnsi="Times New Roman" w:cs="Times New Roman"/>
                <w:color w:val="000000"/>
                <w:sz w:val="21"/>
                <w:szCs w:val="21"/>
                <w:lang w:bidi="ar"/>
              </w:rPr>
              <w:t>万元合伙份额</w:t>
            </w:r>
          </w:p>
        </w:tc>
        <w:tc>
          <w:tcPr>
            <w:tcW w:w="984" w:type="pct"/>
            <w:tcMar>
              <w:top w:w="0" w:type="dxa"/>
              <w:bottom w:w="0" w:type="dxa"/>
            </w:tcMar>
            <w:vAlign w:val="center"/>
          </w:tcPr>
          <w:p w14:paraId="185E759C" w14:textId="1D4642F6"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月，双方签署《代持还原协议》，明确了之前的代持关系及代持还原事项。</w:t>
            </w:r>
          </w:p>
          <w:p w14:paraId="7AD2ADDF"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本次代持由张杰波代持合伙份额对应乐摇所持星云开物股权直接转让给杨凯然，张杰波在和合伙平台对应减少相应部分的出资额方式完成还原。</w:t>
            </w:r>
          </w:p>
        </w:tc>
      </w:tr>
      <w:tr w:rsidR="00445CAC" w:rsidRPr="00DA3766" w14:paraId="5A77A6A0" w14:textId="77777777" w:rsidTr="007F36AF">
        <w:trPr>
          <w:trHeight w:val="397"/>
          <w:jc w:val="center"/>
        </w:trPr>
        <w:tc>
          <w:tcPr>
            <w:tcW w:w="671" w:type="pct"/>
            <w:tcMar>
              <w:top w:w="0" w:type="dxa"/>
              <w:bottom w:w="0" w:type="dxa"/>
            </w:tcMar>
            <w:vAlign w:val="center"/>
          </w:tcPr>
          <w:p w14:paraId="696735A0" w14:textId="77777777"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37813855"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35ADC5C"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王佳</w:t>
            </w:r>
          </w:p>
        </w:tc>
        <w:tc>
          <w:tcPr>
            <w:tcW w:w="615" w:type="pct"/>
            <w:tcMar>
              <w:top w:w="0" w:type="dxa"/>
              <w:bottom w:w="0" w:type="dxa"/>
            </w:tcMar>
            <w:vAlign w:val="center"/>
          </w:tcPr>
          <w:p w14:paraId="7FC49A32"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乐洋洋</w:t>
            </w:r>
          </w:p>
        </w:tc>
        <w:tc>
          <w:tcPr>
            <w:tcW w:w="763" w:type="pct"/>
            <w:tcMar>
              <w:top w:w="0" w:type="dxa"/>
              <w:bottom w:w="0" w:type="dxa"/>
            </w:tcMar>
            <w:vAlign w:val="center"/>
          </w:tcPr>
          <w:p w14:paraId="345C7C35"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5.7627</w:t>
            </w:r>
            <w:r w:rsidRPr="00DA3766">
              <w:rPr>
                <w:rFonts w:ascii="Times New Roman" w:hAnsi="Times New Roman" w:cs="Times New Roman"/>
                <w:color w:val="000000"/>
                <w:sz w:val="21"/>
                <w:szCs w:val="21"/>
                <w:lang w:bidi="ar"/>
              </w:rPr>
              <w:t>万元</w:t>
            </w:r>
          </w:p>
        </w:tc>
        <w:tc>
          <w:tcPr>
            <w:tcW w:w="893" w:type="pct"/>
            <w:vMerge w:val="restart"/>
            <w:tcMar>
              <w:top w:w="0" w:type="dxa"/>
              <w:bottom w:w="0" w:type="dxa"/>
            </w:tcMar>
            <w:vAlign w:val="center"/>
          </w:tcPr>
          <w:p w14:paraId="5B15C376" w14:textId="01256136"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标的公司于</w:t>
            </w:r>
            <w:r w:rsidRPr="00DA3766">
              <w:rPr>
                <w:rFonts w:ascii="Times New Roman" w:hAnsi="Times New Roman" w:cs="Times New Roman"/>
                <w:color w:val="000000"/>
                <w:sz w:val="21"/>
                <w:szCs w:val="21"/>
                <w:lang w:bidi="ar"/>
              </w:rPr>
              <w:t>2022</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4</w:t>
            </w:r>
            <w:r w:rsidRPr="00DA3766">
              <w:rPr>
                <w:rFonts w:ascii="Times New Roman" w:hAnsi="Times New Roman" w:cs="Times New Roman"/>
                <w:color w:val="000000"/>
                <w:sz w:val="21"/>
                <w:szCs w:val="21"/>
                <w:lang w:bidi="ar"/>
              </w:rPr>
              <w:t>月进行股权激励授予，王佳为被激励对象之一，因本次激励被激励对象获授激励股权对价均来源于向实控人陈耿豪的借款，经代持人与被代持人商议，决定在后续还款时对激励股权真实持有方进行显名</w:t>
            </w:r>
          </w:p>
        </w:tc>
        <w:tc>
          <w:tcPr>
            <w:tcW w:w="984" w:type="pct"/>
            <w:vMerge w:val="restart"/>
            <w:tcMar>
              <w:top w:w="0" w:type="dxa"/>
              <w:bottom w:w="0" w:type="dxa"/>
            </w:tcMar>
            <w:vAlign w:val="center"/>
          </w:tcPr>
          <w:p w14:paraId="0A2497C2"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月，双方签署了《代持解除协议》明确了之前的代持关系及代持还原事项。</w:t>
            </w:r>
          </w:p>
          <w:p w14:paraId="2D1A067D" w14:textId="38DEAF1D"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本次代持由陈耿豪代持合伙份额对应乐洋洋、乐悠悠所持星云开物股权直接转让给王佳、杨凯然，陈耿豪在合伙平台对应减少相应部分的出资额方式完成还原。</w:t>
            </w:r>
          </w:p>
        </w:tc>
      </w:tr>
      <w:tr w:rsidR="00445CAC" w:rsidRPr="00DA3766" w14:paraId="2943D6B9" w14:textId="77777777" w:rsidTr="007F36AF">
        <w:trPr>
          <w:trHeight w:val="397"/>
          <w:jc w:val="center"/>
        </w:trPr>
        <w:tc>
          <w:tcPr>
            <w:tcW w:w="671" w:type="pct"/>
            <w:tcMar>
              <w:top w:w="0" w:type="dxa"/>
              <w:bottom w:w="0" w:type="dxa"/>
            </w:tcMar>
            <w:vAlign w:val="center"/>
          </w:tcPr>
          <w:p w14:paraId="3BA37465" w14:textId="107E351D"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8B52C13" w14:textId="54C84824"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9687F2A" w14:textId="2284662C"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28E332D2" w14:textId="4C505856"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乐洋洋</w:t>
            </w:r>
          </w:p>
        </w:tc>
        <w:tc>
          <w:tcPr>
            <w:tcW w:w="763" w:type="pct"/>
            <w:tcMar>
              <w:top w:w="0" w:type="dxa"/>
              <w:bottom w:w="0" w:type="dxa"/>
            </w:tcMar>
            <w:vAlign w:val="center"/>
          </w:tcPr>
          <w:p w14:paraId="2F215D7C" w14:textId="4159B77B"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7.5915</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2E0C248E"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01154D51"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r>
      <w:tr w:rsidR="00445CAC" w:rsidRPr="00DA3766" w14:paraId="5AF9DEE0" w14:textId="77777777" w:rsidTr="007F36AF">
        <w:trPr>
          <w:trHeight w:val="397"/>
          <w:jc w:val="center"/>
        </w:trPr>
        <w:tc>
          <w:tcPr>
            <w:tcW w:w="671" w:type="pct"/>
            <w:tcMar>
              <w:top w:w="0" w:type="dxa"/>
              <w:bottom w:w="0" w:type="dxa"/>
            </w:tcMar>
            <w:vAlign w:val="center"/>
          </w:tcPr>
          <w:p w14:paraId="231FDF17" w14:textId="59D4AE05"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18BE4CA6" w14:textId="4F24D473"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78F473B" w14:textId="52F7296D"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2EAC94DA" w14:textId="6EFD18C8"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乐悠悠</w:t>
            </w:r>
          </w:p>
        </w:tc>
        <w:tc>
          <w:tcPr>
            <w:tcW w:w="763" w:type="pct"/>
            <w:tcMar>
              <w:top w:w="0" w:type="dxa"/>
              <w:bottom w:w="0" w:type="dxa"/>
            </w:tcMar>
            <w:vAlign w:val="center"/>
          </w:tcPr>
          <w:p w14:paraId="2DD730AF" w14:textId="7EAC96DB"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0.2293</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337379F9"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701B1B79"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r>
      <w:tr w:rsidR="00F519FC" w:rsidRPr="00DA3766" w14:paraId="3095CBC6" w14:textId="77777777" w:rsidTr="007F36AF">
        <w:trPr>
          <w:trHeight w:val="397"/>
          <w:jc w:val="center"/>
        </w:trPr>
        <w:tc>
          <w:tcPr>
            <w:tcW w:w="671" w:type="pct"/>
            <w:tcMar>
              <w:top w:w="0" w:type="dxa"/>
              <w:bottom w:w="0" w:type="dxa"/>
            </w:tcMar>
            <w:vAlign w:val="center"/>
          </w:tcPr>
          <w:p w14:paraId="3B403153"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8B117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CEE5E6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陈腾蛟</w:t>
            </w:r>
          </w:p>
        </w:tc>
        <w:tc>
          <w:tcPr>
            <w:tcW w:w="615" w:type="pct"/>
            <w:tcMar>
              <w:top w:w="0" w:type="dxa"/>
              <w:bottom w:w="0" w:type="dxa"/>
            </w:tcMar>
            <w:vAlign w:val="center"/>
          </w:tcPr>
          <w:p w14:paraId="4FA816F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E86E0F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val="restart"/>
            <w:tcMar>
              <w:top w:w="0" w:type="dxa"/>
              <w:bottom w:w="0" w:type="dxa"/>
            </w:tcMar>
            <w:vAlign w:val="center"/>
          </w:tcPr>
          <w:p w14:paraId="17725E7F" w14:textId="6E2F70DC"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标的公司于</w:t>
            </w:r>
            <w:r w:rsidRPr="00DA3766">
              <w:rPr>
                <w:rFonts w:ascii="Times New Roman" w:hAnsi="Times New Roman" w:cs="Times New Roman"/>
                <w:color w:val="000000"/>
                <w:sz w:val="21"/>
                <w:szCs w:val="21"/>
                <w:lang w:bidi="ar"/>
              </w:rPr>
              <w:t>2022</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4</w:t>
            </w:r>
            <w:r w:rsidRPr="00DA3766">
              <w:rPr>
                <w:rFonts w:ascii="Times New Roman" w:hAnsi="Times New Roman" w:cs="Times New Roman"/>
                <w:color w:val="000000"/>
                <w:sz w:val="21"/>
                <w:szCs w:val="21"/>
                <w:lang w:bidi="ar"/>
              </w:rPr>
              <w:t>月进行股权激励授予，被代持人为被激励对象之一，因本次激励被激励对象获授激励股权对价均来源于向实控人陈耿豪的借款，经代持人与被代持人商议，决定在后续</w:t>
            </w:r>
            <w:r w:rsidRPr="00DA3766">
              <w:rPr>
                <w:rFonts w:ascii="Times New Roman" w:hAnsi="Times New Roman" w:cs="Times New Roman"/>
                <w:color w:val="000000"/>
                <w:sz w:val="21"/>
                <w:szCs w:val="21"/>
                <w:lang w:bidi="ar"/>
              </w:rPr>
              <w:lastRenderedPageBreak/>
              <w:t>还款时对激励股权真实持有方进行显名</w:t>
            </w:r>
          </w:p>
        </w:tc>
        <w:tc>
          <w:tcPr>
            <w:tcW w:w="984" w:type="pct"/>
            <w:vMerge w:val="restart"/>
            <w:tcMar>
              <w:top w:w="0" w:type="dxa"/>
              <w:bottom w:w="0" w:type="dxa"/>
            </w:tcMar>
            <w:vAlign w:val="center"/>
          </w:tcPr>
          <w:p w14:paraId="7691F735"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月，代持方与被代持方签署了《代持解除协议》明确了之前的代持关系及代持还原事项。</w:t>
            </w:r>
          </w:p>
          <w:p w14:paraId="58C59FF1"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具体由代持方将代持的合伙份额直接通过转让方式还原至被代持方名下</w:t>
            </w:r>
          </w:p>
        </w:tc>
      </w:tr>
      <w:tr w:rsidR="00F519FC" w:rsidRPr="00DA3766" w14:paraId="102472C1" w14:textId="77777777" w:rsidTr="007F36AF">
        <w:trPr>
          <w:trHeight w:val="397"/>
          <w:jc w:val="center"/>
        </w:trPr>
        <w:tc>
          <w:tcPr>
            <w:tcW w:w="671" w:type="pct"/>
            <w:tcMar>
              <w:top w:w="0" w:type="dxa"/>
              <w:bottom w:w="0" w:type="dxa"/>
            </w:tcMar>
            <w:vAlign w:val="center"/>
          </w:tcPr>
          <w:p w14:paraId="7DB741F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A6BB00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04CAEA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周修亮</w:t>
            </w:r>
          </w:p>
        </w:tc>
        <w:tc>
          <w:tcPr>
            <w:tcW w:w="615" w:type="pct"/>
            <w:tcMar>
              <w:top w:w="0" w:type="dxa"/>
              <w:bottom w:w="0" w:type="dxa"/>
            </w:tcMar>
            <w:vAlign w:val="center"/>
          </w:tcPr>
          <w:p w14:paraId="68D5C3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6BC8DFA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0.5926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143859F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D77988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B99AF97" w14:textId="77777777" w:rsidTr="007F36AF">
        <w:trPr>
          <w:trHeight w:val="397"/>
          <w:jc w:val="center"/>
        </w:trPr>
        <w:tc>
          <w:tcPr>
            <w:tcW w:w="671" w:type="pct"/>
            <w:tcMar>
              <w:top w:w="0" w:type="dxa"/>
              <w:bottom w:w="0" w:type="dxa"/>
            </w:tcMar>
            <w:vAlign w:val="center"/>
          </w:tcPr>
          <w:p w14:paraId="6153108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AAF0B8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859074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刘天雄</w:t>
            </w:r>
          </w:p>
        </w:tc>
        <w:tc>
          <w:tcPr>
            <w:tcW w:w="615" w:type="pct"/>
            <w:tcMar>
              <w:top w:w="0" w:type="dxa"/>
              <w:bottom w:w="0" w:type="dxa"/>
            </w:tcMar>
            <w:vAlign w:val="center"/>
          </w:tcPr>
          <w:p w14:paraId="4A78866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CC9214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0.5926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1B0F08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4E761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DD372B6" w14:textId="77777777" w:rsidTr="007F36AF">
        <w:trPr>
          <w:trHeight w:val="397"/>
          <w:jc w:val="center"/>
        </w:trPr>
        <w:tc>
          <w:tcPr>
            <w:tcW w:w="671" w:type="pct"/>
            <w:tcMar>
              <w:top w:w="0" w:type="dxa"/>
              <w:bottom w:w="0" w:type="dxa"/>
            </w:tcMar>
            <w:vAlign w:val="center"/>
          </w:tcPr>
          <w:p w14:paraId="41F1F39F"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A1BE45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B13C5A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谢岳生</w:t>
            </w:r>
          </w:p>
        </w:tc>
        <w:tc>
          <w:tcPr>
            <w:tcW w:w="615" w:type="pct"/>
            <w:tcMar>
              <w:top w:w="0" w:type="dxa"/>
              <w:bottom w:w="0" w:type="dxa"/>
            </w:tcMar>
            <w:vAlign w:val="center"/>
          </w:tcPr>
          <w:p w14:paraId="6093899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71236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1.4814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0C0D13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D57012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4E37A0A6" w14:textId="77777777" w:rsidTr="007F36AF">
        <w:trPr>
          <w:trHeight w:val="397"/>
          <w:jc w:val="center"/>
        </w:trPr>
        <w:tc>
          <w:tcPr>
            <w:tcW w:w="671" w:type="pct"/>
            <w:tcMar>
              <w:top w:w="0" w:type="dxa"/>
              <w:bottom w:w="0" w:type="dxa"/>
            </w:tcMar>
            <w:vAlign w:val="center"/>
          </w:tcPr>
          <w:p w14:paraId="53E45F2C"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B23F78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DDB8FA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余李娜</w:t>
            </w:r>
          </w:p>
        </w:tc>
        <w:tc>
          <w:tcPr>
            <w:tcW w:w="615" w:type="pct"/>
            <w:tcMar>
              <w:top w:w="0" w:type="dxa"/>
              <w:bottom w:w="0" w:type="dxa"/>
            </w:tcMar>
            <w:vAlign w:val="center"/>
          </w:tcPr>
          <w:p w14:paraId="5B2371C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9CFE2C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2.2222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73B310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B0FF50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672F70A" w14:textId="77777777" w:rsidTr="007F36AF">
        <w:trPr>
          <w:trHeight w:val="397"/>
          <w:jc w:val="center"/>
        </w:trPr>
        <w:tc>
          <w:tcPr>
            <w:tcW w:w="671" w:type="pct"/>
            <w:tcMar>
              <w:top w:w="0" w:type="dxa"/>
              <w:bottom w:w="0" w:type="dxa"/>
            </w:tcMar>
            <w:vAlign w:val="center"/>
          </w:tcPr>
          <w:p w14:paraId="471AE65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E041A0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E67911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曾嘉宇</w:t>
            </w:r>
          </w:p>
        </w:tc>
        <w:tc>
          <w:tcPr>
            <w:tcW w:w="615" w:type="pct"/>
            <w:tcMar>
              <w:top w:w="0" w:type="dxa"/>
              <w:bottom w:w="0" w:type="dxa"/>
            </w:tcMar>
            <w:vAlign w:val="center"/>
          </w:tcPr>
          <w:p w14:paraId="5636775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28E6B0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CADAF0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2F0AEE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03D1855C" w14:textId="77777777" w:rsidTr="007F36AF">
        <w:trPr>
          <w:trHeight w:val="397"/>
          <w:jc w:val="center"/>
        </w:trPr>
        <w:tc>
          <w:tcPr>
            <w:tcW w:w="671" w:type="pct"/>
            <w:tcMar>
              <w:top w:w="0" w:type="dxa"/>
              <w:bottom w:w="0" w:type="dxa"/>
            </w:tcMar>
            <w:vAlign w:val="center"/>
          </w:tcPr>
          <w:p w14:paraId="237BFEA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6E5BD4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69A96B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邓斌</w:t>
            </w:r>
          </w:p>
        </w:tc>
        <w:tc>
          <w:tcPr>
            <w:tcW w:w="615" w:type="pct"/>
            <w:tcMar>
              <w:top w:w="0" w:type="dxa"/>
              <w:bottom w:w="0" w:type="dxa"/>
            </w:tcMar>
            <w:vAlign w:val="center"/>
          </w:tcPr>
          <w:p w14:paraId="4393FEF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FA8E41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1.4814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D43B74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81DA1B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67C826C0" w14:textId="77777777" w:rsidTr="007F36AF">
        <w:trPr>
          <w:trHeight w:val="397"/>
          <w:jc w:val="center"/>
        </w:trPr>
        <w:tc>
          <w:tcPr>
            <w:tcW w:w="671" w:type="pct"/>
            <w:tcMar>
              <w:top w:w="0" w:type="dxa"/>
              <w:bottom w:w="0" w:type="dxa"/>
            </w:tcMar>
            <w:vAlign w:val="center"/>
          </w:tcPr>
          <w:p w14:paraId="17F5BD6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9705EA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6ED04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徐影</w:t>
            </w:r>
          </w:p>
        </w:tc>
        <w:tc>
          <w:tcPr>
            <w:tcW w:w="615" w:type="pct"/>
            <w:tcMar>
              <w:top w:w="0" w:type="dxa"/>
              <w:bottom w:w="0" w:type="dxa"/>
            </w:tcMar>
            <w:vAlign w:val="center"/>
          </w:tcPr>
          <w:p w14:paraId="7DD304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235FDC4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F92FB9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171DA1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29E844A" w14:textId="77777777" w:rsidTr="007F36AF">
        <w:trPr>
          <w:trHeight w:val="397"/>
          <w:jc w:val="center"/>
        </w:trPr>
        <w:tc>
          <w:tcPr>
            <w:tcW w:w="671" w:type="pct"/>
            <w:tcMar>
              <w:top w:w="0" w:type="dxa"/>
              <w:bottom w:w="0" w:type="dxa"/>
            </w:tcMar>
            <w:vAlign w:val="center"/>
          </w:tcPr>
          <w:p w14:paraId="04838CC3"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5BBD5B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20325F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李鹏</w:t>
            </w:r>
          </w:p>
        </w:tc>
        <w:tc>
          <w:tcPr>
            <w:tcW w:w="615" w:type="pct"/>
            <w:tcMar>
              <w:top w:w="0" w:type="dxa"/>
              <w:bottom w:w="0" w:type="dxa"/>
            </w:tcMar>
            <w:vAlign w:val="center"/>
          </w:tcPr>
          <w:p w14:paraId="5DD3ABE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C7681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095206E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B82C3C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46B47709" w14:textId="77777777" w:rsidTr="007F36AF">
        <w:trPr>
          <w:trHeight w:val="397"/>
          <w:jc w:val="center"/>
        </w:trPr>
        <w:tc>
          <w:tcPr>
            <w:tcW w:w="671" w:type="pct"/>
            <w:tcMar>
              <w:top w:w="0" w:type="dxa"/>
              <w:bottom w:w="0" w:type="dxa"/>
            </w:tcMar>
            <w:vAlign w:val="center"/>
          </w:tcPr>
          <w:p w14:paraId="3645C52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2022.04.30</w:t>
            </w:r>
          </w:p>
        </w:tc>
        <w:tc>
          <w:tcPr>
            <w:tcW w:w="531" w:type="pct"/>
            <w:tcMar>
              <w:top w:w="0" w:type="dxa"/>
              <w:bottom w:w="0" w:type="dxa"/>
            </w:tcMar>
            <w:vAlign w:val="center"/>
          </w:tcPr>
          <w:p w14:paraId="2DAA355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5CC932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刘雄培</w:t>
            </w:r>
          </w:p>
        </w:tc>
        <w:tc>
          <w:tcPr>
            <w:tcW w:w="615" w:type="pct"/>
            <w:tcMar>
              <w:top w:w="0" w:type="dxa"/>
              <w:bottom w:w="0" w:type="dxa"/>
            </w:tcMar>
            <w:vAlign w:val="center"/>
          </w:tcPr>
          <w:p w14:paraId="443655D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3884A7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E9D688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F4BB6E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7A5BE06" w14:textId="77777777" w:rsidTr="007F36AF">
        <w:trPr>
          <w:trHeight w:val="397"/>
          <w:jc w:val="center"/>
        </w:trPr>
        <w:tc>
          <w:tcPr>
            <w:tcW w:w="671" w:type="pct"/>
            <w:tcMar>
              <w:top w:w="0" w:type="dxa"/>
              <w:bottom w:w="0" w:type="dxa"/>
            </w:tcMar>
            <w:vAlign w:val="center"/>
          </w:tcPr>
          <w:p w14:paraId="14477A40"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1529A4E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9A7AF2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沈佳琴</w:t>
            </w:r>
          </w:p>
        </w:tc>
        <w:tc>
          <w:tcPr>
            <w:tcW w:w="615" w:type="pct"/>
            <w:tcMar>
              <w:top w:w="0" w:type="dxa"/>
              <w:bottom w:w="0" w:type="dxa"/>
            </w:tcMar>
            <w:vAlign w:val="center"/>
          </w:tcPr>
          <w:p w14:paraId="30F702F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F3AC17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5C1D8B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F4AE7A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34BB6757" w14:textId="77777777" w:rsidTr="007F36AF">
        <w:trPr>
          <w:trHeight w:val="397"/>
          <w:jc w:val="center"/>
        </w:trPr>
        <w:tc>
          <w:tcPr>
            <w:tcW w:w="671" w:type="pct"/>
            <w:tcMar>
              <w:top w:w="0" w:type="dxa"/>
              <w:bottom w:w="0" w:type="dxa"/>
            </w:tcMar>
            <w:vAlign w:val="center"/>
          </w:tcPr>
          <w:p w14:paraId="4C77A32D"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4BBDB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5E560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陈晓淳</w:t>
            </w:r>
          </w:p>
        </w:tc>
        <w:tc>
          <w:tcPr>
            <w:tcW w:w="615" w:type="pct"/>
            <w:tcMar>
              <w:top w:w="0" w:type="dxa"/>
              <w:bottom w:w="0" w:type="dxa"/>
            </w:tcMar>
            <w:vAlign w:val="center"/>
          </w:tcPr>
          <w:p w14:paraId="5BB9536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6FC1C93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1.1112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78506C2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0DE8BD8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0212B2EF" w14:textId="77777777" w:rsidTr="007F36AF">
        <w:trPr>
          <w:trHeight w:val="397"/>
          <w:jc w:val="center"/>
        </w:trPr>
        <w:tc>
          <w:tcPr>
            <w:tcW w:w="671" w:type="pct"/>
            <w:tcMar>
              <w:top w:w="0" w:type="dxa"/>
              <w:bottom w:w="0" w:type="dxa"/>
            </w:tcMar>
            <w:vAlign w:val="center"/>
          </w:tcPr>
          <w:p w14:paraId="14784E26"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65ABD9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228A6D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何华文</w:t>
            </w:r>
          </w:p>
        </w:tc>
        <w:tc>
          <w:tcPr>
            <w:tcW w:w="615" w:type="pct"/>
            <w:tcMar>
              <w:top w:w="0" w:type="dxa"/>
              <w:bottom w:w="0" w:type="dxa"/>
            </w:tcMar>
            <w:vAlign w:val="center"/>
          </w:tcPr>
          <w:p w14:paraId="2C9493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AD8DA4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1.1112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C3B40E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76C5171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2E21F78" w14:textId="77777777" w:rsidTr="007F36AF">
        <w:trPr>
          <w:trHeight w:val="397"/>
          <w:jc w:val="center"/>
        </w:trPr>
        <w:tc>
          <w:tcPr>
            <w:tcW w:w="671" w:type="pct"/>
            <w:tcMar>
              <w:top w:w="0" w:type="dxa"/>
              <w:bottom w:w="0" w:type="dxa"/>
            </w:tcMar>
            <w:vAlign w:val="center"/>
          </w:tcPr>
          <w:p w14:paraId="22672084"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957297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FDDBB7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许伟杰</w:t>
            </w:r>
          </w:p>
        </w:tc>
        <w:tc>
          <w:tcPr>
            <w:tcW w:w="615" w:type="pct"/>
            <w:tcMar>
              <w:top w:w="0" w:type="dxa"/>
              <w:bottom w:w="0" w:type="dxa"/>
            </w:tcMar>
            <w:vAlign w:val="center"/>
          </w:tcPr>
          <w:p w14:paraId="086D1E1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D2847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1.7778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6D3C75C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E8EAF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5C06AF99" w14:textId="77777777" w:rsidTr="007F36AF">
        <w:trPr>
          <w:trHeight w:val="397"/>
          <w:jc w:val="center"/>
        </w:trPr>
        <w:tc>
          <w:tcPr>
            <w:tcW w:w="671" w:type="pct"/>
            <w:tcMar>
              <w:top w:w="0" w:type="dxa"/>
              <w:bottom w:w="0" w:type="dxa"/>
            </w:tcMar>
            <w:vAlign w:val="center"/>
          </w:tcPr>
          <w:p w14:paraId="57DE1031"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D1FFA3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ECF2F0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陈伟健</w:t>
            </w:r>
          </w:p>
        </w:tc>
        <w:tc>
          <w:tcPr>
            <w:tcW w:w="615" w:type="pct"/>
            <w:tcMar>
              <w:top w:w="0" w:type="dxa"/>
              <w:bottom w:w="0" w:type="dxa"/>
            </w:tcMar>
            <w:vAlign w:val="center"/>
          </w:tcPr>
          <w:p w14:paraId="7D4CF78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CC13F9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1.7778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6CB1C2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9A3CD4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A79BF17" w14:textId="77777777" w:rsidTr="007F36AF">
        <w:trPr>
          <w:trHeight w:val="397"/>
          <w:jc w:val="center"/>
        </w:trPr>
        <w:tc>
          <w:tcPr>
            <w:tcW w:w="671" w:type="pct"/>
            <w:tcMar>
              <w:top w:w="0" w:type="dxa"/>
              <w:bottom w:w="0" w:type="dxa"/>
            </w:tcMar>
            <w:vAlign w:val="center"/>
          </w:tcPr>
          <w:p w14:paraId="078B7121"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B7FABB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BEB9C8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张超</w:t>
            </w:r>
          </w:p>
        </w:tc>
        <w:tc>
          <w:tcPr>
            <w:tcW w:w="615" w:type="pct"/>
            <w:tcMar>
              <w:top w:w="0" w:type="dxa"/>
              <w:bottom w:w="0" w:type="dxa"/>
            </w:tcMar>
            <w:vAlign w:val="center"/>
          </w:tcPr>
          <w:p w14:paraId="58E14D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6597DA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3.8884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2372B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2D397F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35892BE" w14:textId="77777777" w:rsidTr="007F36AF">
        <w:trPr>
          <w:trHeight w:val="397"/>
          <w:jc w:val="center"/>
        </w:trPr>
        <w:tc>
          <w:tcPr>
            <w:tcW w:w="671" w:type="pct"/>
            <w:tcMar>
              <w:top w:w="0" w:type="dxa"/>
              <w:bottom w:w="0" w:type="dxa"/>
            </w:tcMar>
            <w:vAlign w:val="center"/>
          </w:tcPr>
          <w:p w14:paraId="75D29F49" w14:textId="78B70C43"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C35BD77" w14:textId="215E4C05"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4B24125" w14:textId="39972206"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6579E3C8" w14:textId="76012195"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10246A78" w14:textId="2472566E"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9.4743</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01525E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324BC4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D0D9DC3" w14:textId="77777777" w:rsidTr="007F36AF">
        <w:trPr>
          <w:trHeight w:val="397"/>
          <w:jc w:val="center"/>
        </w:trPr>
        <w:tc>
          <w:tcPr>
            <w:tcW w:w="671" w:type="pct"/>
            <w:tcMar>
              <w:top w:w="0" w:type="dxa"/>
              <w:bottom w:w="0" w:type="dxa"/>
            </w:tcMar>
            <w:vAlign w:val="center"/>
          </w:tcPr>
          <w:p w14:paraId="4BA49F76"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5863E0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0A0528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杨振彪</w:t>
            </w:r>
          </w:p>
        </w:tc>
        <w:tc>
          <w:tcPr>
            <w:tcW w:w="615" w:type="pct"/>
            <w:tcMar>
              <w:top w:w="0" w:type="dxa"/>
              <w:bottom w:w="0" w:type="dxa"/>
            </w:tcMar>
            <w:vAlign w:val="center"/>
          </w:tcPr>
          <w:p w14:paraId="02DFED0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6393C90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1.0456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793FBF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C1998F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3DAE118" w14:textId="77777777" w:rsidTr="007F36AF">
        <w:trPr>
          <w:trHeight w:val="397"/>
          <w:jc w:val="center"/>
        </w:trPr>
        <w:tc>
          <w:tcPr>
            <w:tcW w:w="671" w:type="pct"/>
            <w:tcMar>
              <w:top w:w="0" w:type="dxa"/>
              <w:bottom w:w="0" w:type="dxa"/>
            </w:tcMar>
            <w:vAlign w:val="center"/>
          </w:tcPr>
          <w:p w14:paraId="7E6A0280"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3EEDF5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DFAC36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谢福明</w:t>
            </w:r>
          </w:p>
        </w:tc>
        <w:tc>
          <w:tcPr>
            <w:tcW w:w="615" w:type="pct"/>
            <w:tcMar>
              <w:top w:w="0" w:type="dxa"/>
              <w:bottom w:w="0" w:type="dxa"/>
            </w:tcMar>
            <w:vAlign w:val="center"/>
          </w:tcPr>
          <w:p w14:paraId="5826319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4C4A118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50902CE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868B45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C9A331D" w14:textId="77777777" w:rsidTr="007F36AF">
        <w:trPr>
          <w:trHeight w:val="397"/>
          <w:jc w:val="center"/>
        </w:trPr>
        <w:tc>
          <w:tcPr>
            <w:tcW w:w="671" w:type="pct"/>
            <w:tcMar>
              <w:top w:w="0" w:type="dxa"/>
              <w:bottom w:w="0" w:type="dxa"/>
            </w:tcMar>
            <w:vAlign w:val="center"/>
          </w:tcPr>
          <w:p w14:paraId="1EFA22BF"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D13C8B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B08BBD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唐小卓</w:t>
            </w:r>
          </w:p>
        </w:tc>
        <w:tc>
          <w:tcPr>
            <w:tcW w:w="615" w:type="pct"/>
            <w:tcMar>
              <w:top w:w="0" w:type="dxa"/>
              <w:bottom w:w="0" w:type="dxa"/>
            </w:tcMar>
            <w:vAlign w:val="center"/>
          </w:tcPr>
          <w:p w14:paraId="191B4ED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47AD8F2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0.8713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85A030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4B8B23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7DFC5708" w14:textId="77777777" w:rsidTr="007F36AF">
        <w:trPr>
          <w:trHeight w:val="397"/>
          <w:jc w:val="center"/>
        </w:trPr>
        <w:tc>
          <w:tcPr>
            <w:tcW w:w="671" w:type="pct"/>
            <w:tcMar>
              <w:top w:w="0" w:type="dxa"/>
              <w:bottom w:w="0" w:type="dxa"/>
            </w:tcMar>
            <w:vAlign w:val="center"/>
          </w:tcPr>
          <w:p w14:paraId="32A7A36C"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4352F7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6769C74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陈珠虹</w:t>
            </w:r>
          </w:p>
        </w:tc>
        <w:tc>
          <w:tcPr>
            <w:tcW w:w="615" w:type="pct"/>
            <w:tcMar>
              <w:top w:w="0" w:type="dxa"/>
              <w:bottom w:w="0" w:type="dxa"/>
            </w:tcMar>
            <w:vAlign w:val="center"/>
          </w:tcPr>
          <w:p w14:paraId="600F0F1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3CC1C6F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70FA7F4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AF617C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571F7C21" w14:textId="77777777" w:rsidTr="007F36AF">
        <w:trPr>
          <w:trHeight w:val="397"/>
          <w:jc w:val="center"/>
        </w:trPr>
        <w:tc>
          <w:tcPr>
            <w:tcW w:w="671" w:type="pct"/>
            <w:tcMar>
              <w:top w:w="0" w:type="dxa"/>
              <w:bottom w:w="0" w:type="dxa"/>
            </w:tcMar>
            <w:vAlign w:val="center"/>
          </w:tcPr>
          <w:p w14:paraId="54A3D168"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BA5543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009D1FE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王维</w:t>
            </w:r>
          </w:p>
        </w:tc>
        <w:tc>
          <w:tcPr>
            <w:tcW w:w="615" w:type="pct"/>
            <w:tcMar>
              <w:top w:w="0" w:type="dxa"/>
              <w:bottom w:w="0" w:type="dxa"/>
            </w:tcMar>
            <w:vAlign w:val="center"/>
          </w:tcPr>
          <w:p w14:paraId="26DE54F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3A6E2BF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F9AB7A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2FB20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3F12C6A" w14:textId="77777777" w:rsidTr="007F36AF">
        <w:trPr>
          <w:trHeight w:val="397"/>
          <w:jc w:val="center"/>
        </w:trPr>
        <w:tc>
          <w:tcPr>
            <w:tcW w:w="671" w:type="pct"/>
            <w:tcMar>
              <w:top w:w="0" w:type="dxa"/>
              <w:bottom w:w="0" w:type="dxa"/>
            </w:tcMar>
            <w:vAlign w:val="center"/>
          </w:tcPr>
          <w:p w14:paraId="6DE9EE4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2680A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C769DA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谢仲东</w:t>
            </w:r>
          </w:p>
        </w:tc>
        <w:tc>
          <w:tcPr>
            <w:tcW w:w="615" w:type="pct"/>
            <w:tcMar>
              <w:top w:w="0" w:type="dxa"/>
              <w:bottom w:w="0" w:type="dxa"/>
            </w:tcMar>
            <w:vAlign w:val="center"/>
          </w:tcPr>
          <w:p w14:paraId="5D8BCF5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79D054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0.4357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3DDF7C9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CE4788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3A2D45F9" w14:textId="77777777" w:rsidTr="007F36AF">
        <w:trPr>
          <w:trHeight w:val="397"/>
          <w:jc w:val="center"/>
        </w:trPr>
        <w:tc>
          <w:tcPr>
            <w:tcW w:w="671" w:type="pct"/>
            <w:tcMar>
              <w:top w:w="0" w:type="dxa"/>
              <w:bottom w:w="0" w:type="dxa"/>
            </w:tcMar>
            <w:vAlign w:val="center"/>
          </w:tcPr>
          <w:p w14:paraId="26418FBD"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3C3406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2DACF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陈泽彬</w:t>
            </w:r>
          </w:p>
        </w:tc>
        <w:tc>
          <w:tcPr>
            <w:tcW w:w="615" w:type="pct"/>
            <w:tcMar>
              <w:top w:w="0" w:type="dxa"/>
              <w:bottom w:w="0" w:type="dxa"/>
            </w:tcMar>
            <w:vAlign w:val="center"/>
          </w:tcPr>
          <w:p w14:paraId="0F448F7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43FA45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1.0456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2891541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787A76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6DECAF40" w14:textId="77777777" w:rsidTr="007F36AF">
        <w:trPr>
          <w:trHeight w:val="397"/>
          <w:jc w:val="center"/>
        </w:trPr>
        <w:tc>
          <w:tcPr>
            <w:tcW w:w="671" w:type="pct"/>
            <w:tcMar>
              <w:top w:w="0" w:type="dxa"/>
              <w:bottom w:w="0" w:type="dxa"/>
            </w:tcMar>
            <w:vAlign w:val="center"/>
          </w:tcPr>
          <w:p w14:paraId="75E24675"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4B5F1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2EBD95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伍蒋锋</w:t>
            </w:r>
          </w:p>
        </w:tc>
        <w:tc>
          <w:tcPr>
            <w:tcW w:w="615" w:type="pct"/>
            <w:tcMar>
              <w:top w:w="0" w:type="dxa"/>
              <w:bottom w:w="0" w:type="dxa"/>
            </w:tcMar>
            <w:vAlign w:val="center"/>
          </w:tcPr>
          <w:p w14:paraId="3CFD522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D460F9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1.0456</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3D1EB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2051671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bl>
    <w:p w14:paraId="6BE221B7" w14:textId="02CA247B" w:rsidR="00407341" w:rsidRPr="00DA3766" w:rsidRDefault="00407341" w:rsidP="008A1B9E">
      <w:pPr>
        <w:pStyle w:val="005"/>
        <w:spacing w:before="120" w:after="120"/>
        <w:ind w:firstLine="480"/>
      </w:pPr>
      <w:r w:rsidRPr="00DA3766">
        <w:t>针对上述股权代持，</w:t>
      </w:r>
      <w:r w:rsidR="00946EA1" w:rsidRPr="00DA3766">
        <w:t>标的公司</w:t>
      </w:r>
      <w:r w:rsidRPr="00DA3766">
        <w:t>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除</w:t>
      </w:r>
      <w:r w:rsidR="00176D50" w:rsidRPr="00DA3766">
        <w:t>上述情形外</w:t>
      </w:r>
      <w:r w:rsidRPr="00DA3766">
        <w:t>，本次交易的交易对方所持标的公司股权不存在其他股权代持情况。</w:t>
      </w:r>
      <w:bookmarkEnd w:id="257"/>
    </w:p>
    <w:p w14:paraId="494365A4" w14:textId="04A5E6D2" w:rsidR="00407341" w:rsidRPr="00DA3766" w:rsidRDefault="00407341" w:rsidP="00407341">
      <w:pPr>
        <w:pStyle w:val="003"/>
        <w:spacing w:before="120" w:after="120"/>
        <w:ind w:firstLine="482"/>
      </w:pPr>
      <w:r w:rsidRPr="00DA3766">
        <w:t>（二）</w:t>
      </w:r>
      <w:bookmarkStart w:id="258" w:name="_Hlk219375313"/>
      <w:r w:rsidRPr="00DA3766">
        <w:t>本次交易的交易对方所持标的公司股权</w:t>
      </w:r>
      <w:r w:rsidR="007B33D1" w:rsidRPr="00DA3766">
        <w:t>权属</w:t>
      </w:r>
      <w:r w:rsidRPr="00DA3766">
        <w:t>清晰，不存在股权质押冻结、争议纠纷或潜在纠纷，未来资产过户不存在障碍</w:t>
      </w:r>
      <w:bookmarkEnd w:id="258"/>
    </w:p>
    <w:p w14:paraId="1124E9DB" w14:textId="30ECB0F2" w:rsidR="00407341" w:rsidRPr="00DA3766" w:rsidRDefault="00407341" w:rsidP="008A1B9E">
      <w:pPr>
        <w:pStyle w:val="005"/>
        <w:spacing w:before="120" w:after="120"/>
        <w:ind w:firstLine="480"/>
      </w:pPr>
      <w:r w:rsidRPr="00DA3766">
        <w:t>根据标的公司及本次交易的交易对方提供的工商档案资料、标的公司历次增资、转让、减资涉及的交易协议及流水凭证、本次交易的交易对方提供的调查表并经中介机构访谈确认，</w:t>
      </w:r>
      <w:bookmarkStart w:id="259" w:name="_Hlk219375350"/>
      <w:r w:rsidR="00176D50" w:rsidRPr="00DA3766">
        <w:t>截至本回复出具之日，</w:t>
      </w:r>
      <w:r w:rsidRPr="00DA3766">
        <w:t>标的公司员工持股平台</w:t>
      </w:r>
      <w:r w:rsidR="00176D50" w:rsidRPr="00DA3766">
        <w:t>上层合伙人历史上的</w:t>
      </w:r>
      <w:r w:rsidRPr="00DA3766">
        <w:t>股权代持</w:t>
      </w:r>
      <w:r w:rsidR="00176D50" w:rsidRPr="00DA3766">
        <w:t>情形</w:t>
      </w:r>
      <w:r w:rsidRPr="00DA3766">
        <w:t>已进行规范还原，本次交易的交易对方所持标的公司股权权属清晰，不存在股权质押冻结、争议纠纷或潜在纠纷清晰。</w:t>
      </w:r>
    </w:p>
    <w:p w14:paraId="502C295C" w14:textId="034CF88D" w:rsidR="00407341" w:rsidRPr="00DA3766" w:rsidRDefault="00407341" w:rsidP="008A1B9E">
      <w:pPr>
        <w:pStyle w:val="005"/>
        <w:spacing w:before="120" w:after="120"/>
        <w:ind w:firstLine="480"/>
      </w:pPr>
      <w:r w:rsidRPr="00DA3766">
        <w:t>同时，本次交易的交易对方均已出具《关于所持标的公司资产权属情况的承</w:t>
      </w:r>
      <w:r w:rsidRPr="00DA3766">
        <w:lastRenderedPageBreak/>
        <w:t>诺函》，</w:t>
      </w:r>
      <w:r w:rsidR="00176D50" w:rsidRPr="00DA3766">
        <w:t>具体内容</w:t>
      </w:r>
      <w:r w:rsidRPr="00DA3766">
        <w:t>如下：</w:t>
      </w:r>
    </w:p>
    <w:p w14:paraId="493B8E1B" w14:textId="77777777" w:rsidR="00407341" w:rsidRPr="00DA3766" w:rsidRDefault="00407341" w:rsidP="008A1B9E">
      <w:pPr>
        <w:pStyle w:val="005"/>
        <w:spacing w:before="120" w:after="120"/>
        <w:ind w:firstLine="480"/>
      </w:pPr>
      <w:r w:rsidRPr="00DA3766">
        <w:rPr>
          <w:rFonts w:ascii="宋体" w:hAnsi="宋体"/>
        </w:rPr>
        <w:t>“</w:t>
      </w:r>
      <w:r w:rsidRPr="00DA3766">
        <w:t>1</w:t>
      </w:r>
      <w:r w:rsidRPr="00DA3766">
        <w:t>、本人</w:t>
      </w:r>
      <w:r w:rsidRPr="00DA3766">
        <w:t>/</w:t>
      </w:r>
      <w:r w:rsidRPr="00DA3766">
        <w:t>本企业作为标的公司的股东，已依据相关法律法规及标的公司之公司章程履行出资义务，不存在任何虚假出资、抽逃出资、出资不实、出资瑕疵等违反股东义务及责任的行为；本人</w:t>
      </w:r>
      <w:r w:rsidRPr="00DA3766">
        <w:t>/</w:t>
      </w:r>
      <w:r w:rsidRPr="00DA3766">
        <w:t>本企业所持标的公司股权历史上发生的历次股权变动（如有）均已履行必要的法律程序，不存在纠纷或潜在纠纷。</w:t>
      </w:r>
    </w:p>
    <w:p w14:paraId="0CC779ED" w14:textId="77777777" w:rsidR="00407341" w:rsidRPr="00DA3766" w:rsidRDefault="00407341" w:rsidP="008A1B9E">
      <w:pPr>
        <w:pStyle w:val="005"/>
        <w:spacing w:before="120" w:after="120"/>
        <w:ind w:firstLine="480"/>
      </w:pPr>
      <w:r w:rsidRPr="00DA3766">
        <w:t>2</w:t>
      </w:r>
      <w:r w:rsidRPr="00DA3766">
        <w:t>、截至本承诺函出具之日，本人</w:t>
      </w:r>
      <w:r w:rsidRPr="00DA3766">
        <w:t>/</w:t>
      </w:r>
      <w:r w:rsidRPr="00DA3766">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5B9D43F3" w14:textId="77777777" w:rsidR="00407341" w:rsidRPr="00DA3766" w:rsidRDefault="00407341" w:rsidP="008A1B9E">
      <w:pPr>
        <w:pStyle w:val="005"/>
        <w:spacing w:before="120" w:after="120"/>
        <w:ind w:firstLine="480"/>
      </w:pPr>
      <w:r w:rsidRPr="00DA3766">
        <w:t>3</w:t>
      </w:r>
      <w:r w:rsidRPr="00DA3766">
        <w:t>、本人</w:t>
      </w:r>
      <w:r w:rsidRPr="00DA3766">
        <w:t>/</w:t>
      </w:r>
      <w:r w:rsidRPr="00DA3766">
        <w:t>本企业保证前述情况将持续至本次交易实施完成。本次交易实施完成前，本人</w:t>
      </w:r>
      <w:r w:rsidRPr="00DA3766">
        <w:t>/</w:t>
      </w:r>
      <w:r w:rsidRPr="00DA3766">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1DA287AD" w14:textId="26C643CC" w:rsidR="00407341" w:rsidRPr="00DA3766" w:rsidRDefault="00407341" w:rsidP="008A1B9E">
      <w:pPr>
        <w:pStyle w:val="005"/>
        <w:spacing w:before="120" w:after="120"/>
        <w:ind w:firstLine="480"/>
      </w:pPr>
      <w:r w:rsidRPr="00DA3766">
        <w:t>4</w:t>
      </w:r>
      <w:r w:rsidRPr="00DA3766">
        <w:t>、本人</w:t>
      </w:r>
      <w:r w:rsidRPr="00DA3766">
        <w:t>/</w:t>
      </w:r>
      <w:r w:rsidRPr="00DA3766">
        <w:t>本企业如违反上述承诺，将依法承担相应的法律责任。</w:t>
      </w:r>
      <w:r w:rsidRPr="00DA3766">
        <w:rPr>
          <w:rFonts w:ascii="宋体" w:hAnsi="宋体"/>
        </w:rPr>
        <w:t>”</w:t>
      </w:r>
    </w:p>
    <w:p w14:paraId="6CA7C16E" w14:textId="434B6A03" w:rsidR="00407341" w:rsidRPr="00DA3766" w:rsidRDefault="00946EA1" w:rsidP="008A1B9E">
      <w:pPr>
        <w:pStyle w:val="005"/>
        <w:spacing w:before="120" w:after="120"/>
        <w:ind w:firstLine="480"/>
      </w:pPr>
      <w:r w:rsidRPr="00DA3766">
        <w:t>因此</w:t>
      </w:r>
      <w:r w:rsidR="00407341" w:rsidRPr="00DA3766">
        <w:t>，本次交易的交易对方所持标的公司股权</w:t>
      </w:r>
      <w:r w:rsidR="00E06192" w:rsidRPr="00DA3766">
        <w:t>权属</w:t>
      </w:r>
      <w:r w:rsidR="00407341" w:rsidRPr="00DA3766">
        <w:t>清晰，不存在股权质押冻结、争议纠纷或潜在纠纷，未来资产过户不存在障碍。</w:t>
      </w:r>
      <w:bookmarkEnd w:id="259"/>
    </w:p>
    <w:p w14:paraId="6B5C6F35" w14:textId="2F8022DC" w:rsidR="00E22816" w:rsidRPr="00DA3766" w:rsidRDefault="00E22816" w:rsidP="008A1B9E">
      <w:pPr>
        <w:pStyle w:val="005"/>
        <w:spacing w:before="120" w:after="120"/>
        <w:ind w:firstLine="480"/>
      </w:pPr>
      <w:r w:rsidRPr="00DA3766">
        <w:t>上述内容已在</w:t>
      </w:r>
      <w:bookmarkStart w:id="260" w:name="_Hlk219375114"/>
      <w:r w:rsidR="00F32A32" w:rsidRPr="00DA3766">
        <w:t>《重组报告书》</w:t>
      </w:r>
      <w:r w:rsidRPr="00DA3766">
        <w:rPr>
          <w:rFonts w:ascii="宋体" w:hAnsi="宋体"/>
        </w:rPr>
        <w:t>“</w:t>
      </w:r>
      <w:r w:rsidRPr="00DA3766">
        <w:t>第</w:t>
      </w:r>
      <w:r w:rsidR="00946EA1" w:rsidRPr="00DA3766">
        <w:t>八</w:t>
      </w:r>
      <w:r w:rsidRPr="00DA3766">
        <w:t>节</w:t>
      </w:r>
      <w:r w:rsidRPr="00DA3766">
        <w:t xml:space="preserve"> </w:t>
      </w:r>
      <w:r w:rsidR="00946EA1" w:rsidRPr="00DA3766">
        <w:t>本次交易的合规性分析</w:t>
      </w:r>
      <w:r w:rsidRPr="00DA3766">
        <w:rPr>
          <w:rFonts w:ascii="宋体" w:hAnsi="宋体"/>
        </w:rPr>
        <w:t>”</w:t>
      </w:r>
      <w:r w:rsidRPr="00DA3766">
        <w:t>之</w:t>
      </w:r>
      <w:r w:rsidRPr="00DA3766">
        <w:rPr>
          <w:rFonts w:ascii="宋体" w:hAnsi="宋体"/>
        </w:rPr>
        <w:t>“</w:t>
      </w:r>
      <w:r w:rsidR="00946EA1" w:rsidRPr="00DA3766">
        <w:t>一、本次交易符合《重组管理办法》第十一条的规定</w:t>
      </w:r>
      <w:r w:rsidRPr="00DA3766">
        <w:rPr>
          <w:rFonts w:ascii="宋体" w:hAnsi="宋体"/>
        </w:rPr>
        <w:t>”</w:t>
      </w:r>
      <w:r w:rsidR="00946EA1" w:rsidRPr="00DA3766">
        <w:t>之</w:t>
      </w:r>
      <w:r w:rsidR="00946EA1" w:rsidRPr="00DA3766">
        <w:rPr>
          <w:rFonts w:ascii="宋体" w:hAnsi="宋体"/>
        </w:rPr>
        <w:t>“</w:t>
      </w:r>
      <w:r w:rsidR="00946EA1" w:rsidRPr="00DA3766">
        <w:t>（四）本次交易涉及的资产权属清晰，资产过户或者转移不存在法律障碍，相关债权债务的处理合法</w:t>
      </w:r>
      <w:r w:rsidR="00946EA1" w:rsidRPr="00DA3766">
        <w:rPr>
          <w:rFonts w:ascii="宋体" w:hAnsi="宋体"/>
        </w:rPr>
        <w:t>”</w:t>
      </w:r>
      <w:bookmarkEnd w:id="260"/>
      <w:r w:rsidRPr="00DA3766">
        <w:t>补充披露。</w:t>
      </w:r>
    </w:p>
    <w:p w14:paraId="2D92ED28" w14:textId="5BE369D1" w:rsidR="00407341" w:rsidRPr="00DA3766" w:rsidRDefault="00407341" w:rsidP="00F45C15">
      <w:pPr>
        <w:pStyle w:val="002"/>
        <w:spacing w:before="120" w:after="120"/>
        <w:ind w:firstLine="482"/>
      </w:pPr>
      <w:bookmarkStart w:id="261" w:name="_Hlk219330736"/>
      <w:r w:rsidRPr="00DA3766">
        <w:lastRenderedPageBreak/>
        <w:t>八、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p>
    <w:bookmarkEnd w:id="261"/>
    <w:p w14:paraId="5B32329C" w14:textId="21985E27" w:rsidR="00407341" w:rsidRPr="00DA3766" w:rsidRDefault="00407341" w:rsidP="00407341">
      <w:pPr>
        <w:pStyle w:val="003"/>
        <w:spacing w:before="120" w:after="120"/>
        <w:ind w:firstLine="482"/>
      </w:pPr>
      <w:r w:rsidRPr="00DA3766">
        <w:t>（一）</w:t>
      </w:r>
      <w:bookmarkStart w:id="262" w:name="_Hlk219375882"/>
      <w:r w:rsidRPr="00DA3766">
        <w:t>特殊权利约定的具体条款安排及解除情况</w:t>
      </w:r>
      <w:bookmarkEnd w:id="262"/>
    </w:p>
    <w:p w14:paraId="0B7D1D74" w14:textId="77777777" w:rsidR="009A4961" w:rsidRPr="00DA3766" w:rsidRDefault="009A4961" w:rsidP="009A4961">
      <w:pPr>
        <w:pStyle w:val="005"/>
        <w:spacing w:before="120" w:after="120"/>
        <w:ind w:firstLine="480"/>
      </w:pPr>
      <w:r w:rsidRPr="00DA3766">
        <w:t>星云开物历史上存在由外部股东与星云开物及其实际控制人之间通过签署《股东协议》进行特殊权利约定（包括但不限于股权回购、股权转让限制、优先购买权、共同出售权、优先清算权、反稀释权），已完全退出的外部股东随着退出而终止特殊股东权利。</w:t>
      </w:r>
    </w:p>
    <w:p w14:paraId="59DF9DF1" w14:textId="77777777" w:rsidR="009A4961" w:rsidRPr="00DA3766" w:rsidRDefault="009A4961" w:rsidP="009A4961">
      <w:pPr>
        <w:pStyle w:val="005"/>
        <w:spacing w:before="120" w:after="120"/>
        <w:ind w:firstLine="480"/>
      </w:pPr>
      <w:r w:rsidRPr="00DA3766">
        <w:t>2022</w:t>
      </w:r>
      <w:r w:rsidRPr="00DA3766">
        <w:t>年</w:t>
      </w:r>
      <w:r w:rsidRPr="00DA3766">
        <w:t>6</w:t>
      </w:r>
      <w:r w:rsidRPr="00DA3766">
        <w:t>月，相关股东与星云开物及其实际控制人签署《股东协议之补充协议》，约定豁免了星云开物的回购义务及相关连带责任，并确认相关义务自始无效。</w:t>
      </w:r>
    </w:p>
    <w:p w14:paraId="508E926C" w14:textId="4923D23A" w:rsidR="009A4961" w:rsidRPr="00DA3766" w:rsidRDefault="009A4961" w:rsidP="009A4961">
      <w:pPr>
        <w:pStyle w:val="005"/>
        <w:spacing w:before="120" w:after="120"/>
        <w:ind w:firstLine="480"/>
      </w:pPr>
      <w:r w:rsidRPr="00DA3766">
        <w:t>根据本次交易相关方签署的《购买资产协议之补充协议》</w:t>
      </w:r>
      <w:r w:rsidR="00881E98">
        <w:rPr>
          <w:rFonts w:hint="eastAsia"/>
        </w:rPr>
        <w:t>、</w:t>
      </w:r>
      <w:r w:rsidRPr="00DA3766">
        <w:t>杨裕雄出具的《声明》</w:t>
      </w:r>
      <w:r w:rsidR="00881E98">
        <w:rPr>
          <w:rFonts w:hint="eastAsia"/>
        </w:rPr>
        <w:t>及</w:t>
      </w:r>
      <w:r w:rsidR="00881E98" w:rsidRPr="00881E98">
        <w:t>《关于</w:t>
      </w:r>
      <w:r w:rsidR="00881E98" w:rsidRPr="00881E98">
        <w:t>&lt;</w:t>
      </w:r>
      <w:r w:rsidR="00881E98" w:rsidRPr="00881E98">
        <w:t>股东协议</w:t>
      </w:r>
      <w:r w:rsidR="00881E98" w:rsidRPr="00881E98">
        <w:t>&gt;</w:t>
      </w:r>
      <w:r w:rsidR="00881E98" w:rsidRPr="00881E98">
        <w:t>之补充协议二》</w:t>
      </w:r>
      <w:r w:rsidRPr="00DA3766">
        <w:t>，自上市公司股东会审议通过本次交易之日起，相关股东与星云开物、陈耿豪或星云开物相关主体签订的投资协议中约定的包括但不限于股权回购、股权转让限制、优先购买权、共同出售权、优先清算权、反稀释权等相关特殊性投资条款安排全部解除；如本次交易出现撤回申请材料、申请被否决或未取得中国证监会同意注册批文等终止情形的，则上述特殊性投资条款应自动恢复。</w:t>
      </w:r>
    </w:p>
    <w:p w14:paraId="08432297" w14:textId="7E44E697" w:rsidR="00F45C15" w:rsidRPr="00DA3766" w:rsidRDefault="00407341" w:rsidP="00F45C15">
      <w:pPr>
        <w:pStyle w:val="005"/>
        <w:spacing w:before="120" w:after="120"/>
        <w:ind w:firstLine="480"/>
      </w:pPr>
      <w:bookmarkStart w:id="263" w:name="_Hlk219376077"/>
      <w:r w:rsidRPr="00DA3766">
        <w:t>综上所述，截至本回复出具之日，</w:t>
      </w:r>
      <w:r w:rsidR="00342B1A" w:rsidRPr="00DA3766">
        <w:t>根据《发行股份及支付现金购买资产协议之补充协议》及《关于</w:t>
      </w:r>
      <w:r w:rsidR="00342B1A" w:rsidRPr="00DA3766">
        <w:t>&lt;</w:t>
      </w:r>
      <w:r w:rsidR="00342B1A" w:rsidRPr="00DA3766">
        <w:t>股东协议</w:t>
      </w:r>
      <w:r w:rsidR="00342B1A" w:rsidRPr="00DA3766">
        <w:t>&gt;</w:t>
      </w:r>
      <w:r w:rsidR="00342B1A" w:rsidRPr="00DA3766">
        <w:t>之补充协议二》，</w:t>
      </w:r>
      <w:r w:rsidRPr="00DA3766">
        <w:t>标的公司、标的公司股东之间签署的现行有效的特殊权利约定已进行有效解除，不会对本次交易构成重大不利影响。</w:t>
      </w:r>
      <w:bookmarkEnd w:id="263"/>
    </w:p>
    <w:p w14:paraId="50BF4241" w14:textId="526BAFC6" w:rsidR="00407341" w:rsidRPr="00DA3766" w:rsidRDefault="00407341" w:rsidP="00F45C15">
      <w:pPr>
        <w:pStyle w:val="003"/>
        <w:spacing w:before="120" w:after="120"/>
        <w:ind w:firstLine="482"/>
      </w:pPr>
      <w:r w:rsidRPr="00DA3766">
        <w:lastRenderedPageBreak/>
        <w:t>（二）</w:t>
      </w:r>
      <w:bookmarkStart w:id="264" w:name="_Hlk219375972"/>
      <w:r w:rsidRPr="00DA3766">
        <w:t>对赌协议相关方同上市公司、上市公司董监高、上市公司实际控制人、标的资产、标的资产董监高、标的资产实际控制人存在的相关关联关系或潜在利益关系情况，标的资产未再作为义务人仍承担相关义务</w:t>
      </w:r>
      <w:bookmarkEnd w:id="264"/>
    </w:p>
    <w:p w14:paraId="020210C3" w14:textId="4082C363" w:rsidR="00407341" w:rsidRPr="00DA3766" w:rsidRDefault="00407341" w:rsidP="008A1B9E">
      <w:pPr>
        <w:pStyle w:val="005"/>
        <w:spacing w:before="120" w:after="120"/>
        <w:ind w:firstLine="480"/>
      </w:pPr>
      <w:bookmarkStart w:id="265" w:name="_Hlk219376139"/>
      <w:r w:rsidRPr="00DA3766">
        <w:t>根据标的公司股东出具的调查表、出具的承诺函并经中介机构访谈确认，对赌协议相关方当中，陈耿豪系标的公司实际控制人，杨凯然、张杰波、胡俊、王佳均为标的公司董事</w:t>
      </w:r>
      <w:r w:rsidR="0008691D">
        <w:rPr>
          <w:rFonts w:hint="eastAsia"/>
        </w:rPr>
        <w:t>及管理层</w:t>
      </w:r>
      <w:r w:rsidRPr="00DA3766">
        <w:t>，除此之外，对赌协议相关方同上市公司</w:t>
      </w:r>
      <w:r w:rsidR="00E644A9" w:rsidRPr="00DA3766">
        <w:t>、上市公司</w:t>
      </w:r>
      <w:r w:rsidR="004A761D" w:rsidRPr="00DA3766">
        <w:t>董事及高级管理人员</w:t>
      </w:r>
      <w:r w:rsidRPr="00DA3766">
        <w:t>、上市公司实际控制人、标的资产、标的资产董监高</w:t>
      </w:r>
      <w:r w:rsidR="00E06192" w:rsidRPr="00DA3766">
        <w:t>人员</w:t>
      </w:r>
      <w:r w:rsidRPr="00DA3766">
        <w:t>、标的资产实际控制人之间不存在其他关联关系或潜在利益关系。</w:t>
      </w:r>
    </w:p>
    <w:p w14:paraId="4C6F59B2" w14:textId="678A07AE" w:rsidR="00407341" w:rsidRPr="00DA3766" w:rsidRDefault="00407341" w:rsidP="008A1B9E">
      <w:pPr>
        <w:pStyle w:val="005"/>
        <w:spacing w:before="120" w:after="120"/>
        <w:ind w:firstLine="480"/>
      </w:pPr>
      <w:r w:rsidRPr="00DA3766">
        <w:t>根据</w:t>
      </w:r>
      <w:r w:rsidR="004A761D" w:rsidRPr="00DA3766">
        <w:t>相关</w:t>
      </w:r>
      <w:r w:rsidRPr="00DA3766">
        <w:t>方于</w:t>
      </w:r>
      <w:r w:rsidRPr="00DA3766">
        <w:t>2022</w:t>
      </w:r>
      <w:r w:rsidRPr="00DA3766">
        <w:t>年</w:t>
      </w:r>
      <w:r w:rsidRPr="00DA3766">
        <w:t>6</w:t>
      </w:r>
      <w:r w:rsidRPr="00DA3766">
        <w:t>月</w:t>
      </w:r>
      <w:r w:rsidRPr="00DA3766">
        <w:t>10</w:t>
      </w:r>
      <w:r w:rsidRPr="00DA3766">
        <w:t>日签署的《关于</w:t>
      </w:r>
      <w:r w:rsidRPr="00DA3766">
        <w:t>&lt;</w:t>
      </w:r>
      <w:r w:rsidRPr="00DA3766">
        <w:t>股东协议</w:t>
      </w:r>
      <w:r w:rsidRPr="00DA3766">
        <w:t>&gt;</w:t>
      </w:r>
      <w:r w:rsidRPr="00DA3766">
        <w:t>之补充协议》，约定豁免了标的公司的回购义务及相关连带责任，并确认相关义务自始无效，且该等义务豁免，是不可撤销、不附带任何恢复条件的，不属于附条件的中止或终止，各方亦不存在其他替代性利益安排。据此，截至本回复出具日，标的资产未再作为义务人仍承担相关义务。</w:t>
      </w:r>
      <w:bookmarkEnd w:id="265"/>
    </w:p>
    <w:p w14:paraId="3A678879" w14:textId="3555966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之</w:t>
      </w:r>
      <w:r w:rsidRPr="00DA3766">
        <w:rPr>
          <w:rFonts w:ascii="宋体" w:hAnsi="宋体"/>
        </w:rPr>
        <w:t>“</w:t>
      </w:r>
      <w:r w:rsidRPr="00DA3766">
        <w:t>（五）投资协议中可能对本次交易或标的资产独立性产生影响的主要内容</w:t>
      </w:r>
      <w:r w:rsidRPr="00DA3766">
        <w:rPr>
          <w:rFonts w:ascii="宋体" w:hAnsi="宋体"/>
        </w:rPr>
        <w:t>”</w:t>
      </w:r>
      <w:r w:rsidRPr="00DA3766">
        <w:t>补充披露。</w:t>
      </w:r>
    </w:p>
    <w:p w14:paraId="4F301468" w14:textId="77777777" w:rsidR="00E76498" w:rsidRDefault="00E76498" w:rsidP="00E76498">
      <w:pPr>
        <w:pStyle w:val="002"/>
        <w:spacing w:before="120" w:after="120"/>
        <w:ind w:firstLine="482"/>
      </w:pPr>
      <w:bookmarkStart w:id="266" w:name="_Toc220344124"/>
      <w:bookmarkEnd w:id="239"/>
      <w:r w:rsidRPr="00DA3766">
        <w:t>九、</w:t>
      </w:r>
      <w:r>
        <w:rPr>
          <w:rFonts w:hint="eastAsia"/>
        </w:rPr>
        <w:t>中介机构</w:t>
      </w:r>
      <w:r w:rsidRPr="00CB2B0B">
        <w:t>核查过程及核查意见</w:t>
      </w:r>
    </w:p>
    <w:p w14:paraId="028BB666" w14:textId="77777777" w:rsidR="00E76498" w:rsidRPr="00DA3766" w:rsidRDefault="00E76498" w:rsidP="00E76498">
      <w:pPr>
        <w:pStyle w:val="003"/>
        <w:spacing w:before="120" w:after="120"/>
        <w:ind w:firstLine="482"/>
      </w:pPr>
      <w:r>
        <w:rPr>
          <w:rFonts w:hint="eastAsia"/>
        </w:rPr>
        <w:t>（一）</w:t>
      </w:r>
      <w:r w:rsidRPr="00DA3766">
        <w:t>独立财务顾问核查过程及核查意见</w:t>
      </w:r>
    </w:p>
    <w:p w14:paraId="44E107A6" w14:textId="77777777" w:rsidR="00E76498" w:rsidRPr="00DA3766" w:rsidRDefault="00E76498" w:rsidP="00E76498">
      <w:pPr>
        <w:pStyle w:val="004"/>
        <w:spacing w:before="120" w:after="120"/>
        <w:ind w:firstLine="482"/>
      </w:pPr>
      <w:bookmarkStart w:id="267" w:name="OLE_LINK124"/>
      <w:r>
        <w:rPr>
          <w:rFonts w:hint="eastAsia"/>
        </w:rPr>
        <w:t>1</w:t>
      </w:r>
      <w:r>
        <w:rPr>
          <w:rFonts w:hint="eastAsia"/>
        </w:rPr>
        <w:t>、</w:t>
      </w:r>
      <w:r w:rsidRPr="00DA3766">
        <w:t>核查程序</w:t>
      </w:r>
    </w:p>
    <w:bookmarkEnd w:id="267"/>
    <w:p w14:paraId="07EF45AD" w14:textId="77777777" w:rsidR="00E76498" w:rsidRPr="00DA3766" w:rsidRDefault="00E76498" w:rsidP="00E76498">
      <w:pPr>
        <w:pStyle w:val="005"/>
        <w:spacing w:before="120" w:after="120"/>
        <w:ind w:firstLine="480"/>
      </w:pPr>
      <w:r w:rsidRPr="00DA3766">
        <w:t>针对前述事项，独立财务顾问主要实施了以下核查程序：</w:t>
      </w:r>
    </w:p>
    <w:p w14:paraId="0150A437"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取得并查阅了标的公司的工商档案、历次增资及股权转让协议、支付凭证等材料；</w:t>
      </w:r>
    </w:p>
    <w:p w14:paraId="0DB88576"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取得并查阅了标的公司股东出具的调查表、承诺函等文件；</w:t>
      </w:r>
    </w:p>
    <w:p w14:paraId="7AE4AB2C"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就标的公司历次增资及股权转让事项访谈了标的公司股东；</w:t>
      </w:r>
    </w:p>
    <w:p w14:paraId="3187C23D"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对标的公司历次增资及股权转让涉及股份支付费用计提账务处理进行了复核；</w:t>
      </w:r>
    </w:p>
    <w:p w14:paraId="40337B25"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取得并查阅了标的公司历次减资的减资协议、减资对价支付凭证、减</w:t>
      </w:r>
      <w:r w:rsidRPr="00DA3766">
        <w:lastRenderedPageBreak/>
        <w:t>资履行的相关股东会决议程、减资公告程序及工商变更程序资料；</w:t>
      </w:r>
    </w:p>
    <w:p w14:paraId="1208243E"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就杨裕雄所持标的公司股权未纳入本次交易的原因及后续收购计划访谈上市公司董事会秘书；</w:t>
      </w:r>
    </w:p>
    <w:p w14:paraId="5D632448"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通过网络核查等方式对标的公司历史沿革及标的公司股东情况、所持股权情况进行核查；</w:t>
      </w:r>
    </w:p>
    <w:p w14:paraId="3F73BC1E"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w:t>
      </w:r>
      <w:r w:rsidRPr="00DA3766">
        <w:t>就标的公司员工持股平台内部历史代持事宜取得相关代持协议、代持解除协议及代持流水资料；</w:t>
      </w:r>
    </w:p>
    <w:p w14:paraId="56049C32" w14:textId="77777777" w:rsidR="00E76498" w:rsidRPr="00DA3766" w:rsidRDefault="00E76498" w:rsidP="00E76498">
      <w:pPr>
        <w:pStyle w:val="005"/>
        <w:spacing w:before="120" w:after="120"/>
        <w:ind w:firstLine="480"/>
      </w:pPr>
      <w:r>
        <w:rPr>
          <w:rFonts w:hint="eastAsia"/>
        </w:rPr>
        <w:t>（</w:t>
      </w:r>
      <w:r>
        <w:rPr>
          <w:rFonts w:hint="eastAsia"/>
        </w:rPr>
        <w:t>9</w:t>
      </w:r>
      <w:r>
        <w:rPr>
          <w:rFonts w:hint="eastAsia"/>
        </w:rPr>
        <w:t>）</w:t>
      </w:r>
      <w:r w:rsidRPr="00DA3766">
        <w:t>取得并查阅了标的公司、标的公司股东之间签署的</w:t>
      </w:r>
      <w:r>
        <w:rPr>
          <w:rFonts w:hint="eastAsia"/>
        </w:rPr>
        <w:t>涉及特殊权利约定的相关协议</w:t>
      </w:r>
      <w:r w:rsidRPr="00DA3766">
        <w:t>。</w:t>
      </w:r>
    </w:p>
    <w:p w14:paraId="09E90714" w14:textId="77777777" w:rsidR="00E76498" w:rsidRPr="00DA3766" w:rsidRDefault="00E76498" w:rsidP="00E76498">
      <w:pPr>
        <w:pStyle w:val="004"/>
        <w:spacing w:before="120" w:after="120"/>
        <w:ind w:firstLine="482"/>
      </w:pPr>
      <w:r>
        <w:rPr>
          <w:rFonts w:hint="eastAsia"/>
        </w:rPr>
        <w:t>2</w:t>
      </w:r>
      <w:r>
        <w:rPr>
          <w:rFonts w:hint="eastAsia"/>
        </w:rPr>
        <w:t>、</w:t>
      </w:r>
      <w:r w:rsidRPr="00DA3766">
        <w:t>核查意见</w:t>
      </w:r>
    </w:p>
    <w:p w14:paraId="4BC146BB" w14:textId="77777777" w:rsidR="00E76498" w:rsidRPr="00DA3766" w:rsidRDefault="00E76498" w:rsidP="00E76498">
      <w:pPr>
        <w:pStyle w:val="005"/>
        <w:spacing w:before="120" w:after="120"/>
        <w:ind w:firstLine="480"/>
      </w:pPr>
      <w:r w:rsidRPr="00DA3766">
        <w:t>经核查，独立财务顾问认为：</w:t>
      </w:r>
    </w:p>
    <w:p w14:paraId="50C3642D" w14:textId="77777777" w:rsidR="00E76498" w:rsidRPr="00DA3766" w:rsidRDefault="00E76498" w:rsidP="00E76498">
      <w:pPr>
        <w:pStyle w:val="005"/>
        <w:spacing w:before="120" w:after="120"/>
        <w:ind w:firstLine="480"/>
      </w:pPr>
      <w:r>
        <w:rPr>
          <w:rFonts w:hint="eastAsia"/>
        </w:rPr>
        <w:t>（</w:t>
      </w:r>
      <w:r>
        <w:rPr>
          <w:rFonts w:hint="eastAsia"/>
        </w:rPr>
        <w:t>1</w:t>
      </w:r>
      <w:r>
        <w:rPr>
          <w:rFonts w:hint="eastAsia"/>
        </w:rPr>
        <w:t>）</w:t>
      </w:r>
      <w:r w:rsidRPr="00DA3766">
        <w:t>标的资产及前身历次增资及股权转让的作价公允，标的资产管理层及相关持股平台入股存在股份支付，标的资产相应股份支付费用计提准确，申报文件中相关财务数据准确；</w:t>
      </w:r>
    </w:p>
    <w:p w14:paraId="72E6EFEE" w14:textId="77777777" w:rsidR="00E76498" w:rsidRPr="00DA3766" w:rsidRDefault="00E76498" w:rsidP="00E76498">
      <w:pPr>
        <w:pStyle w:val="005"/>
        <w:spacing w:before="120" w:after="120"/>
        <w:ind w:firstLine="480"/>
      </w:pPr>
      <w:r>
        <w:rPr>
          <w:rFonts w:hint="eastAsia"/>
        </w:rPr>
        <w:t>（</w:t>
      </w:r>
      <w:r>
        <w:rPr>
          <w:rFonts w:hint="eastAsia"/>
        </w:rPr>
        <w:t>2</w:t>
      </w:r>
      <w:r>
        <w:rPr>
          <w:rFonts w:hint="eastAsia"/>
        </w:rPr>
        <w:t>）</w:t>
      </w:r>
      <w:r w:rsidRPr="00DA3766">
        <w:t>2017</w:t>
      </w:r>
      <w:r w:rsidRPr="00DA3766">
        <w:t>年</w:t>
      </w:r>
      <w:r w:rsidRPr="00DA3766">
        <w:t>3</w:t>
      </w:r>
      <w:r w:rsidRPr="00DA3766">
        <w:t>月广发信德科文、珠海康远通过增资及股权转让方式投资星云开物，以差异化定价方式协商确定增资及股权转让价格，作价具有合理性；</w:t>
      </w:r>
    </w:p>
    <w:p w14:paraId="208F78A5" w14:textId="77777777" w:rsidR="00E76498" w:rsidRPr="00DA3766" w:rsidRDefault="00E76498" w:rsidP="00E76498">
      <w:pPr>
        <w:pStyle w:val="005"/>
        <w:spacing w:before="120" w:after="120"/>
        <w:ind w:firstLine="480"/>
      </w:pPr>
      <w:r>
        <w:rPr>
          <w:rFonts w:hint="eastAsia"/>
        </w:rPr>
        <w:t>（</w:t>
      </w:r>
      <w:r>
        <w:rPr>
          <w:rFonts w:hint="eastAsia"/>
        </w:rPr>
        <w:t>3</w:t>
      </w:r>
      <w:r>
        <w:rPr>
          <w:rFonts w:hint="eastAsia"/>
        </w:rPr>
        <w:t>）</w:t>
      </w:r>
      <w:r w:rsidRPr="00DA3766">
        <w:t>乐哈哈在两日内受让即转让系乐哈哈与转让方徐德强约定由徐德强转让给乐哈哈的标的公司股权中一半作为预留激励池用于标的公司未来股权激励，一半为徐德强拟对外出售给投资人股权，乐哈哈与转让方之间转让完成后，再由乐哈哈将前述徐德强拟对外出售给投资人的股权转让给投资人（即南通成为长青），交易具有合理性；徐德强、乐哈哈、南通成为长青之间不存在关联关系，不存在利益输送情形，交易价格公允；徐德强转让给乐哈哈的部分股权</w:t>
      </w:r>
      <w:r>
        <w:rPr>
          <w:rFonts w:hint="eastAsia"/>
        </w:rPr>
        <w:t>在后续进行股权激励授予时</w:t>
      </w:r>
      <w:r w:rsidRPr="00DA3766">
        <w:t>构成股份支付，已计提相关费用，费用计提充分、准确、完整，申报文件中相关财务数据准确。乐腾腾受让及转让作价均系与转让及受让对方协商确定，具有商业合理性，其受让作价对应标的公司估值虽略低于其转让作价，但考虑到乐腾腾受让及转让背景及标的公司撮合作用，该等差异具有合理性；乐腾腾与转让方及受让方之间不存在关联关系，股权受让及转让过程不存在利益输</w:t>
      </w:r>
      <w:r w:rsidRPr="00DA3766">
        <w:lastRenderedPageBreak/>
        <w:t>送情形，交易价格公允；乐腾腾受让并转让完成后剩余未转出部分股权</w:t>
      </w:r>
      <w:r>
        <w:rPr>
          <w:rFonts w:hint="eastAsia"/>
        </w:rPr>
        <w:t>在后续进行股权激励授予时</w:t>
      </w:r>
      <w:r w:rsidRPr="00DA3766">
        <w:t>构成股份支付，已计提相关费用，费用计提充分、准确、完整，申报文件中相关财务数据准确；</w:t>
      </w:r>
    </w:p>
    <w:p w14:paraId="3B141D18" w14:textId="77777777" w:rsidR="00E76498" w:rsidRPr="00DA3766" w:rsidRDefault="00E76498" w:rsidP="00E76498">
      <w:pPr>
        <w:pStyle w:val="005"/>
        <w:spacing w:before="120" w:after="120"/>
        <w:ind w:firstLine="480"/>
      </w:pPr>
      <w:r>
        <w:rPr>
          <w:rFonts w:hint="eastAsia"/>
        </w:rPr>
        <w:t>（</w:t>
      </w:r>
      <w:r>
        <w:rPr>
          <w:rFonts w:hint="eastAsia"/>
        </w:rPr>
        <w:t>4</w:t>
      </w:r>
      <w:r>
        <w:rPr>
          <w:rFonts w:hint="eastAsia"/>
        </w:rPr>
        <w:t>）</w:t>
      </w:r>
      <w:r w:rsidRPr="00DA3766">
        <w:t>标的资产相关股东减资价格具有公允性；截至本回复出具之日，标的公司不存在尚待支付的减资款，不存在纠纷或潜在纠纷，支付减资款对标的资产生产经营和流动性不存在重大不利影响；标的资产的生产经营稳定，所处行业不存在重大不利因素，本次交易有利于提高上市公司资产质量、增强持续经营能力；</w:t>
      </w:r>
    </w:p>
    <w:p w14:paraId="0DAD02AE" w14:textId="77777777" w:rsidR="00E76498" w:rsidRPr="00DA3766" w:rsidRDefault="00E76498" w:rsidP="00E76498">
      <w:pPr>
        <w:pStyle w:val="005"/>
        <w:spacing w:before="120" w:after="120"/>
        <w:ind w:firstLine="480"/>
      </w:pPr>
      <w:r>
        <w:rPr>
          <w:rFonts w:hint="eastAsia"/>
        </w:rPr>
        <w:t>（</w:t>
      </w:r>
      <w:r>
        <w:rPr>
          <w:rFonts w:hint="eastAsia"/>
        </w:rPr>
        <w:t>5</w:t>
      </w:r>
      <w:r>
        <w:rPr>
          <w:rFonts w:hint="eastAsia"/>
        </w:rPr>
        <w:t>）</w:t>
      </w:r>
      <w:r w:rsidRPr="00DA3766">
        <w:t>璀璨远见、璀璨德商在减资的同月受让标的资产股权系基于独立商业判断进行的投资行为，具有商业合理性，璀璨远见、璀璨德商与转让方原本俱甲历史上曾属于同一控制下企业，转让不存在利益输送，价格公允，不构成股份支付；</w:t>
      </w:r>
    </w:p>
    <w:p w14:paraId="414C8256" w14:textId="77777777" w:rsidR="00E76498" w:rsidRPr="00DA3766" w:rsidRDefault="00E76498" w:rsidP="00E76498">
      <w:pPr>
        <w:pStyle w:val="005"/>
        <w:spacing w:before="120" w:after="120"/>
        <w:ind w:firstLine="480"/>
      </w:pPr>
      <w:r>
        <w:rPr>
          <w:rFonts w:hint="eastAsia"/>
        </w:rPr>
        <w:t>（</w:t>
      </w:r>
      <w:r>
        <w:rPr>
          <w:rFonts w:hint="eastAsia"/>
        </w:rPr>
        <w:t>6</w:t>
      </w:r>
      <w:r>
        <w:rPr>
          <w:rFonts w:hint="eastAsia"/>
        </w:rPr>
        <w:t>）</w:t>
      </w:r>
      <w:r w:rsidRPr="00DA3766">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回复出具日，上市公司与杨裕雄未就后续收购达成任何收购计划，杨裕雄所持标的公司股权不存在权利受限情形。</w:t>
      </w:r>
    </w:p>
    <w:p w14:paraId="2F30EEC4" w14:textId="77777777" w:rsidR="00E76498" w:rsidRPr="00DA3766" w:rsidRDefault="00E76498" w:rsidP="00E76498">
      <w:pPr>
        <w:pStyle w:val="005"/>
        <w:spacing w:before="120" w:after="120"/>
        <w:ind w:firstLine="480"/>
      </w:pPr>
      <w:r>
        <w:rPr>
          <w:rFonts w:hint="eastAsia"/>
        </w:rPr>
        <w:t>（</w:t>
      </w:r>
      <w:r>
        <w:rPr>
          <w:rFonts w:hint="eastAsia"/>
        </w:rPr>
        <w:t>7</w:t>
      </w:r>
      <w:r>
        <w:rPr>
          <w:rFonts w:hint="eastAsia"/>
        </w:rPr>
        <w:t>）</w:t>
      </w:r>
      <w:r w:rsidRPr="00DA3766">
        <w:t>标的公司历史上存在陈耿豪在持股平台代员工持有激励股权以及张杰波代杨凯然在持股平台持股情况，标的公司对前述股权代持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本次交易的交易对方所持标的公司股权权属清晰，不存在股权质押冻结、争议纠纷或潜在纠纷，未来资产过户不存在障碍。</w:t>
      </w:r>
    </w:p>
    <w:p w14:paraId="0344A0A9" w14:textId="77777777" w:rsidR="00E76498" w:rsidRPr="00DA3766" w:rsidRDefault="00E76498" w:rsidP="00E76498">
      <w:pPr>
        <w:pStyle w:val="005"/>
        <w:spacing w:before="120" w:after="120"/>
        <w:ind w:firstLine="480"/>
      </w:pPr>
      <w:r>
        <w:rPr>
          <w:rFonts w:hint="eastAsia"/>
        </w:rPr>
        <w:lastRenderedPageBreak/>
        <w:t>（</w:t>
      </w:r>
      <w:r>
        <w:rPr>
          <w:rFonts w:hint="eastAsia"/>
        </w:rPr>
        <w:t>8</w:t>
      </w:r>
      <w:r>
        <w:rPr>
          <w:rFonts w:hint="eastAsia"/>
        </w:rPr>
        <w:t>）</w:t>
      </w:r>
      <w:r w:rsidRPr="00DA3766">
        <w:t>截至本回复出具之日，标的公司、标的公司股东之间签署的现行有效的特殊权利约定已进行有效解除，不会对本次交易构成重大不利影响。除已披露的协议外，标的公司、标的公司股东之间不存在其他应披露而未披露的可能对本次交易产生影响、影响标的资产独立性的协议或其他安排；对赌协议相关方当中，陈耿豪系标的公司实际控制人，杨凯然、张杰波、胡俊、王佳均为标的公司董事</w:t>
      </w:r>
      <w:r>
        <w:rPr>
          <w:rFonts w:hint="eastAsia"/>
        </w:rPr>
        <w:t>及管理层</w:t>
      </w:r>
      <w:r w:rsidRPr="00DA3766">
        <w:t>，除此之外，对赌协议相关方同上市公司、上市公司董及高级管理人员、上市公司实际控制人、标的资产、标的资产董监高人员、标的资产实际控制人之间不存在其他关联关系或潜在利益关系；截至本回复出具日，标的资产未再作为义务人仍承担相关义务。</w:t>
      </w:r>
    </w:p>
    <w:p w14:paraId="7AD4237F" w14:textId="77777777" w:rsidR="00E76498" w:rsidRPr="00DA3766" w:rsidRDefault="00E76498" w:rsidP="00E76498">
      <w:pPr>
        <w:pStyle w:val="003"/>
        <w:spacing w:before="120" w:after="120"/>
        <w:ind w:firstLine="482"/>
      </w:pPr>
      <w:r>
        <w:rPr>
          <w:rFonts w:hint="eastAsia"/>
        </w:rPr>
        <w:t>（二）律师</w:t>
      </w:r>
      <w:r w:rsidRPr="00DA3766">
        <w:t>核查过程及核查意见</w:t>
      </w:r>
    </w:p>
    <w:p w14:paraId="3762B082"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601A2EE3" w14:textId="77777777" w:rsidR="00E76498" w:rsidRDefault="00E76498" w:rsidP="00E76498">
      <w:pPr>
        <w:pStyle w:val="005"/>
        <w:spacing w:before="120" w:after="120"/>
        <w:ind w:firstLine="480"/>
      </w:pPr>
      <w:r>
        <w:rPr>
          <w:rFonts w:hint="eastAsia"/>
        </w:rPr>
        <w:t>针对前述事项，律师主要实施了以下核查程序：</w:t>
      </w:r>
    </w:p>
    <w:p w14:paraId="67859520" w14:textId="77777777" w:rsidR="00E76498" w:rsidRDefault="00E76498" w:rsidP="00E76498">
      <w:pPr>
        <w:pStyle w:val="005"/>
        <w:spacing w:before="120" w:after="120"/>
        <w:ind w:firstLine="480"/>
      </w:pPr>
      <w:r>
        <w:rPr>
          <w:rFonts w:hint="eastAsia"/>
        </w:rPr>
        <w:t>（</w:t>
      </w:r>
      <w:r>
        <w:rPr>
          <w:rFonts w:hint="eastAsia"/>
        </w:rPr>
        <w:t>1</w:t>
      </w:r>
      <w:r>
        <w:rPr>
          <w:rFonts w:hint="eastAsia"/>
        </w:rPr>
        <w:t>）取得并查阅了标的公司的工商档案、历次增资及股权转让协议、支付凭证等材料；</w:t>
      </w:r>
    </w:p>
    <w:p w14:paraId="0AB6E497" w14:textId="77777777" w:rsidR="00E76498" w:rsidRDefault="00E76498" w:rsidP="00E76498">
      <w:pPr>
        <w:pStyle w:val="005"/>
        <w:spacing w:before="120" w:after="120"/>
        <w:ind w:firstLine="480"/>
      </w:pPr>
      <w:r>
        <w:rPr>
          <w:rFonts w:hint="eastAsia"/>
        </w:rPr>
        <w:t>（</w:t>
      </w:r>
      <w:r>
        <w:rPr>
          <w:rFonts w:hint="eastAsia"/>
        </w:rPr>
        <w:t>2</w:t>
      </w:r>
      <w:r>
        <w:rPr>
          <w:rFonts w:hint="eastAsia"/>
        </w:rPr>
        <w:t>）取得并查阅了标的公司股东出具的调查表、承诺函等文件；</w:t>
      </w:r>
    </w:p>
    <w:p w14:paraId="256C20EA" w14:textId="77777777" w:rsidR="00E76498" w:rsidRDefault="00E76498" w:rsidP="00E76498">
      <w:pPr>
        <w:pStyle w:val="005"/>
        <w:spacing w:before="120" w:after="120"/>
        <w:ind w:firstLine="480"/>
      </w:pPr>
      <w:r>
        <w:rPr>
          <w:rFonts w:hint="eastAsia"/>
        </w:rPr>
        <w:t>（</w:t>
      </w:r>
      <w:r>
        <w:rPr>
          <w:rFonts w:hint="eastAsia"/>
        </w:rPr>
        <w:t>3</w:t>
      </w:r>
      <w:r>
        <w:rPr>
          <w:rFonts w:hint="eastAsia"/>
        </w:rPr>
        <w:t>）就标的公司历次增资及股权转让事项访谈了标的公司股东；</w:t>
      </w:r>
    </w:p>
    <w:p w14:paraId="4037835B" w14:textId="77777777" w:rsidR="00E76498" w:rsidRDefault="00E76498" w:rsidP="00E76498">
      <w:pPr>
        <w:pStyle w:val="005"/>
        <w:spacing w:before="120" w:after="120"/>
        <w:ind w:firstLine="480"/>
      </w:pPr>
      <w:r>
        <w:rPr>
          <w:rFonts w:hint="eastAsia"/>
        </w:rPr>
        <w:t>（</w:t>
      </w:r>
      <w:r>
        <w:rPr>
          <w:rFonts w:hint="eastAsia"/>
        </w:rPr>
        <w:t>4</w:t>
      </w:r>
      <w:r>
        <w:rPr>
          <w:rFonts w:hint="eastAsia"/>
        </w:rPr>
        <w:t>）对标的公司历次增资及股权转让涉及股份支付费用计提账务处理进行了复核；</w:t>
      </w:r>
    </w:p>
    <w:p w14:paraId="2CB70570" w14:textId="77777777" w:rsidR="00E76498" w:rsidRDefault="00E76498" w:rsidP="00E76498">
      <w:pPr>
        <w:pStyle w:val="005"/>
        <w:spacing w:before="120" w:after="120"/>
        <w:ind w:firstLine="480"/>
      </w:pPr>
      <w:r>
        <w:rPr>
          <w:rFonts w:hint="eastAsia"/>
        </w:rPr>
        <w:t>（</w:t>
      </w:r>
      <w:r>
        <w:rPr>
          <w:rFonts w:hint="eastAsia"/>
        </w:rPr>
        <w:t>5</w:t>
      </w:r>
      <w:r>
        <w:rPr>
          <w:rFonts w:hint="eastAsia"/>
        </w:rPr>
        <w:t>）取得并查阅了标的公司历次减资的减资协议、减资对价支付凭证、减资履行的相关股东会决议程、减资公告程序及工商变更程序资料；</w:t>
      </w:r>
    </w:p>
    <w:p w14:paraId="04586931" w14:textId="77777777" w:rsidR="00E76498" w:rsidRDefault="00E76498" w:rsidP="00E76498">
      <w:pPr>
        <w:pStyle w:val="005"/>
        <w:spacing w:before="120" w:after="120"/>
        <w:ind w:firstLine="480"/>
      </w:pPr>
      <w:r>
        <w:rPr>
          <w:rFonts w:hint="eastAsia"/>
        </w:rPr>
        <w:t>（</w:t>
      </w:r>
      <w:r>
        <w:rPr>
          <w:rFonts w:hint="eastAsia"/>
        </w:rPr>
        <w:t>6</w:t>
      </w:r>
      <w:r>
        <w:rPr>
          <w:rFonts w:hint="eastAsia"/>
        </w:rPr>
        <w:t>）就杨裕雄所持标的公司股权未纳入本次交易的原因及后续收购计划访谈上市公司董事会秘书；</w:t>
      </w:r>
    </w:p>
    <w:p w14:paraId="4EC82590" w14:textId="77777777" w:rsidR="00E76498" w:rsidRDefault="00E76498" w:rsidP="00E76498">
      <w:pPr>
        <w:pStyle w:val="005"/>
        <w:spacing w:before="120" w:after="120"/>
        <w:ind w:firstLine="480"/>
      </w:pPr>
      <w:r>
        <w:rPr>
          <w:rFonts w:hint="eastAsia"/>
        </w:rPr>
        <w:t>（</w:t>
      </w:r>
      <w:r>
        <w:rPr>
          <w:rFonts w:hint="eastAsia"/>
        </w:rPr>
        <w:t>7</w:t>
      </w:r>
      <w:r>
        <w:rPr>
          <w:rFonts w:hint="eastAsia"/>
        </w:rPr>
        <w:t>）通过网络核查等方式对标的公司历史沿革及标的公司股东情况、所持股权情况进行核查；</w:t>
      </w:r>
    </w:p>
    <w:p w14:paraId="6F55D7F5" w14:textId="77777777" w:rsidR="00E76498" w:rsidRDefault="00E76498" w:rsidP="00E76498">
      <w:pPr>
        <w:pStyle w:val="005"/>
        <w:spacing w:before="120" w:after="120"/>
        <w:ind w:firstLine="480"/>
      </w:pPr>
      <w:r>
        <w:rPr>
          <w:rFonts w:hint="eastAsia"/>
        </w:rPr>
        <w:t>（</w:t>
      </w:r>
      <w:r>
        <w:rPr>
          <w:rFonts w:hint="eastAsia"/>
        </w:rPr>
        <w:t>8</w:t>
      </w:r>
      <w:r>
        <w:rPr>
          <w:rFonts w:hint="eastAsia"/>
        </w:rPr>
        <w:t>）就标的公司员工持股平台内部历史代持事宜取得相关代持协议、代持解除协议及代持流水资料；</w:t>
      </w:r>
    </w:p>
    <w:p w14:paraId="4B4AB941" w14:textId="77777777" w:rsidR="00E76498" w:rsidRDefault="00E76498" w:rsidP="00E76498">
      <w:pPr>
        <w:pStyle w:val="005"/>
        <w:spacing w:before="120" w:after="120"/>
        <w:ind w:firstLine="480"/>
      </w:pPr>
      <w:r>
        <w:rPr>
          <w:rFonts w:hint="eastAsia"/>
        </w:rPr>
        <w:t>（</w:t>
      </w:r>
      <w:r>
        <w:rPr>
          <w:rFonts w:hint="eastAsia"/>
        </w:rPr>
        <w:t>9</w:t>
      </w:r>
      <w:r>
        <w:rPr>
          <w:rFonts w:hint="eastAsia"/>
        </w:rPr>
        <w:t>）取得并查阅了标的公司、标的公司股东之间签署的涉及殊权利约定的</w:t>
      </w:r>
      <w:r>
        <w:rPr>
          <w:rFonts w:hint="eastAsia"/>
        </w:rPr>
        <w:lastRenderedPageBreak/>
        <w:t>相关协议。</w:t>
      </w:r>
    </w:p>
    <w:p w14:paraId="0CB1D825" w14:textId="77777777" w:rsidR="00E76498" w:rsidRDefault="00E76498" w:rsidP="00E76498">
      <w:pPr>
        <w:pStyle w:val="004"/>
        <w:spacing w:before="120" w:after="120"/>
        <w:ind w:firstLine="482"/>
      </w:pPr>
      <w:r>
        <w:rPr>
          <w:rFonts w:hint="eastAsia"/>
        </w:rPr>
        <w:t>2</w:t>
      </w:r>
      <w:r>
        <w:rPr>
          <w:rFonts w:hint="eastAsia"/>
        </w:rPr>
        <w:t>、核查意见</w:t>
      </w:r>
    </w:p>
    <w:p w14:paraId="1DBDBBA4" w14:textId="77777777" w:rsidR="00E76498" w:rsidRDefault="00E76498" w:rsidP="00E76498">
      <w:pPr>
        <w:pStyle w:val="005"/>
        <w:spacing w:before="120" w:after="120"/>
        <w:ind w:firstLine="480"/>
      </w:pPr>
      <w:r>
        <w:rPr>
          <w:rFonts w:hint="eastAsia"/>
        </w:rPr>
        <w:t>经核查，律师认为：</w:t>
      </w:r>
    </w:p>
    <w:p w14:paraId="12D43EE6" w14:textId="77777777" w:rsidR="00E76498" w:rsidRDefault="00E76498" w:rsidP="00E76498">
      <w:pPr>
        <w:pStyle w:val="005"/>
        <w:spacing w:before="120" w:after="120"/>
        <w:ind w:firstLine="480"/>
      </w:pPr>
      <w:r>
        <w:rPr>
          <w:rFonts w:hint="eastAsia"/>
        </w:rPr>
        <w:t>（</w:t>
      </w:r>
      <w:r>
        <w:rPr>
          <w:rFonts w:hint="eastAsia"/>
        </w:rPr>
        <w:t>1</w:t>
      </w:r>
      <w:r>
        <w:rPr>
          <w:rFonts w:hint="eastAsia"/>
        </w:rPr>
        <w:t>）标的资产及前身历次增资及股权转让的作价公允，标的资产管理层及相关持股平台入股存在股份支付，标的资产相应股份支付费用计提准确，申报文件中相关财务数据准确；</w:t>
      </w:r>
    </w:p>
    <w:p w14:paraId="737DB97F" w14:textId="77777777" w:rsidR="00E76498" w:rsidRDefault="00E76498" w:rsidP="00E76498">
      <w:pPr>
        <w:pStyle w:val="005"/>
        <w:spacing w:before="120" w:after="120"/>
        <w:ind w:firstLine="480"/>
      </w:pPr>
      <w:r>
        <w:rPr>
          <w:rFonts w:hint="eastAsia"/>
        </w:rPr>
        <w:t>（</w:t>
      </w:r>
      <w:r>
        <w:rPr>
          <w:rFonts w:hint="eastAsia"/>
        </w:rPr>
        <w:t>2</w:t>
      </w:r>
      <w:r>
        <w:rPr>
          <w:rFonts w:hint="eastAsia"/>
        </w:rPr>
        <w:t>）</w:t>
      </w:r>
      <w:r>
        <w:rPr>
          <w:rFonts w:hint="eastAsia"/>
        </w:rPr>
        <w:t>2017</w:t>
      </w:r>
      <w:r>
        <w:rPr>
          <w:rFonts w:hint="eastAsia"/>
        </w:rPr>
        <w:t>年</w:t>
      </w:r>
      <w:r>
        <w:rPr>
          <w:rFonts w:hint="eastAsia"/>
        </w:rPr>
        <w:t>3</w:t>
      </w:r>
      <w:r>
        <w:rPr>
          <w:rFonts w:hint="eastAsia"/>
        </w:rPr>
        <w:t>月广发信德科文、珠海康远通过增资及股权转让方式投资星云开物，以差异化定价方式协商确定增资及股权转让价格，作价具有合理性；</w:t>
      </w:r>
    </w:p>
    <w:p w14:paraId="394222F7" w14:textId="77777777" w:rsidR="00E76498" w:rsidRDefault="00E76498" w:rsidP="00E76498">
      <w:pPr>
        <w:pStyle w:val="005"/>
        <w:spacing w:before="120" w:after="120"/>
        <w:ind w:firstLine="480"/>
      </w:pPr>
      <w:r>
        <w:rPr>
          <w:rFonts w:hint="eastAsia"/>
        </w:rPr>
        <w:t>（</w:t>
      </w:r>
      <w:r>
        <w:rPr>
          <w:rFonts w:hint="eastAsia"/>
        </w:rPr>
        <w:t>3</w:t>
      </w:r>
      <w:r>
        <w:rPr>
          <w:rFonts w:hint="eastAsia"/>
        </w:rPr>
        <w:t>）乐哈哈在两日内受让即转让系乐哈哈与转让方徐德强约定由徐德强转让给乐哈哈的标的公司股权中一半作为预留激励池用于标的公司未来股权激励，一半为徐德强拟对外出售给投资人股权，乐哈哈与转让方之间转让完成后，再由乐哈哈将前述徐德强拟对外出售给投资人的股权转让给投资人（即南通成为长青），交易具有合理性；徐德强、乐哈哈、南通成为长青之间不存在关联关系，不存在利益输送情形，交易价格公允；徐德强转让给乐哈哈的部分股权在后续进行股权激励授予时构成股份支付，已计提相关费用，费用计提充分、准确、完整，申报文件中相关财务数据准确。乐腾腾受让及转让作价均系与转让及受让对方协商确定，具有商业合理性，其受让作价对应标的公司估值虽略低于其转让作价，但考虑到乐腾腾受让及转让背景及标的公司撮合作用，该等差异具有合理性；乐腾腾与转让方及受让方之间不存在关联关系，股权受让及转让过程不存在利益输送情形，交易价格公允；乐腾腾受让并转让完成后剩余未转出部分股权在后续进行股权激励授予时构成股份支付，已计提相关费用，费用计提充分、准确、完整，申报文件中相关财务数据准确；</w:t>
      </w:r>
    </w:p>
    <w:p w14:paraId="394431E0" w14:textId="77777777" w:rsidR="00E76498" w:rsidRDefault="00E76498" w:rsidP="00E76498">
      <w:pPr>
        <w:pStyle w:val="005"/>
        <w:spacing w:before="120" w:after="120"/>
        <w:ind w:firstLine="480"/>
      </w:pPr>
      <w:r>
        <w:rPr>
          <w:rFonts w:hint="eastAsia"/>
        </w:rPr>
        <w:t>（</w:t>
      </w:r>
      <w:r>
        <w:rPr>
          <w:rFonts w:hint="eastAsia"/>
        </w:rPr>
        <w:t>4</w:t>
      </w:r>
      <w:r>
        <w:rPr>
          <w:rFonts w:hint="eastAsia"/>
        </w:rPr>
        <w:t>）标的资产相关股东减资价格具有公允性；截至本补充法律意见书出具之日，标的公司不存在尚待支付的减资款，不存在纠纷或潜在纠纷，支付减资款对标的资产生产经营和流动性不存在重大不利影响；标的资产的生产经营稳定，所处行业不存在重大不利因素，本次交易有利于提高上市公司资产质量、增强持续经营能力；</w:t>
      </w:r>
    </w:p>
    <w:p w14:paraId="083A378B" w14:textId="77777777" w:rsidR="00E76498" w:rsidRDefault="00E76498" w:rsidP="00E76498">
      <w:pPr>
        <w:pStyle w:val="005"/>
        <w:spacing w:before="120" w:after="120"/>
        <w:ind w:firstLine="480"/>
      </w:pPr>
      <w:r>
        <w:rPr>
          <w:rFonts w:hint="eastAsia"/>
        </w:rPr>
        <w:t>（</w:t>
      </w:r>
      <w:r>
        <w:rPr>
          <w:rFonts w:hint="eastAsia"/>
        </w:rPr>
        <w:t>5</w:t>
      </w:r>
      <w:r>
        <w:rPr>
          <w:rFonts w:hint="eastAsia"/>
        </w:rPr>
        <w:t>）璀璨远见、璀璨德商在减资的同月受让标的资产股权系基于独立商业</w:t>
      </w:r>
      <w:r>
        <w:rPr>
          <w:rFonts w:hint="eastAsia"/>
        </w:rPr>
        <w:lastRenderedPageBreak/>
        <w:t>判断进行的投资行为，具有商业合理性，璀璨远见、璀璨德商与转让方原本俱甲历史上曾属于同一控制下企业，转让不存在利益输送，价格公允，不构成股份支付；</w:t>
      </w:r>
    </w:p>
    <w:p w14:paraId="3C7188D1" w14:textId="77777777" w:rsidR="00E76498" w:rsidRDefault="00E76498" w:rsidP="00E76498">
      <w:pPr>
        <w:pStyle w:val="005"/>
        <w:spacing w:before="120" w:after="120"/>
        <w:ind w:firstLine="480"/>
      </w:pPr>
      <w:r>
        <w:rPr>
          <w:rFonts w:hint="eastAsia"/>
        </w:rPr>
        <w:t>（</w:t>
      </w:r>
      <w:r>
        <w:rPr>
          <w:rFonts w:hint="eastAsia"/>
        </w:rPr>
        <w:t>6</w:t>
      </w:r>
      <w:r>
        <w:rPr>
          <w:rFonts w:hint="eastAsia"/>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补充法律意见书出具日，上市公司与杨裕雄未就后续收购达成任何收购计划，杨裕雄所持标的公司股权不存在权利受限情形。</w:t>
      </w:r>
    </w:p>
    <w:p w14:paraId="6A9A920A" w14:textId="77777777" w:rsidR="00E76498" w:rsidRDefault="00E76498" w:rsidP="00E76498">
      <w:pPr>
        <w:pStyle w:val="005"/>
        <w:spacing w:before="120" w:after="120"/>
        <w:ind w:firstLine="480"/>
      </w:pPr>
      <w:r>
        <w:rPr>
          <w:rFonts w:hint="eastAsia"/>
        </w:rPr>
        <w:t>（</w:t>
      </w:r>
      <w:r>
        <w:rPr>
          <w:rFonts w:hint="eastAsia"/>
        </w:rPr>
        <w:t>7</w:t>
      </w:r>
      <w:r>
        <w:rPr>
          <w:rFonts w:hint="eastAsia"/>
        </w:rPr>
        <w:t>）标的公司历史上存在陈耿豪在持股平台代员工持有激励股权以及张杰波代杨凯然在持股平台持股情况，标的公司对前述股权代持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本次交易的交易对方所持标的公司股权权属清晰，不存在股权质押冻结、争议纠纷或潜在纠纷，未来资产过户不存在障碍。</w:t>
      </w:r>
    </w:p>
    <w:p w14:paraId="46E17AD9" w14:textId="77777777" w:rsidR="00E76498" w:rsidRPr="00DA3766" w:rsidRDefault="00E76498" w:rsidP="00E76498">
      <w:pPr>
        <w:pStyle w:val="005"/>
        <w:spacing w:before="120" w:after="120"/>
        <w:ind w:firstLine="480"/>
      </w:pPr>
      <w:r>
        <w:rPr>
          <w:rFonts w:hint="eastAsia"/>
        </w:rPr>
        <w:t>（</w:t>
      </w:r>
      <w:r>
        <w:rPr>
          <w:rFonts w:hint="eastAsia"/>
        </w:rPr>
        <w:t>8</w:t>
      </w:r>
      <w:r>
        <w:rPr>
          <w:rFonts w:hint="eastAsia"/>
        </w:rPr>
        <w:t>）截至本补充法律意见书出具之日，标的公司、标的公司股东之间签署的现行有效的特殊权利约定已进行有效解除，不会对本次交易构成重大不利影响。除已披露的协议外，标的公司、标的公司股东之间不存在其他应披露而未披露的可能对本次交易产生影响、影响标的资产独立性的协议或其他安排；对赌协议相关方当中，陈耿豪系标的公司实际控制人，杨凯然、张杰波、胡俊、王佳均为标的公司董事及管理层，除此之外，对赌协议相关方同上市公司、上市公司董及高级管理人员、上市公司实际控制人、标的资产、标的资产董监高人员、标的资产实际控制人之间不存在其他关联关系或潜在利益关系；截至本补充法律意见书出具日，标的资产未再作为义务人仍承担相关义务。</w:t>
      </w:r>
    </w:p>
    <w:p w14:paraId="5332C247" w14:textId="77777777" w:rsidR="00E76498" w:rsidRPr="00DA3766" w:rsidRDefault="00E76498" w:rsidP="00E76498">
      <w:pPr>
        <w:pStyle w:val="003"/>
        <w:spacing w:before="120" w:after="120"/>
        <w:ind w:firstLine="482"/>
      </w:pPr>
      <w:r>
        <w:rPr>
          <w:rFonts w:hint="eastAsia"/>
        </w:rPr>
        <w:lastRenderedPageBreak/>
        <w:t>（三）会计师</w:t>
      </w:r>
      <w:r w:rsidRPr="00DA3766">
        <w:t>核查过程及核查意见</w:t>
      </w:r>
    </w:p>
    <w:p w14:paraId="5D5409C3" w14:textId="77777777" w:rsidR="00E76498" w:rsidRDefault="00E76498" w:rsidP="00E76498">
      <w:pPr>
        <w:pStyle w:val="004"/>
        <w:spacing w:before="120" w:after="120"/>
        <w:ind w:firstLine="482"/>
      </w:pPr>
      <w:r>
        <w:rPr>
          <w:rFonts w:hint="eastAsia"/>
        </w:rPr>
        <w:t>1</w:t>
      </w:r>
      <w:r>
        <w:rPr>
          <w:rFonts w:hint="eastAsia"/>
        </w:rPr>
        <w:t>、</w:t>
      </w:r>
      <w:r w:rsidRPr="00DA3766">
        <w:t>核查程序</w:t>
      </w:r>
    </w:p>
    <w:p w14:paraId="7C077439" w14:textId="77777777" w:rsidR="00E76498" w:rsidRDefault="00E76498" w:rsidP="00E76498">
      <w:pPr>
        <w:pStyle w:val="005"/>
        <w:spacing w:before="120" w:after="120"/>
        <w:ind w:firstLine="480"/>
      </w:pPr>
      <w:r>
        <w:rPr>
          <w:rFonts w:hint="eastAsia"/>
        </w:rPr>
        <w:t>针对前述事项，会计师主要实施了以下核查程序：</w:t>
      </w:r>
    </w:p>
    <w:p w14:paraId="4502AE9C" w14:textId="77777777" w:rsidR="00E76498" w:rsidRDefault="00E76498" w:rsidP="00E76498">
      <w:pPr>
        <w:pStyle w:val="005"/>
        <w:spacing w:before="120" w:after="120"/>
        <w:ind w:firstLine="480"/>
      </w:pPr>
      <w:r>
        <w:rPr>
          <w:rFonts w:hint="eastAsia"/>
        </w:rPr>
        <w:t>（</w:t>
      </w:r>
      <w:r>
        <w:rPr>
          <w:rFonts w:hint="eastAsia"/>
        </w:rPr>
        <w:t>1</w:t>
      </w:r>
      <w:r>
        <w:rPr>
          <w:rFonts w:hint="eastAsia"/>
        </w:rPr>
        <w:t>）取得并查阅了标的公司的工商档案、历次增资及股权转让协议、支付凭证等材料；</w:t>
      </w:r>
    </w:p>
    <w:p w14:paraId="12F172E9" w14:textId="77777777" w:rsidR="00E76498" w:rsidRDefault="00E76498" w:rsidP="00E76498">
      <w:pPr>
        <w:pStyle w:val="005"/>
        <w:spacing w:before="120" w:after="120"/>
        <w:ind w:firstLine="480"/>
      </w:pPr>
      <w:r>
        <w:rPr>
          <w:rFonts w:hint="eastAsia"/>
        </w:rPr>
        <w:t>（</w:t>
      </w:r>
      <w:r>
        <w:rPr>
          <w:rFonts w:hint="eastAsia"/>
        </w:rPr>
        <w:t>2</w:t>
      </w:r>
      <w:r>
        <w:rPr>
          <w:rFonts w:hint="eastAsia"/>
        </w:rPr>
        <w:t>）取得并查阅了标的公司股东出具的调查表、承诺函等文件；</w:t>
      </w:r>
    </w:p>
    <w:p w14:paraId="53D21F1F" w14:textId="77777777" w:rsidR="00E76498" w:rsidRDefault="00E76498" w:rsidP="00E76498">
      <w:pPr>
        <w:pStyle w:val="005"/>
        <w:spacing w:before="120" w:after="120"/>
        <w:ind w:firstLine="480"/>
      </w:pPr>
      <w:r>
        <w:rPr>
          <w:rFonts w:hint="eastAsia"/>
        </w:rPr>
        <w:t>（</w:t>
      </w:r>
      <w:r>
        <w:rPr>
          <w:rFonts w:hint="eastAsia"/>
        </w:rPr>
        <w:t>3</w:t>
      </w:r>
      <w:r>
        <w:rPr>
          <w:rFonts w:hint="eastAsia"/>
        </w:rPr>
        <w:t>）就标的公司历次增资及股权转让事项访谈了标的公司股东；</w:t>
      </w:r>
    </w:p>
    <w:p w14:paraId="3F00D73B" w14:textId="77777777" w:rsidR="00E76498" w:rsidRDefault="00E76498" w:rsidP="00E76498">
      <w:pPr>
        <w:pStyle w:val="005"/>
        <w:spacing w:before="120" w:after="120"/>
        <w:ind w:firstLine="480"/>
      </w:pPr>
      <w:r>
        <w:rPr>
          <w:rFonts w:hint="eastAsia"/>
        </w:rPr>
        <w:t>（</w:t>
      </w:r>
      <w:r>
        <w:rPr>
          <w:rFonts w:hint="eastAsia"/>
        </w:rPr>
        <w:t>4</w:t>
      </w:r>
      <w:r>
        <w:rPr>
          <w:rFonts w:hint="eastAsia"/>
        </w:rPr>
        <w:t>）对标的公司历次增资及股权转让涉及股份支付费用计提账务处理进行了复核；</w:t>
      </w:r>
    </w:p>
    <w:p w14:paraId="1E4DCCA6" w14:textId="77777777" w:rsidR="00E76498" w:rsidRDefault="00E76498" w:rsidP="00E76498">
      <w:pPr>
        <w:pStyle w:val="005"/>
        <w:spacing w:before="120" w:after="120"/>
        <w:ind w:firstLine="480"/>
      </w:pPr>
      <w:r>
        <w:rPr>
          <w:rFonts w:hint="eastAsia"/>
        </w:rPr>
        <w:t>（</w:t>
      </w:r>
      <w:r>
        <w:rPr>
          <w:rFonts w:hint="eastAsia"/>
        </w:rPr>
        <w:t>5</w:t>
      </w:r>
      <w:r>
        <w:rPr>
          <w:rFonts w:hint="eastAsia"/>
        </w:rPr>
        <w:t>）取得并查阅了标的公司历次减资的减资协议、减资对价支付凭证、减资履行的相关股东会决议程、减资公告程序及工商变更程序资料；</w:t>
      </w:r>
    </w:p>
    <w:p w14:paraId="29B0CA75" w14:textId="77777777" w:rsidR="00E76498" w:rsidRDefault="00E76498" w:rsidP="00E76498">
      <w:pPr>
        <w:pStyle w:val="005"/>
        <w:spacing w:before="120" w:after="120"/>
        <w:ind w:firstLine="480"/>
      </w:pPr>
      <w:r>
        <w:rPr>
          <w:rFonts w:hint="eastAsia"/>
        </w:rPr>
        <w:t>（</w:t>
      </w:r>
      <w:r>
        <w:rPr>
          <w:rFonts w:hint="eastAsia"/>
        </w:rPr>
        <w:t>6</w:t>
      </w:r>
      <w:r>
        <w:rPr>
          <w:rFonts w:hint="eastAsia"/>
        </w:rPr>
        <w:t>）就杨裕雄所持标的公司股权未纳入本次交易的原因及后续收购计划访谈上市公司董事会秘书；</w:t>
      </w:r>
    </w:p>
    <w:p w14:paraId="7E53AF49" w14:textId="77777777" w:rsidR="00E76498" w:rsidRDefault="00E76498" w:rsidP="00E76498">
      <w:pPr>
        <w:pStyle w:val="005"/>
        <w:spacing w:before="120" w:after="120"/>
        <w:ind w:firstLine="480"/>
      </w:pPr>
      <w:r>
        <w:rPr>
          <w:rFonts w:hint="eastAsia"/>
        </w:rPr>
        <w:t>（</w:t>
      </w:r>
      <w:r>
        <w:rPr>
          <w:rFonts w:hint="eastAsia"/>
        </w:rPr>
        <w:t>7</w:t>
      </w:r>
      <w:r>
        <w:rPr>
          <w:rFonts w:hint="eastAsia"/>
        </w:rPr>
        <w:t>）通过网络核查等方式对标的公司历史沿革及标的公司股东情况、所持股权情况进行核查；</w:t>
      </w:r>
    </w:p>
    <w:p w14:paraId="6B7879FB" w14:textId="77777777" w:rsidR="00E76498" w:rsidRDefault="00E76498" w:rsidP="00E76498">
      <w:pPr>
        <w:pStyle w:val="005"/>
        <w:spacing w:before="120" w:after="120"/>
        <w:ind w:firstLine="480"/>
      </w:pPr>
      <w:r>
        <w:rPr>
          <w:rFonts w:hint="eastAsia"/>
        </w:rPr>
        <w:t>（</w:t>
      </w:r>
      <w:r>
        <w:rPr>
          <w:rFonts w:hint="eastAsia"/>
        </w:rPr>
        <w:t>8</w:t>
      </w:r>
      <w:r>
        <w:rPr>
          <w:rFonts w:hint="eastAsia"/>
        </w:rPr>
        <w:t>）就标的公司员工持股平台内部历史代持事宜取得相关代持协议、代持解除协议及代持流水资料；</w:t>
      </w:r>
    </w:p>
    <w:p w14:paraId="07EC72C5" w14:textId="77777777" w:rsidR="00E76498" w:rsidRDefault="00E76498" w:rsidP="00E76498">
      <w:pPr>
        <w:pStyle w:val="005"/>
        <w:spacing w:before="120" w:after="120"/>
        <w:ind w:firstLine="480"/>
      </w:pPr>
      <w:r>
        <w:rPr>
          <w:rFonts w:hint="eastAsia"/>
        </w:rPr>
        <w:t>（</w:t>
      </w:r>
      <w:r>
        <w:rPr>
          <w:rFonts w:hint="eastAsia"/>
        </w:rPr>
        <w:t>9</w:t>
      </w:r>
      <w:r>
        <w:rPr>
          <w:rFonts w:hint="eastAsia"/>
        </w:rPr>
        <w:t>）取得并查阅了标的公司、标的公司股东之间签署的涉及特殊权利约定的相关协议。</w:t>
      </w:r>
    </w:p>
    <w:p w14:paraId="14FBA84A" w14:textId="77777777" w:rsidR="00E76498" w:rsidRPr="00DA3766" w:rsidRDefault="00E76498" w:rsidP="00E76498">
      <w:pPr>
        <w:pStyle w:val="004"/>
        <w:spacing w:before="120" w:after="120"/>
        <w:ind w:firstLine="482"/>
      </w:pPr>
      <w:r>
        <w:rPr>
          <w:rFonts w:hint="eastAsia"/>
        </w:rPr>
        <w:t>2</w:t>
      </w:r>
      <w:r>
        <w:rPr>
          <w:rFonts w:hint="eastAsia"/>
        </w:rPr>
        <w:t>、核查意见</w:t>
      </w:r>
    </w:p>
    <w:p w14:paraId="1573E59E" w14:textId="77777777" w:rsidR="00E76498" w:rsidRPr="00176184" w:rsidRDefault="00E76498" w:rsidP="00E76498">
      <w:pPr>
        <w:widowControl w:val="0"/>
        <w:spacing w:before="120" w:after="120"/>
        <w:ind w:firstLine="480"/>
        <w:jc w:val="both"/>
        <w:rPr>
          <w:rFonts w:ascii="Times New Roman" w:hAnsi="Times New Roman" w:cs="Times New Roman"/>
          <w:kern w:val="2"/>
          <w:szCs w:val="22"/>
        </w:rPr>
      </w:pPr>
      <w:r w:rsidRPr="00176184">
        <w:rPr>
          <w:rFonts w:ascii="Times New Roman" w:hAnsi="Times New Roman" w:cs="Times New Roman" w:hint="eastAsia"/>
          <w:kern w:val="2"/>
          <w:szCs w:val="22"/>
        </w:rPr>
        <w:t>经核查，会计师认为：</w:t>
      </w:r>
    </w:p>
    <w:p w14:paraId="1A3CA3DC" w14:textId="77777777" w:rsidR="00E76498" w:rsidRPr="00176184"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1</w:t>
      </w:r>
      <w:r>
        <w:rPr>
          <w:rFonts w:ascii="Times New Roman" w:hAnsi="Times New Roman" w:cs="Times New Roman" w:hint="eastAsia"/>
          <w:kern w:val="2"/>
          <w:szCs w:val="22"/>
        </w:rPr>
        <w:t>）</w:t>
      </w:r>
      <w:r w:rsidRPr="00176184">
        <w:rPr>
          <w:rFonts w:ascii="Times New Roman" w:hAnsi="Times New Roman" w:cs="Times New Roman" w:hint="eastAsia"/>
          <w:kern w:val="2"/>
          <w:szCs w:val="22"/>
        </w:rPr>
        <w:t>标的资产及前身历次增资及股权转让的作价公允，标的资产管理层及相关持股平台入股存在股份支付，标的资产相应股份支付费用计提准确，申报文件中相关财务数据准确；</w:t>
      </w:r>
    </w:p>
    <w:p w14:paraId="2366F103" w14:textId="77777777" w:rsidR="00E76498" w:rsidRPr="00176184"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2</w:t>
      </w:r>
      <w:r>
        <w:rPr>
          <w:rFonts w:ascii="Times New Roman" w:hAnsi="Times New Roman" w:cs="Times New Roman" w:hint="eastAsia"/>
          <w:kern w:val="2"/>
          <w:szCs w:val="22"/>
        </w:rPr>
        <w:t>）</w:t>
      </w:r>
      <w:r w:rsidRPr="00176184">
        <w:rPr>
          <w:rFonts w:ascii="Times New Roman" w:hAnsi="Times New Roman" w:cs="Times New Roman" w:hint="eastAsia"/>
          <w:kern w:val="2"/>
          <w:szCs w:val="22"/>
        </w:rPr>
        <w:t>乐哈哈在两日内受让即转让系乐哈哈与转让方徐德强约定由徐德强转让给乐哈哈的标的公司股权中一半作为预留激励池用于标的公司未来股权激励，</w:t>
      </w:r>
      <w:r w:rsidRPr="00176184">
        <w:rPr>
          <w:rFonts w:ascii="Times New Roman" w:hAnsi="Times New Roman" w:cs="Times New Roman" w:hint="eastAsia"/>
          <w:kern w:val="2"/>
          <w:szCs w:val="22"/>
        </w:rPr>
        <w:lastRenderedPageBreak/>
        <w:t>一半为徐德强拟对外出售给投资人股权，乐哈哈与转让方之间转让完成后，再由乐哈哈将前述徐德强拟对外出售给投资人的股权转让给投资人（即南通成为长青），交易具有合理性；徐德强、乐哈哈、南通成为长青之间不存在关联关系，不存在利益输送情形，交易价格公允；徐德强转让给乐哈哈的部分股权在后续进行股权激励授予时构成股份支付，已计提相关费用，费用计提充分、准确、完整，申报文件中相关财务数据准确。乐腾腾受让及转让作价均系与转让及受让对方协商确定，具有商业合理性，其受让作价对应标的公司估值虽略低于其转让作价，但考虑到乐腾腾受让及转让背景及标的公司撮合作用，该等差异具有合理性；乐腾腾与转让方及受让方之间不存在关联关系，股权受让及转让过程不存在利益输送情形，交易价格公允；乐腾腾受让并转让完成后剩余未转出部分股权在后续进行股权激励授予时构成股份支付，已计提相关费用，费用计提充分、准确、完整，申报文件中相关财务数据准确；</w:t>
      </w:r>
    </w:p>
    <w:p w14:paraId="3F38BB82" w14:textId="77777777" w:rsidR="00E76498" w:rsidRPr="00176184"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3</w:t>
      </w:r>
      <w:r>
        <w:rPr>
          <w:rFonts w:ascii="Times New Roman" w:hAnsi="Times New Roman" w:cs="Times New Roman" w:hint="eastAsia"/>
          <w:kern w:val="2"/>
          <w:szCs w:val="22"/>
        </w:rPr>
        <w:t>）</w:t>
      </w:r>
      <w:r w:rsidRPr="00176184">
        <w:rPr>
          <w:rFonts w:ascii="Times New Roman" w:hAnsi="Times New Roman" w:cs="Times New Roman" w:hint="eastAsia"/>
          <w:kern w:val="2"/>
          <w:szCs w:val="22"/>
        </w:rPr>
        <w:t>标的资产相关股东减资价格具有公允性；截至本回复出具之日，标的公司不存在尚待支付的减资款，不存在纠纷或潜在纠纷，支付减资款对标的资产生产经营和流动性不存在重大不利影响；标的资产的生产经营稳定，所处行业不存在重大不利因素，本次交易有利于提高上市公司资产质量、增强持续经营能力；</w:t>
      </w:r>
    </w:p>
    <w:p w14:paraId="7E7E45A3" w14:textId="77777777" w:rsidR="00E76498" w:rsidRPr="00176184"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4</w:t>
      </w:r>
      <w:r>
        <w:rPr>
          <w:rFonts w:ascii="Times New Roman" w:hAnsi="Times New Roman" w:cs="Times New Roman" w:hint="eastAsia"/>
          <w:kern w:val="2"/>
          <w:szCs w:val="22"/>
        </w:rPr>
        <w:t>）</w:t>
      </w:r>
      <w:r w:rsidRPr="00176184">
        <w:rPr>
          <w:rFonts w:ascii="Times New Roman" w:hAnsi="Times New Roman" w:cs="Times New Roman" w:hint="eastAsia"/>
          <w:kern w:val="2"/>
          <w:szCs w:val="22"/>
        </w:rPr>
        <w:t>璀璨远见、璀璨德商在减资的同月受让标的资产股权系基于独立商业判断进行的投资行为，具有商业合理性，璀璨远见、璀璨德商与转让方原本俱甲历史上曾属于同一控制下企业，转让不存在利益输送，价格公允，不构成股份支付；</w:t>
      </w:r>
    </w:p>
    <w:p w14:paraId="4D426F22" w14:textId="77777777" w:rsidR="00E76498" w:rsidRPr="00DA3766" w:rsidRDefault="00E76498" w:rsidP="00E76498">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w:t>
      </w:r>
      <w:r>
        <w:rPr>
          <w:rFonts w:ascii="Times New Roman" w:hAnsi="Times New Roman" w:cs="Times New Roman" w:hint="eastAsia"/>
          <w:kern w:val="2"/>
          <w:szCs w:val="22"/>
        </w:rPr>
        <w:t>5</w:t>
      </w:r>
      <w:r>
        <w:rPr>
          <w:rFonts w:ascii="Times New Roman" w:hAnsi="Times New Roman" w:cs="Times New Roman" w:hint="eastAsia"/>
          <w:kern w:val="2"/>
          <w:szCs w:val="22"/>
        </w:rPr>
        <w:t>）</w:t>
      </w:r>
      <w:r w:rsidRPr="00176184">
        <w:rPr>
          <w:rFonts w:ascii="Times New Roman" w:hAnsi="Times New Roman" w:cs="Times New Roman" w:hint="eastAsia"/>
          <w:kern w:val="2"/>
          <w:szCs w:val="22"/>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回复出具日，上市公司与杨裕雄未就后续收购达成任何</w:t>
      </w:r>
      <w:r w:rsidRPr="00176184">
        <w:rPr>
          <w:rFonts w:ascii="Times New Roman" w:hAnsi="Times New Roman" w:cs="Times New Roman" w:hint="eastAsia"/>
          <w:kern w:val="2"/>
          <w:szCs w:val="22"/>
        </w:rPr>
        <w:lastRenderedPageBreak/>
        <w:t>收购计划，杨裕雄所持标的公司股权不存在权利受限情形。</w:t>
      </w:r>
    </w:p>
    <w:p w14:paraId="08AE3B01" w14:textId="77777777" w:rsidR="00E76498" w:rsidRPr="00DA3766" w:rsidRDefault="00E76498" w:rsidP="00E76498">
      <w:pPr>
        <w:pStyle w:val="005"/>
        <w:spacing w:before="120" w:after="120"/>
        <w:ind w:firstLine="480"/>
        <w:rPr>
          <w:highlight w:val="yellow"/>
        </w:rPr>
      </w:pPr>
    </w:p>
    <w:p w14:paraId="1F1A4C10" w14:textId="77777777" w:rsidR="00E76498" w:rsidRPr="00DA3766" w:rsidRDefault="00E76498" w:rsidP="00E76498">
      <w:pPr>
        <w:pStyle w:val="005"/>
        <w:spacing w:before="120" w:after="120"/>
        <w:ind w:firstLine="480"/>
      </w:pPr>
    </w:p>
    <w:p w14:paraId="4EE4CC37" w14:textId="77777777" w:rsidR="00E76498" w:rsidRPr="00DA3766" w:rsidRDefault="00E76498" w:rsidP="00E76498">
      <w:pPr>
        <w:pStyle w:val="005"/>
        <w:spacing w:before="120" w:after="120"/>
        <w:ind w:firstLine="480"/>
        <w:rPr>
          <w:highlight w:val="yellow"/>
        </w:rPr>
      </w:pPr>
    </w:p>
    <w:p w14:paraId="3DA9A536" w14:textId="18B56A76" w:rsidR="00E93DA8" w:rsidRPr="00DA3766" w:rsidRDefault="00E93DA8" w:rsidP="00E93DA8">
      <w:pPr>
        <w:pStyle w:val="001"/>
        <w:spacing w:before="120" w:after="120"/>
        <w:ind w:firstLine="480"/>
      </w:pPr>
      <w:r w:rsidRPr="00DA3766">
        <w:lastRenderedPageBreak/>
        <w:t>问题</w:t>
      </w:r>
      <w:r w:rsidR="00C52E39" w:rsidRPr="00DA3766">
        <w:t>9</w:t>
      </w:r>
      <w:r w:rsidRPr="00DA3766">
        <w:t>、</w:t>
      </w:r>
      <w:r w:rsidR="00C52E39" w:rsidRPr="00DA3766">
        <w:t>关于协同效应与整合管控</w:t>
      </w:r>
      <w:bookmarkEnd w:id="266"/>
    </w:p>
    <w:p w14:paraId="3033D27F" w14:textId="5DAAA15C" w:rsidR="00E93DA8" w:rsidRPr="00DA3766" w:rsidRDefault="00E93DA8" w:rsidP="00E93DA8">
      <w:pPr>
        <w:pStyle w:val="0050"/>
        <w:spacing w:before="120" w:after="120"/>
        <w:ind w:firstLine="480"/>
      </w:pPr>
      <w:r w:rsidRPr="00DA3766">
        <w:t>申请文件显示：</w:t>
      </w:r>
      <w:r w:rsidR="00C52E39" w:rsidRPr="00DA3766">
        <w:t>（</w:t>
      </w:r>
      <w:r w:rsidR="00C52E39" w:rsidRPr="00DA3766">
        <w:t>1</w:t>
      </w:r>
      <w:r w:rsidR="00C52E39" w:rsidRPr="00DA3766">
        <w:t>）上市公司主要提供市域社会治理、数字乡村、社会治安综合治理、智慧社区、智慧党建、行政便民服务、轨道交通无人值守等应用产品和解决方案，广泛服务于各级党政部门、企事业单位。标的资产基于智能自助设备提供</w:t>
      </w:r>
      <w:r w:rsidR="00C52E39" w:rsidRPr="00DA3766">
        <w:rPr>
          <w:rFonts w:ascii="宋体" w:eastAsia="宋体" w:hAnsi="宋体"/>
        </w:rPr>
        <w:t>“</w:t>
      </w:r>
      <w:r w:rsidR="00C52E39" w:rsidRPr="00DA3766">
        <w:t>IoT</w:t>
      </w:r>
      <w:r w:rsidR="00C52E39" w:rsidRPr="00DA3766">
        <w:t>智能硬件</w:t>
      </w:r>
      <w:r w:rsidR="00C52E39" w:rsidRPr="00DA3766">
        <w:t>+</w:t>
      </w:r>
      <w:r w:rsidR="007A44DA" w:rsidRPr="00DA3766">
        <w:t>SaaS</w:t>
      </w:r>
      <w:r w:rsidR="00C52E39" w:rsidRPr="00DA3766">
        <w:t>云平台</w:t>
      </w:r>
      <w:r w:rsidR="00C52E39" w:rsidRPr="00DA3766">
        <w:rPr>
          <w:rFonts w:ascii="宋体" w:eastAsia="宋体" w:hAnsi="宋体"/>
        </w:rPr>
        <w:t>”</w:t>
      </w:r>
      <w:r w:rsidR="00C52E39" w:rsidRPr="00DA3766">
        <w:t>一体化解决方案，主要应用场景包括自动售货机、共享电动自行车等。通过本次交易，上市公司与标的资产在产业链布局、技术研发、市场拓展、产品迭代等方面将产生互补和协同效应。（</w:t>
      </w:r>
      <w:r w:rsidR="00C52E39" w:rsidRPr="00DA3766">
        <w:t>2</w:t>
      </w:r>
      <w:r w:rsidR="00C52E39" w:rsidRPr="00DA3766">
        <w:t>）本次交易完成后，上市公司将保证标的资产现有业务团队的稳定性，标的资产核心管理层陈耿豪、杨凯然、张杰波、胡俊和王佳等将继续在标的资产或其子公司任职。（</w:t>
      </w:r>
      <w:r w:rsidR="00C52E39" w:rsidRPr="00DA3766">
        <w:t>3</w:t>
      </w:r>
      <w:r w:rsidR="00C52E39" w:rsidRPr="00DA3766">
        <w:t>）根据本次交易相关协议，在交割日后、业绩承诺期届满前，在相关前提下，标的资产的高级管理人员（除财务负责人）全部由陈耿豪提名，其他管理人员全部由陈耿豪任免，并且由陈耿豪组织实施相关年度经营计划、投资方案、债务融资计划，由陈耿豪负责标的资产及其下属企业与日常经营管理事项等</w:t>
      </w:r>
      <w:r w:rsidRPr="00DA3766">
        <w:t>。</w:t>
      </w:r>
    </w:p>
    <w:p w14:paraId="4F1F2FB9" w14:textId="63A089C1" w:rsidR="00E93DA8" w:rsidRPr="00DA3766" w:rsidRDefault="00E93DA8" w:rsidP="00E93DA8">
      <w:pPr>
        <w:pStyle w:val="0050"/>
        <w:spacing w:before="120" w:after="120"/>
        <w:ind w:firstLine="480"/>
      </w:pPr>
      <w:r w:rsidRPr="00DA3766">
        <w:t>请上市公司补充披露：</w:t>
      </w:r>
      <w:r w:rsidR="00C52E39" w:rsidRPr="00DA3766">
        <w:t>（</w:t>
      </w:r>
      <w:r w:rsidR="00C52E39" w:rsidRPr="00DA3766">
        <w:t>1</w:t>
      </w:r>
      <w:r w:rsidR="00C52E39" w:rsidRPr="00DA3766">
        <w:t>）结合上市公司与标的资产的主要产品、所处行业、具体领域、客户及供应商等补充披露上市公司与标的资产在产业链、技术研发、市场拓展、产品迭代等方面将产生互补和协同效应的具体体现及可实现性。（</w:t>
      </w:r>
      <w:r w:rsidR="00C52E39" w:rsidRPr="00DA3766">
        <w:t>2</w:t>
      </w:r>
      <w:r w:rsidR="00C52E39" w:rsidRPr="00DA3766">
        <w:t>）本次交易完成后，上市公司拟实施整合管控的具体安排，包括但不限于人员、财务、业务、资产、机构等方面的具体整合管控措施及其有效性，相关协议安排能否保障上市公司对标的资产的有效整合管控</w:t>
      </w:r>
      <w:r w:rsidRPr="00DA3766">
        <w:t>。</w:t>
      </w:r>
    </w:p>
    <w:p w14:paraId="340C54B2" w14:textId="20D194C5" w:rsidR="00E93DA8" w:rsidRPr="00DA3766" w:rsidRDefault="00E93DA8" w:rsidP="00E93DA8">
      <w:pPr>
        <w:pStyle w:val="0050"/>
        <w:spacing w:before="120" w:after="120"/>
        <w:ind w:firstLine="480"/>
      </w:pPr>
      <w:r w:rsidRPr="00DA3766">
        <w:t>请独立财务顾问核查并发表明确意见。</w:t>
      </w:r>
    </w:p>
    <w:p w14:paraId="581A11B2" w14:textId="77777777" w:rsidR="00E93DA8" w:rsidRPr="00DA3766" w:rsidRDefault="00E93DA8" w:rsidP="00E93DA8">
      <w:pPr>
        <w:pStyle w:val="005"/>
        <w:spacing w:before="120" w:after="120"/>
        <w:ind w:firstLine="480"/>
      </w:pPr>
      <w:r w:rsidRPr="00DA3766">
        <w:t>【回复】</w:t>
      </w:r>
    </w:p>
    <w:p w14:paraId="767FB7A9" w14:textId="77777777" w:rsidR="00B53060" w:rsidRPr="00DA3766" w:rsidRDefault="00B53060" w:rsidP="00B53060">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一、结合上市公司与标的资产的主要产品、所处行业、具体领域、客户及供应商等补充披露</w:t>
      </w:r>
      <w:bookmarkStart w:id="268" w:name="_Hlk218542503"/>
      <w:r w:rsidRPr="00DA3766">
        <w:rPr>
          <w:rFonts w:ascii="Times New Roman" w:hAnsi="Times New Roman" w:cs="Times New Roman"/>
          <w:b/>
          <w:bCs/>
          <w:szCs w:val="28"/>
        </w:rPr>
        <w:t>上市公司与标的资产在产业链、技术研发、市场拓展、产品迭代等方面将产生互补和协同效应的具体体现及可实现性</w:t>
      </w:r>
      <w:bookmarkEnd w:id="268"/>
    </w:p>
    <w:p w14:paraId="1CB5B2E0"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（一）上市公司与标的资产的主要产品、所处行业、具体领域、客户及供应商等相关情况</w:t>
      </w:r>
    </w:p>
    <w:p w14:paraId="019C052F" w14:textId="77777777" w:rsidR="00B53060" w:rsidRPr="00DA3766" w:rsidRDefault="00B53060" w:rsidP="00B53060">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上市公司与标的公司在主营业务、主要产品、核心技术、所处行业、具体领域、客户及供应商等各方面对比情况如下表所示：</w:t>
      </w:r>
    </w:p>
    <w:tbl>
      <w:tblPr>
        <w:tblStyle w:val="161"/>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543"/>
        <w:gridCol w:w="3601"/>
      </w:tblGrid>
      <w:tr w:rsidR="00B53060" w:rsidRPr="00DA3766" w14:paraId="1EEE84DA" w14:textId="77777777" w:rsidTr="00DA3766">
        <w:trPr>
          <w:trHeight w:val="397"/>
          <w:jc w:val="center"/>
        </w:trPr>
        <w:tc>
          <w:tcPr>
            <w:tcW w:w="811" w:type="pct"/>
            <w:tcMar>
              <w:top w:w="0" w:type="dxa"/>
              <w:bottom w:w="0" w:type="dxa"/>
            </w:tcMar>
            <w:vAlign w:val="center"/>
          </w:tcPr>
          <w:p w14:paraId="597F8C54"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lastRenderedPageBreak/>
              <w:t>项目</w:t>
            </w:r>
          </w:p>
        </w:tc>
        <w:tc>
          <w:tcPr>
            <w:tcW w:w="2077" w:type="pct"/>
            <w:tcMar>
              <w:top w:w="0" w:type="dxa"/>
              <w:left w:w="108" w:type="dxa"/>
              <w:bottom w:w="0" w:type="dxa"/>
              <w:right w:w="108" w:type="dxa"/>
            </w:tcMar>
            <w:vAlign w:val="center"/>
          </w:tcPr>
          <w:p w14:paraId="0D374B76"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上市公司</w:t>
            </w:r>
          </w:p>
        </w:tc>
        <w:tc>
          <w:tcPr>
            <w:tcW w:w="2111" w:type="pct"/>
            <w:tcMar>
              <w:top w:w="0" w:type="dxa"/>
              <w:bottom w:w="0" w:type="dxa"/>
            </w:tcMar>
            <w:vAlign w:val="center"/>
          </w:tcPr>
          <w:p w14:paraId="1D569DC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标的公司</w:t>
            </w:r>
          </w:p>
        </w:tc>
      </w:tr>
      <w:tr w:rsidR="00B53060" w:rsidRPr="00DA3766" w14:paraId="13AF67F8" w14:textId="77777777" w:rsidTr="00DA3766">
        <w:trPr>
          <w:trHeight w:val="397"/>
          <w:jc w:val="center"/>
        </w:trPr>
        <w:tc>
          <w:tcPr>
            <w:tcW w:w="811" w:type="pct"/>
            <w:tcMar>
              <w:top w:w="0" w:type="dxa"/>
              <w:bottom w:w="0" w:type="dxa"/>
            </w:tcMar>
            <w:vAlign w:val="center"/>
          </w:tcPr>
          <w:p w14:paraId="3F6B5837"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主营业务</w:t>
            </w:r>
          </w:p>
        </w:tc>
        <w:tc>
          <w:tcPr>
            <w:tcW w:w="2077" w:type="pct"/>
            <w:tcMar>
              <w:top w:w="0" w:type="dxa"/>
              <w:left w:w="108" w:type="dxa"/>
              <w:bottom w:w="0" w:type="dxa"/>
              <w:right w:w="108" w:type="dxa"/>
            </w:tcMar>
            <w:vAlign w:val="center"/>
          </w:tcPr>
          <w:p w14:paraId="14241897"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w:t>
            </w:r>
          </w:p>
        </w:tc>
        <w:tc>
          <w:tcPr>
            <w:tcW w:w="2111" w:type="pct"/>
            <w:tcMar>
              <w:top w:w="0" w:type="dxa"/>
              <w:bottom w:w="0" w:type="dxa"/>
            </w:tcMar>
            <w:vAlign w:val="center"/>
          </w:tcPr>
          <w:p w14:paraId="47D00DD4" w14:textId="0FD621F3"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智能自助设备数字化服务提供商，专注于提供</w:t>
            </w:r>
            <w:r w:rsidRPr="00DA3766">
              <w:rPr>
                <w:rFonts w:eastAsia="宋体" w:cs="Times New Roman"/>
                <w:color w:val="000000"/>
                <w:sz w:val="21"/>
                <w:szCs w:val="21"/>
              </w:rPr>
              <w:t>“</w:t>
            </w:r>
            <w:r w:rsidRPr="00DA3766">
              <w:rPr>
                <w:rFonts w:ascii="Times New Roman" w:eastAsia="宋体" w:hAnsi="Times New Roman" w:cs="Times New Roman"/>
                <w:color w:val="000000"/>
                <w:sz w:val="21"/>
                <w:szCs w:val="21"/>
              </w:rPr>
              <w:t>IoT</w:t>
            </w:r>
            <w:r w:rsidRPr="00DA3766">
              <w:rPr>
                <w:rFonts w:ascii="Times New Roman" w:eastAsia="宋体" w:hAnsi="Times New Roman" w:cs="Times New Roman"/>
                <w:color w:val="000000"/>
                <w:sz w:val="21"/>
                <w:szCs w:val="21"/>
              </w:rPr>
              <w:t>智能硬件</w:t>
            </w:r>
            <w:r w:rsidRPr="00DA3766">
              <w:rPr>
                <w:rFonts w:ascii="Times New Roman" w:eastAsia="宋体" w:hAnsi="Times New Roman" w:cs="Times New Roman"/>
                <w:color w:val="000000"/>
                <w:sz w:val="21"/>
                <w:szCs w:val="21"/>
              </w:rPr>
              <w:t>+</w:t>
            </w:r>
            <w:r w:rsidR="007A44DA" w:rsidRPr="00DA3766">
              <w:rPr>
                <w:rFonts w:ascii="Times New Roman" w:eastAsia="宋体" w:hAnsi="Times New Roman" w:cs="Times New Roman"/>
                <w:color w:val="000000"/>
                <w:sz w:val="21"/>
                <w:szCs w:val="21"/>
              </w:rPr>
              <w:t>SaaS</w:t>
            </w:r>
            <w:r w:rsidRPr="00DA3766">
              <w:rPr>
                <w:rFonts w:ascii="Times New Roman" w:eastAsia="宋体" w:hAnsi="Times New Roman" w:cs="Times New Roman"/>
                <w:color w:val="000000"/>
                <w:sz w:val="21"/>
                <w:szCs w:val="21"/>
              </w:rPr>
              <w:t>云平台</w:t>
            </w:r>
            <w:r w:rsidRPr="00DA3766">
              <w:rPr>
                <w:rFonts w:eastAsia="宋体" w:cs="Times New Roman"/>
                <w:color w:val="000000"/>
                <w:sz w:val="21"/>
                <w:szCs w:val="21"/>
              </w:rPr>
              <w:t>”</w:t>
            </w:r>
            <w:r w:rsidRPr="00DA3766">
              <w:rPr>
                <w:rFonts w:ascii="Times New Roman" w:eastAsia="宋体" w:hAnsi="Times New Roman" w:cs="Times New Roman"/>
                <w:color w:val="000000"/>
                <w:sz w:val="21"/>
                <w:szCs w:val="21"/>
              </w:rPr>
              <w:t>一体化解决方案，致力于实现自助设备产业的数字化升级</w:t>
            </w:r>
          </w:p>
        </w:tc>
      </w:tr>
      <w:tr w:rsidR="00B53060" w:rsidRPr="00DA3766" w14:paraId="3C352237" w14:textId="77777777" w:rsidTr="00DA3766">
        <w:trPr>
          <w:trHeight w:val="397"/>
          <w:jc w:val="center"/>
        </w:trPr>
        <w:tc>
          <w:tcPr>
            <w:tcW w:w="811" w:type="pct"/>
            <w:tcMar>
              <w:top w:w="0" w:type="dxa"/>
              <w:bottom w:w="0" w:type="dxa"/>
            </w:tcMar>
            <w:vAlign w:val="center"/>
          </w:tcPr>
          <w:p w14:paraId="4B34426D"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主要产品</w:t>
            </w:r>
          </w:p>
        </w:tc>
        <w:tc>
          <w:tcPr>
            <w:tcW w:w="2077" w:type="pct"/>
            <w:tcMar>
              <w:top w:w="0" w:type="dxa"/>
              <w:left w:w="108" w:type="dxa"/>
              <w:bottom w:w="0" w:type="dxa"/>
              <w:right w:w="108" w:type="dxa"/>
            </w:tcMar>
            <w:vAlign w:val="center"/>
          </w:tcPr>
          <w:p w14:paraId="2EE52551"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）信息系统集成；</w:t>
            </w:r>
          </w:p>
          <w:p w14:paraId="27D56679"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）软件及技术服务；</w:t>
            </w:r>
          </w:p>
          <w:p w14:paraId="40C905D3"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）信息系统运维服务；</w:t>
            </w:r>
          </w:p>
          <w:p w14:paraId="7AF14FA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）硬件销售；</w:t>
            </w:r>
          </w:p>
          <w:p w14:paraId="1E1931D7" w14:textId="061BD594"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）光伏发电</w:t>
            </w:r>
          </w:p>
        </w:tc>
        <w:tc>
          <w:tcPr>
            <w:tcW w:w="2111" w:type="pct"/>
            <w:tcMar>
              <w:top w:w="0" w:type="dxa"/>
              <w:bottom w:w="0" w:type="dxa"/>
            </w:tcMar>
            <w:vAlign w:val="center"/>
          </w:tcPr>
          <w:p w14:paraId="4799CBB0"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IoT</w:t>
            </w:r>
            <w:r w:rsidRPr="00DA3766">
              <w:rPr>
                <w:rFonts w:ascii="Times New Roman" w:eastAsia="宋体" w:hAnsi="Times New Roman" w:cs="Times New Roman"/>
                <w:color w:val="000000"/>
                <w:sz w:val="21"/>
                <w:szCs w:val="21"/>
              </w:rPr>
              <w:t>智能硬件；</w:t>
            </w:r>
          </w:p>
          <w:p w14:paraId="7227FCD2" w14:textId="6967BFD2"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w:t>
            </w:r>
            <w:r w:rsidR="007A44DA" w:rsidRPr="00DA3766">
              <w:rPr>
                <w:rFonts w:ascii="Times New Roman" w:eastAsia="宋体" w:hAnsi="Times New Roman" w:cs="Times New Roman"/>
                <w:color w:val="000000"/>
                <w:sz w:val="21"/>
                <w:szCs w:val="21"/>
              </w:rPr>
              <w:t>SaaS</w:t>
            </w:r>
            <w:r w:rsidRPr="00DA3766">
              <w:rPr>
                <w:rFonts w:ascii="Times New Roman" w:eastAsia="宋体" w:hAnsi="Times New Roman" w:cs="Times New Roman"/>
                <w:color w:val="000000"/>
                <w:sz w:val="21"/>
                <w:szCs w:val="21"/>
              </w:rPr>
              <w:t>云平台；</w:t>
            </w:r>
          </w:p>
          <w:p w14:paraId="031AF4FC"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）数字增值服务</w:t>
            </w:r>
          </w:p>
        </w:tc>
      </w:tr>
      <w:tr w:rsidR="00B53060" w:rsidRPr="00DA3766" w14:paraId="7B500965" w14:textId="77777777" w:rsidTr="00DA3766">
        <w:trPr>
          <w:trHeight w:val="397"/>
          <w:jc w:val="center"/>
        </w:trPr>
        <w:tc>
          <w:tcPr>
            <w:tcW w:w="811" w:type="pct"/>
            <w:tcMar>
              <w:top w:w="0" w:type="dxa"/>
              <w:bottom w:w="0" w:type="dxa"/>
            </w:tcMar>
            <w:vAlign w:val="center"/>
          </w:tcPr>
          <w:p w14:paraId="5D6E7A7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核心技术</w:t>
            </w:r>
          </w:p>
        </w:tc>
        <w:tc>
          <w:tcPr>
            <w:tcW w:w="2077" w:type="pct"/>
            <w:tcMar>
              <w:top w:w="0" w:type="dxa"/>
              <w:left w:w="108" w:type="dxa"/>
              <w:bottom w:w="0" w:type="dxa"/>
              <w:right w:w="108" w:type="dxa"/>
            </w:tcMar>
            <w:vAlign w:val="center"/>
          </w:tcPr>
          <w:p w14:paraId="78A79514" w14:textId="152FAB66"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）政务大数据分析与挖掘；</w:t>
            </w:r>
          </w:p>
          <w:p w14:paraId="6B205DEF" w14:textId="21CE749A"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）低代码应用开发技术</w:t>
            </w:r>
            <w:r w:rsidR="001E60AA" w:rsidRPr="00DA3766">
              <w:rPr>
                <w:rFonts w:ascii="Times New Roman" w:eastAsia="宋体" w:hAnsi="Times New Roman" w:cs="Times New Roman"/>
                <w:color w:val="000000"/>
                <w:sz w:val="21"/>
                <w:szCs w:val="21"/>
              </w:rPr>
              <w:t>；</w:t>
            </w:r>
          </w:p>
          <w:p w14:paraId="725BFF17" w14:textId="7918530B"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）数字孪生构建与应用；</w:t>
            </w:r>
          </w:p>
          <w:p w14:paraId="4E55FE7B" w14:textId="0EEA17A1"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）政务大模型技术与应用；</w:t>
            </w:r>
          </w:p>
          <w:p w14:paraId="195286B3" w14:textId="1EDCC03A"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）图像超分与识别技术；</w:t>
            </w:r>
          </w:p>
          <w:p w14:paraId="0E064AD6" w14:textId="653BBFBC"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6</w:t>
            </w:r>
            <w:r w:rsidRPr="00DA3766">
              <w:rPr>
                <w:rFonts w:ascii="Times New Roman" w:eastAsia="宋体" w:hAnsi="Times New Roman" w:cs="Times New Roman"/>
                <w:color w:val="000000"/>
                <w:sz w:val="21"/>
                <w:szCs w:val="21"/>
              </w:rPr>
              <w:t>）跨平台高性能音视频通讯；</w:t>
            </w:r>
          </w:p>
          <w:p w14:paraId="2271A400" w14:textId="2AA65FEC"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7</w:t>
            </w:r>
            <w:r w:rsidRPr="00DA3766">
              <w:rPr>
                <w:rFonts w:ascii="Times New Roman" w:eastAsia="宋体" w:hAnsi="Times New Roman" w:cs="Times New Roman"/>
                <w:color w:val="000000"/>
                <w:sz w:val="21"/>
                <w:szCs w:val="21"/>
              </w:rPr>
              <w:t>）统一数据集成技术；</w:t>
            </w:r>
          </w:p>
          <w:p w14:paraId="7CAD4693" w14:textId="50BAA2F1"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8</w:t>
            </w:r>
            <w:r w:rsidRPr="00DA3766">
              <w:rPr>
                <w:rFonts w:ascii="Times New Roman" w:eastAsia="宋体" w:hAnsi="Times New Roman" w:cs="Times New Roman"/>
                <w:color w:val="000000"/>
                <w:sz w:val="21"/>
                <w:szCs w:val="21"/>
              </w:rPr>
              <w:t>）智能人机交互；</w:t>
            </w:r>
          </w:p>
          <w:p w14:paraId="1E79668C" w14:textId="4CF760E0"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9</w:t>
            </w:r>
            <w:r w:rsidRPr="00DA3766">
              <w:rPr>
                <w:rFonts w:ascii="Times New Roman" w:eastAsia="宋体" w:hAnsi="Times New Roman" w:cs="Times New Roman"/>
                <w:color w:val="000000"/>
                <w:sz w:val="21"/>
                <w:szCs w:val="21"/>
              </w:rPr>
              <w:t>）可视化工作流；</w:t>
            </w:r>
          </w:p>
          <w:p w14:paraId="1F66EE4B" w14:textId="68D2A438"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10</w:t>
            </w:r>
            <w:r w:rsidRPr="00DA3766">
              <w:rPr>
                <w:rFonts w:ascii="Times New Roman" w:eastAsia="宋体" w:hAnsi="Times New Roman" w:cs="Times New Roman"/>
                <w:color w:val="000000"/>
                <w:sz w:val="21"/>
                <w:szCs w:val="21"/>
              </w:rPr>
              <w:t>）智能报表</w:t>
            </w:r>
          </w:p>
        </w:tc>
        <w:tc>
          <w:tcPr>
            <w:tcW w:w="2111" w:type="pct"/>
            <w:tcMar>
              <w:top w:w="0" w:type="dxa"/>
              <w:bottom w:w="0" w:type="dxa"/>
            </w:tcMar>
            <w:vAlign w:val="center"/>
          </w:tcPr>
          <w:p w14:paraId="450FE242" w14:textId="085C0D24"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）大数据架构技术</w:t>
            </w:r>
            <w:r w:rsidR="001E60AA" w:rsidRPr="00DA3766">
              <w:rPr>
                <w:rFonts w:ascii="Times New Roman" w:eastAsia="宋体" w:hAnsi="Times New Roman" w:cs="Times New Roman"/>
                <w:color w:val="000000"/>
                <w:sz w:val="21"/>
                <w:szCs w:val="21"/>
              </w:rPr>
              <w:t>；</w:t>
            </w:r>
          </w:p>
          <w:p w14:paraId="0814095A" w14:textId="0450890F"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）低代码平台技术；</w:t>
            </w:r>
          </w:p>
          <w:p w14:paraId="4AD07AA7" w14:textId="351C0598"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）智能通讯硬件设计技术；</w:t>
            </w:r>
          </w:p>
          <w:p w14:paraId="3AFE367B" w14:textId="5A788A95"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）物联网平台技术；</w:t>
            </w:r>
          </w:p>
          <w:p w14:paraId="457CD00B" w14:textId="3103A63B"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）高可用支付服务技术；</w:t>
            </w:r>
          </w:p>
          <w:p w14:paraId="30BA6F63" w14:textId="550F7819"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6</w:t>
            </w:r>
            <w:r w:rsidRPr="00DA3766">
              <w:rPr>
                <w:rFonts w:ascii="Times New Roman" w:eastAsia="宋体" w:hAnsi="Times New Roman" w:cs="Times New Roman"/>
                <w:color w:val="000000"/>
                <w:sz w:val="21"/>
                <w:szCs w:val="21"/>
              </w:rPr>
              <w:t>）云原生架构技术</w:t>
            </w:r>
          </w:p>
        </w:tc>
      </w:tr>
      <w:tr w:rsidR="00B53060" w:rsidRPr="00DA3766" w14:paraId="325E5722" w14:textId="77777777" w:rsidTr="00DA3766">
        <w:trPr>
          <w:trHeight w:val="397"/>
          <w:jc w:val="center"/>
        </w:trPr>
        <w:tc>
          <w:tcPr>
            <w:tcW w:w="811" w:type="pct"/>
            <w:tcMar>
              <w:top w:w="0" w:type="dxa"/>
              <w:bottom w:w="0" w:type="dxa"/>
            </w:tcMar>
            <w:vAlign w:val="center"/>
          </w:tcPr>
          <w:p w14:paraId="48855F2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rPr>
              <w:t>所处行业</w:t>
            </w:r>
          </w:p>
        </w:tc>
        <w:tc>
          <w:tcPr>
            <w:tcW w:w="2077" w:type="pct"/>
            <w:tcMar>
              <w:top w:w="0" w:type="dxa"/>
              <w:left w:w="108" w:type="dxa"/>
              <w:bottom w:w="0" w:type="dxa"/>
              <w:right w:w="108" w:type="dxa"/>
            </w:tcMar>
            <w:vAlign w:val="center"/>
          </w:tcPr>
          <w:p w14:paraId="3F9F3D25"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软件和信息技术服务业（</w:t>
            </w:r>
            <w:r w:rsidRPr="00DA3766">
              <w:rPr>
                <w:rFonts w:ascii="Times New Roman" w:eastAsia="宋体" w:hAnsi="Times New Roman" w:cs="Times New Roman"/>
                <w:bCs/>
                <w:sz w:val="21"/>
                <w:szCs w:val="21"/>
              </w:rPr>
              <w:t>I65</w:t>
            </w:r>
            <w:r w:rsidRPr="00DA3766">
              <w:rPr>
                <w:rFonts w:ascii="Times New Roman" w:eastAsia="宋体" w:hAnsi="Times New Roman" w:cs="Times New Roman"/>
                <w:bCs/>
                <w:sz w:val="21"/>
                <w:szCs w:val="21"/>
              </w:rPr>
              <w:t>）</w:t>
            </w:r>
          </w:p>
        </w:tc>
        <w:tc>
          <w:tcPr>
            <w:tcW w:w="2111" w:type="pct"/>
            <w:tcMar>
              <w:top w:w="0" w:type="dxa"/>
              <w:bottom w:w="0" w:type="dxa"/>
            </w:tcMar>
            <w:vAlign w:val="center"/>
          </w:tcPr>
          <w:p w14:paraId="5AF98B35"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软件和信息技术服务业（</w:t>
            </w:r>
            <w:r w:rsidRPr="00DA3766">
              <w:rPr>
                <w:rFonts w:ascii="Times New Roman" w:eastAsia="宋体" w:hAnsi="Times New Roman" w:cs="Times New Roman"/>
                <w:bCs/>
                <w:sz w:val="21"/>
                <w:szCs w:val="21"/>
              </w:rPr>
              <w:t>I65</w:t>
            </w:r>
            <w:r w:rsidRPr="00DA3766">
              <w:rPr>
                <w:rFonts w:ascii="Times New Roman" w:eastAsia="宋体" w:hAnsi="Times New Roman" w:cs="Times New Roman"/>
                <w:bCs/>
                <w:sz w:val="21"/>
                <w:szCs w:val="21"/>
              </w:rPr>
              <w:t>）之信息系统集成和物联网技术服务（</w:t>
            </w:r>
            <w:r w:rsidRPr="00DA3766">
              <w:rPr>
                <w:rFonts w:ascii="Times New Roman" w:eastAsia="宋体" w:hAnsi="Times New Roman" w:cs="Times New Roman"/>
                <w:bCs/>
                <w:sz w:val="21"/>
                <w:szCs w:val="21"/>
              </w:rPr>
              <w:t>I653</w:t>
            </w:r>
            <w:r w:rsidRPr="00DA3766">
              <w:rPr>
                <w:rFonts w:ascii="Times New Roman" w:eastAsia="宋体" w:hAnsi="Times New Roman" w:cs="Times New Roman"/>
                <w:bCs/>
                <w:sz w:val="21"/>
                <w:szCs w:val="21"/>
              </w:rPr>
              <w:t>）</w:t>
            </w:r>
          </w:p>
        </w:tc>
      </w:tr>
      <w:tr w:rsidR="00B53060" w:rsidRPr="00DA3766" w14:paraId="3F70D67F" w14:textId="77777777" w:rsidTr="00DA3766">
        <w:trPr>
          <w:trHeight w:val="397"/>
          <w:jc w:val="center"/>
        </w:trPr>
        <w:tc>
          <w:tcPr>
            <w:tcW w:w="811" w:type="pct"/>
            <w:tcMar>
              <w:top w:w="0" w:type="dxa"/>
              <w:bottom w:w="0" w:type="dxa"/>
            </w:tcMar>
            <w:vAlign w:val="center"/>
          </w:tcPr>
          <w:p w14:paraId="684175E3"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具体领域</w:t>
            </w:r>
          </w:p>
        </w:tc>
        <w:tc>
          <w:tcPr>
            <w:tcW w:w="2077" w:type="pct"/>
            <w:tcMar>
              <w:top w:w="0" w:type="dxa"/>
              <w:left w:w="108" w:type="dxa"/>
              <w:bottom w:w="0" w:type="dxa"/>
              <w:right w:w="108" w:type="dxa"/>
            </w:tcMar>
            <w:vAlign w:val="center"/>
          </w:tcPr>
          <w:p w14:paraId="32546AB2"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数字经济产业链中的智慧政务、智慧企业、智慧教育、智慧医疗和轨道交通等领域</w:t>
            </w:r>
          </w:p>
        </w:tc>
        <w:tc>
          <w:tcPr>
            <w:tcW w:w="2111" w:type="pct"/>
            <w:tcMar>
              <w:top w:w="0" w:type="dxa"/>
              <w:bottom w:w="0" w:type="dxa"/>
            </w:tcMar>
            <w:vAlign w:val="center"/>
          </w:tcPr>
          <w:p w14:paraId="6B8DF159"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数字经济产业链中的智慧生活、智慧零售和智慧出行等领域</w:t>
            </w:r>
          </w:p>
        </w:tc>
      </w:tr>
      <w:tr w:rsidR="00B53060" w:rsidRPr="00DA3766" w14:paraId="0B7F1943" w14:textId="77777777" w:rsidTr="00DA3766">
        <w:trPr>
          <w:trHeight w:val="397"/>
          <w:jc w:val="center"/>
        </w:trPr>
        <w:tc>
          <w:tcPr>
            <w:tcW w:w="811" w:type="pct"/>
            <w:tcMar>
              <w:top w:w="0" w:type="dxa"/>
              <w:bottom w:w="0" w:type="dxa"/>
            </w:tcMar>
            <w:vAlign w:val="center"/>
          </w:tcPr>
          <w:p w14:paraId="66E1A704"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rPr>
              <w:t>主要客户</w:t>
            </w:r>
          </w:p>
        </w:tc>
        <w:tc>
          <w:tcPr>
            <w:tcW w:w="2077" w:type="pct"/>
            <w:tcMar>
              <w:top w:w="0" w:type="dxa"/>
              <w:left w:w="108" w:type="dxa"/>
              <w:bottom w:w="0" w:type="dxa"/>
              <w:right w:w="108" w:type="dxa"/>
            </w:tcMar>
            <w:vAlign w:val="center"/>
          </w:tcPr>
          <w:p w14:paraId="79D13F55"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以机关及事业单位客户为主，客户群体覆盖智慧政务、智慧企业、智慧教育、智慧医疗、轨道交通等多个行业</w:t>
            </w:r>
          </w:p>
        </w:tc>
        <w:tc>
          <w:tcPr>
            <w:tcW w:w="2111" w:type="pct"/>
            <w:tcMar>
              <w:top w:w="0" w:type="dxa"/>
              <w:bottom w:w="0" w:type="dxa"/>
            </w:tcMar>
            <w:vAlign w:val="center"/>
          </w:tcPr>
          <w:p w14:paraId="6B779BE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）自助设备制造商；</w:t>
            </w:r>
          </w:p>
          <w:p w14:paraId="66A41E9E"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）自助设备运营商；</w:t>
            </w:r>
          </w:p>
          <w:p w14:paraId="4137746E"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）个人消费者；</w:t>
            </w:r>
          </w:p>
          <w:p w14:paraId="077A826C"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）第三方持牌支付机构；</w:t>
            </w:r>
          </w:p>
          <w:p w14:paraId="01EA1047"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）其他类型客户</w:t>
            </w:r>
          </w:p>
        </w:tc>
      </w:tr>
      <w:tr w:rsidR="00B53060" w:rsidRPr="00DA3766" w14:paraId="12CF2DE5" w14:textId="77777777" w:rsidTr="00DA3766">
        <w:trPr>
          <w:trHeight w:val="397"/>
          <w:jc w:val="center"/>
        </w:trPr>
        <w:tc>
          <w:tcPr>
            <w:tcW w:w="811" w:type="pct"/>
            <w:tcMar>
              <w:top w:w="0" w:type="dxa"/>
              <w:bottom w:w="0" w:type="dxa"/>
            </w:tcMar>
            <w:vAlign w:val="center"/>
          </w:tcPr>
          <w:p w14:paraId="25F8CBED"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主要供应商</w:t>
            </w:r>
          </w:p>
        </w:tc>
        <w:tc>
          <w:tcPr>
            <w:tcW w:w="2077" w:type="pct"/>
            <w:tcMar>
              <w:top w:w="0" w:type="dxa"/>
              <w:left w:w="108" w:type="dxa"/>
              <w:bottom w:w="0" w:type="dxa"/>
              <w:right w:w="108" w:type="dxa"/>
            </w:tcMar>
            <w:vAlign w:val="center"/>
          </w:tcPr>
          <w:p w14:paraId="54B4107D"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）硬件原材料供应商；</w:t>
            </w:r>
          </w:p>
          <w:p w14:paraId="1AE96E5B"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 w:val="21"/>
                <w:szCs w:val="21"/>
              </w:rPr>
            </w:pPr>
            <w:r w:rsidRPr="00DA3766">
              <w:rPr>
                <w:rFonts w:ascii="Times New Roman" w:eastAsia="宋体" w:hAnsi="Times New Roman" w:cs="Times New Roman"/>
                <w:sz w:val="21"/>
                <w:szCs w:val="21"/>
              </w:rPr>
              <w:t>（</w:t>
            </w:r>
            <w:r w:rsidRPr="00DA3766">
              <w:rPr>
                <w:rFonts w:ascii="Times New Roman" w:eastAsia="宋体" w:hAnsi="Times New Roman" w:cs="Times New Roman"/>
                <w:sz w:val="21"/>
                <w:szCs w:val="21"/>
              </w:rPr>
              <w:t>2</w:t>
            </w:r>
            <w:r w:rsidRPr="00DA3766">
              <w:rPr>
                <w:rFonts w:ascii="Times New Roman" w:eastAsia="宋体" w:hAnsi="Times New Roman" w:cs="Times New Roman"/>
                <w:sz w:val="21"/>
                <w:szCs w:val="21"/>
              </w:rPr>
              <w:t>）软件产品供应商；</w:t>
            </w:r>
          </w:p>
          <w:p w14:paraId="083B5A40"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 w:val="21"/>
                <w:szCs w:val="21"/>
              </w:rPr>
            </w:pPr>
            <w:r w:rsidRPr="00DA3766">
              <w:rPr>
                <w:rFonts w:ascii="Times New Roman" w:eastAsia="宋体" w:hAnsi="Times New Roman" w:cs="Times New Roman"/>
                <w:sz w:val="21"/>
                <w:szCs w:val="21"/>
              </w:rPr>
              <w:t>（</w:t>
            </w:r>
            <w:r w:rsidRPr="00DA3766">
              <w:rPr>
                <w:rFonts w:ascii="Times New Roman" w:eastAsia="宋体" w:hAnsi="Times New Roman" w:cs="Times New Roman"/>
                <w:sz w:val="21"/>
                <w:szCs w:val="21"/>
              </w:rPr>
              <w:t>3</w:t>
            </w:r>
            <w:r w:rsidRPr="00DA3766">
              <w:rPr>
                <w:rFonts w:ascii="Times New Roman" w:eastAsia="宋体" w:hAnsi="Times New Roman" w:cs="Times New Roman"/>
                <w:sz w:val="21"/>
                <w:szCs w:val="21"/>
              </w:rPr>
              <w:t>）劳务服务供应商；</w:t>
            </w:r>
          </w:p>
          <w:p w14:paraId="6801FDC6"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Cs w:val="23"/>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）其他类型供应商</w:t>
            </w:r>
          </w:p>
        </w:tc>
        <w:tc>
          <w:tcPr>
            <w:tcW w:w="2111" w:type="pct"/>
            <w:tcMar>
              <w:top w:w="0" w:type="dxa"/>
              <w:bottom w:w="0" w:type="dxa"/>
            </w:tcMar>
            <w:vAlign w:val="center"/>
          </w:tcPr>
          <w:p w14:paraId="2F717B6F"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）硬件原材料供应商；</w:t>
            </w:r>
          </w:p>
          <w:p w14:paraId="2F99176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）外协加工供应商；</w:t>
            </w:r>
          </w:p>
          <w:p w14:paraId="1F22DE13"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）云计算及通信服务供应商；</w:t>
            </w:r>
          </w:p>
          <w:p w14:paraId="17AE3FB8"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）其他类型供应商</w:t>
            </w:r>
          </w:p>
        </w:tc>
      </w:tr>
    </w:tbl>
    <w:p w14:paraId="31205893" w14:textId="77777777" w:rsidR="00B53060" w:rsidRPr="00DA3766" w:rsidRDefault="00B53060" w:rsidP="008A1B9E">
      <w:pPr>
        <w:pStyle w:val="005"/>
        <w:spacing w:before="120" w:after="120"/>
        <w:ind w:firstLine="480"/>
      </w:pPr>
      <w:r w:rsidRPr="00DA3766">
        <w:t>由上表可知，上市公司与标的公司同属于软件和信息技术服务业，核心技术具有一定的互通性和兼容性。同时，上市公司与标的公司的现有主营业务均围绕数字经济产业的不同细分环节开展，所处的具体领域和面向的客户群体存在一定差异，从而具有潜在的业务互补性。</w:t>
      </w:r>
    </w:p>
    <w:p w14:paraId="40F2C396"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（二）上市公司与标的资产在产业链、技术研发、市场拓展、产品迭代等方面的互补和协同效应及其可实现性</w:t>
      </w:r>
    </w:p>
    <w:p w14:paraId="3C463692" w14:textId="77777777" w:rsidR="00B53060" w:rsidRPr="00DA3766" w:rsidRDefault="00B53060" w:rsidP="008A1B9E">
      <w:pPr>
        <w:pStyle w:val="005"/>
        <w:spacing w:before="120" w:after="120"/>
        <w:ind w:firstLine="480"/>
      </w:pPr>
      <w:r w:rsidRPr="00DA3766">
        <w:t>上市公司与标的资产在产业链、技术研发、市场拓展、产品迭代等方面存在</w:t>
      </w:r>
      <w:r w:rsidRPr="00DA3766">
        <w:lastRenderedPageBreak/>
        <w:t>一定互补和协同效应，且具有较好的可实现性，具体情况如下：</w:t>
      </w:r>
    </w:p>
    <w:p w14:paraId="6CA85A26"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、产业链</w:t>
      </w:r>
    </w:p>
    <w:p w14:paraId="11975F37" w14:textId="77777777" w:rsidR="00B53060" w:rsidRPr="00DA3766" w:rsidRDefault="00B53060" w:rsidP="008A1B9E">
      <w:pPr>
        <w:pStyle w:val="005"/>
        <w:spacing w:before="120" w:after="120"/>
        <w:ind w:firstLine="480"/>
      </w:pPr>
      <w:r w:rsidRPr="00DA3766">
        <w:t>上市公司与标的公司分别长期聚焦于数字经济产业链的不同业务领域，并形成了各自的业务与技术优势。自设立以来，上市公司主要服务于智慧政务、智慧企业、智慧教育、智慧医疗和轨道交通等领域客户，标的公司则深耕智能自助设备领域，服务于智慧生活、智慧零售和智慧出行等领域客户。</w:t>
      </w:r>
    </w:p>
    <w:p w14:paraId="772C7ABF" w14:textId="6CEFF2B3" w:rsidR="00B53060" w:rsidRPr="00DA3766" w:rsidRDefault="00B53060" w:rsidP="008A1B9E">
      <w:pPr>
        <w:pStyle w:val="005"/>
        <w:spacing w:before="120" w:after="120"/>
        <w:ind w:firstLine="480"/>
      </w:pPr>
      <w:r w:rsidRPr="00DA3766">
        <w:t>本次交易完成后</w:t>
      </w:r>
      <w:r w:rsidR="00E6695C" w:rsidRPr="00DA3766">
        <w:t>，</w:t>
      </w:r>
      <w:r w:rsidR="00436DD3" w:rsidRPr="00DA3766">
        <w:t>上市公司</w:t>
      </w:r>
      <w:r w:rsidR="00E6695C" w:rsidRPr="00DA3766">
        <w:t>将构建起</w:t>
      </w:r>
      <w:r w:rsidR="00E6695C" w:rsidRPr="00DA3766">
        <w:rPr>
          <w:rFonts w:ascii="宋体" w:hAnsi="宋体"/>
        </w:rPr>
        <w:t>“</w:t>
      </w:r>
      <w:r w:rsidR="00E6695C" w:rsidRPr="00DA3766">
        <w:t>中台管理</w:t>
      </w:r>
      <w:r w:rsidR="00E6695C" w:rsidRPr="00DA3766">
        <w:t>+</w:t>
      </w:r>
      <w:r w:rsidR="00E6695C" w:rsidRPr="00DA3766">
        <w:t>末端交互</w:t>
      </w:r>
      <w:r w:rsidR="00E6695C" w:rsidRPr="00DA3766">
        <w:rPr>
          <w:rFonts w:ascii="宋体" w:hAnsi="宋体"/>
        </w:rPr>
        <w:t>”</w:t>
      </w:r>
      <w:r w:rsidR="00436DD3" w:rsidRPr="00DA3766">
        <w:t>的</w:t>
      </w:r>
      <w:r w:rsidR="00E6695C" w:rsidRPr="00DA3766">
        <w:t>产业链闭环</w:t>
      </w:r>
      <w:r w:rsidR="00436DD3" w:rsidRPr="00DA3766">
        <w:t>，并</w:t>
      </w:r>
      <w:r w:rsidR="00E6695C" w:rsidRPr="00DA3766">
        <w:t>将充分发挥在</w:t>
      </w:r>
      <w:r w:rsidR="00274F99" w:rsidRPr="00DA3766">
        <w:t>城市</w:t>
      </w:r>
      <w:r w:rsidR="00E6695C" w:rsidRPr="00DA3766">
        <w:t>数字化转型中的</w:t>
      </w:r>
      <w:r w:rsidR="00E6695C" w:rsidRPr="00DA3766">
        <w:rPr>
          <w:rFonts w:ascii="宋体" w:hAnsi="宋体"/>
        </w:rPr>
        <w:t>“</w:t>
      </w:r>
      <w:r w:rsidR="00E6695C" w:rsidRPr="00DA3766">
        <w:t>大脑</w:t>
      </w:r>
      <w:r w:rsidR="00E6695C" w:rsidRPr="00DA3766">
        <w:rPr>
          <w:rFonts w:ascii="宋体" w:hAnsi="宋体"/>
        </w:rPr>
        <w:t>”</w:t>
      </w:r>
      <w:r w:rsidR="00E6695C" w:rsidRPr="00DA3766">
        <w:t>作用，将标的公司的智能</w:t>
      </w:r>
      <w:r w:rsidR="00274F99" w:rsidRPr="00DA3766">
        <w:t>自助</w:t>
      </w:r>
      <w:r w:rsidR="00E6695C" w:rsidRPr="00DA3766">
        <w:t>设备转化为数字化服务的延伸节点，深化服务各类应用场景；同时，标的公司在零售、生活和出行等场景的广泛触达能力，将助力上市公司的数字化产品实现向产业链</w:t>
      </w:r>
      <w:r w:rsidR="00D73087" w:rsidRPr="00DA3766">
        <w:t>下游</w:t>
      </w:r>
      <w:r w:rsidR="00E6695C" w:rsidRPr="00DA3766">
        <w:t>消费端的</w:t>
      </w:r>
      <w:r w:rsidR="00D73087" w:rsidRPr="00DA3766">
        <w:t>进一步</w:t>
      </w:r>
      <w:r w:rsidR="00E6695C" w:rsidRPr="00DA3766">
        <w:t>覆盖</w:t>
      </w:r>
      <w:r w:rsidRPr="00DA3766">
        <w:t>。</w:t>
      </w:r>
      <w:r w:rsidR="001F11ED" w:rsidRPr="00DA3766">
        <w:t>本次整合预计将通过</w:t>
      </w:r>
      <w:r w:rsidR="00221EA9" w:rsidRPr="00DA3766">
        <w:t>发挥</w:t>
      </w:r>
      <w:r w:rsidR="001F11ED" w:rsidRPr="00DA3766">
        <w:rPr>
          <w:rFonts w:ascii="宋体" w:hAnsi="宋体"/>
        </w:rPr>
        <w:t>“</w:t>
      </w:r>
      <w:r w:rsidR="001F11ED" w:rsidRPr="00DA3766">
        <w:t>软件赋能硬件、硬件带动软件</w:t>
      </w:r>
      <w:r w:rsidR="001F11ED" w:rsidRPr="00DA3766">
        <w:rPr>
          <w:rFonts w:ascii="宋体" w:hAnsi="宋体"/>
        </w:rPr>
        <w:t>”</w:t>
      </w:r>
      <w:r w:rsidR="001F11ED" w:rsidRPr="00DA3766">
        <w:t>的协同效应，显著提升上市公司在数字经济</w:t>
      </w:r>
      <w:r w:rsidR="00436DD3" w:rsidRPr="00DA3766">
        <w:t>产业链上</w:t>
      </w:r>
      <w:r w:rsidR="001F11ED" w:rsidRPr="00DA3766">
        <w:t>的综合竞争力。</w:t>
      </w:r>
    </w:p>
    <w:p w14:paraId="006DF351"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、技术研发</w:t>
      </w:r>
    </w:p>
    <w:p w14:paraId="151C1CB5" w14:textId="10D790BF" w:rsidR="00B53060" w:rsidRPr="00DA3766" w:rsidRDefault="00B53060" w:rsidP="008A1B9E">
      <w:pPr>
        <w:pStyle w:val="005"/>
        <w:spacing w:before="120" w:after="120"/>
        <w:ind w:firstLine="480"/>
      </w:pPr>
      <w:r w:rsidRPr="00DA3766">
        <w:t>上市公司和标的公司均将技术研发视为立身之本，长期重视技术研发，且同为高新技术企业和专精特新企业。经过长期耕耘，上市公司已经形成了数字孪生构建与应用、政务大模型技术与应用、轨道交通智能运维</w:t>
      </w:r>
      <w:r w:rsidR="003B2935" w:rsidRPr="00DA3766">
        <w:t>和低代码应用开发技术</w:t>
      </w:r>
      <w:r w:rsidRPr="00DA3766">
        <w:t>等核心技术，而标的公司打造了以</w:t>
      </w:r>
      <w:r w:rsidRPr="00DA3766">
        <w:t>IoT</w:t>
      </w:r>
      <w:r w:rsidRPr="00DA3766">
        <w:t>智能硬件技术、大数据与云原生架构技术、低代码平台技术等为核心的自主技术体系，在自助设备物联网硬软件领域获得了显著的技术领先优势。</w:t>
      </w:r>
      <w:r w:rsidR="003B2935" w:rsidRPr="00DA3766">
        <w:t>双方在技术栈方面高度兼容，具备开展</w:t>
      </w:r>
      <w:r w:rsidR="00A57E64" w:rsidRPr="00DA3766">
        <w:t>一体化</w:t>
      </w:r>
      <w:r w:rsidR="003B2935" w:rsidRPr="00DA3766">
        <w:t>研发协同的良好基础。</w:t>
      </w:r>
    </w:p>
    <w:p w14:paraId="7285FAA8" w14:textId="73E9827D" w:rsidR="00B53060" w:rsidRPr="00DA3766" w:rsidRDefault="00B53060" w:rsidP="008A1B9E">
      <w:pPr>
        <w:pStyle w:val="005"/>
        <w:spacing w:before="120" w:after="120"/>
        <w:ind w:firstLine="480"/>
      </w:pPr>
      <w:r w:rsidRPr="00DA3766">
        <w:t>本次交易完成后，</w:t>
      </w:r>
      <w:r w:rsidR="005C6DD0" w:rsidRPr="00DA3766">
        <w:t>通过提供强大的云端计算和边缘计算能力，上市公司能够有效支持标的公司在数据处理、算法训练和实时分析上的需求，从而显著提升综合研发效率</w:t>
      </w:r>
      <w:r w:rsidR="00B030C4" w:rsidRPr="00DA3766">
        <w:t>；</w:t>
      </w:r>
      <w:r w:rsidR="00A2690A" w:rsidRPr="00DA3766">
        <w:t>而标的公司能够将人工智能技术嵌入其智能硬件中，实现低延迟的实时计算与智能响应，从而拓展更多的智能化应用场景。此外</w:t>
      </w:r>
      <w:r w:rsidRPr="00DA3766">
        <w:t>，上市公司</w:t>
      </w:r>
      <w:r w:rsidR="00A2690A" w:rsidRPr="00DA3766">
        <w:t>还</w:t>
      </w:r>
      <w:r w:rsidRPr="00DA3766">
        <w:t>可以通过与标的公司共享研发资源、</w:t>
      </w:r>
      <w:r w:rsidR="00A2690A" w:rsidRPr="00DA3766">
        <w:t>优化研发配置和</w:t>
      </w:r>
      <w:r w:rsidRPr="00DA3766">
        <w:t>统筹研发方向</w:t>
      </w:r>
      <w:r w:rsidR="00A2690A" w:rsidRPr="00DA3766">
        <w:t>等</w:t>
      </w:r>
      <w:r w:rsidRPr="00DA3766">
        <w:t>，进一步提升集团研发效率。</w:t>
      </w:r>
    </w:p>
    <w:p w14:paraId="18EDFF80"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、市场拓展</w:t>
      </w:r>
    </w:p>
    <w:p w14:paraId="7D6F8220" w14:textId="77777777" w:rsidR="00B53060" w:rsidRPr="00DA3766" w:rsidRDefault="00B53060" w:rsidP="008A1B9E">
      <w:pPr>
        <w:pStyle w:val="005"/>
        <w:spacing w:before="120" w:after="120"/>
        <w:ind w:firstLine="480"/>
      </w:pPr>
      <w:r w:rsidRPr="00DA3766">
        <w:t>上市公司所提供的智慧政务、智慧教育和智慧医疗等领域的信息系统集成服</w:t>
      </w:r>
      <w:r w:rsidRPr="00DA3766">
        <w:lastRenderedPageBreak/>
        <w:t>务主要服务于各级党政部门、企事业单位，客户主体以</w:t>
      </w:r>
      <w:r w:rsidRPr="00DA3766">
        <w:t>G</w:t>
      </w:r>
      <w:r w:rsidRPr="00DA3766">
        <w:t>端客户和</w:t>
      </w:r>
      <w:r w:rsidRPr="00DA3766">
        <w:t>B</w:t>
      </w:r>
      <w:r w:rsidRPr="00DA3766">
        <w:t>端客户为主。标的公司则主要服务于生活、零售、出行等领域自助设备的制造商和运营商，第三方持牌支付机构，及部分智能零售终端设备的个人消费者，客户主体以</w:t>
      </w:r>
      <w:r w:rsidRPr="00DA3766">
        <w:t>B</w:t>
      </w:r>
      <w:r w:rsidRPr="00DA3766">
        <w:t>端客户和</w:t>
      </w:r>
      <w:r w:rsidRPr="00DA3766">
        <w:t>C</w:t>
      </w:r>
      <w:r w:rsidRPr="00DA3766">
        <w:t>端客户为主，因此较上市公司业务具有更强的广泛性和灵活性。</w:t>
      </w:r>
    </w:p>
    <w:p w14:paraId="39E00168" w14:textId="77777777" w:rsidR="00B53060" w:rsidRPr="00DA3766" w:rsidRDefault="00B53060" w:rsidP="008A1B9E">
      <w:pPr>
        <w:pStyle w:val="005"/>
        <w:spacing w:before="120" w:after="120"/>
        <w:ind w:firstLine="480"/>
      </w:pPr>
      <w:r w:rsidRPr="00DA3766">
        <w:t>本次交易完成后，上市公司与标的公司的客户体系将形成有效互补，通过客户资源的深度共享，不仅能提高现有客户的服务效率和服务质量，还有助于洞察现有客户更多的商业需求，全面提升客户开发和覆盖能力。</w:t>
      </w:r>
    </w:p>
    <w:p w14:paraId="61A2CF51"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、产品迭代</w:t>
      </w:r>
    </w:p>
    <w:p w14:paraId="3DF83CC7" w14:textId="6B95B039" w:rsidR="00B53060" w:rsidRPr="00DA3766" w:rsidRDefault="00B53060" w:rsidP="008A1B9E">
      <w:pPr>
        <w:pStyle w:val="005"/>
        <w:spacing w:before="120" w:after="120"/>
        <w:ind w:firstLine="480"/>
      </w:pPr>
      <w:r w:rsidRPr="00DA3766">
        <w:t>自设立以来，上市公司持续深耕智慧政务领域、智慧教育和智慧医疗等智慧城市细分领域。标的公司则专注于提供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一体化解决方案，致力于打造生活、零售、出行等生活性服务业数字化转型的技术底座，以技术创新和商业化实践助力城市数字经济发展。</w:t>
      </w:r>
      <w:r w:rsidR="00B030C4" w:rsidRPr="00DA3766">
        <w:t>双方将依托各自的技术禀赋与行业积淀，通过技术底层与应用场景的深度融合，实现现有产品的迭代升级与新赛道的共同开拓。</w:t>
      </w:r>
    </w:p>
    <w:p w14:paraId="77407CC6" w14:textId="47094FF3" w:rsidR="00B53060" w:rsidRPr="00DA3766" w:rsidRDefault="00B53060" w:rsidP="008A1B9E">
      <w:pPr>
        <w:pStyle w:val="005"/>
        <w:spacing w:before="120" w:after="120"/>
        <w:ind w:firstLine="480"/>
      </w:pPr>
      <w:r w:rsidRPr="00DA3766">
        <w:t>本次交易完成后，上市公司有望借助标的公司在智能自助设备领域长期积累的业务与技术优势，</w:t>
      </w:r>
      <w:r w:rsidR="00B030C4" w:rsidRPr="00DA3766">
        <w:t>引入更具灵活性和更强感知力的终端能力</w:t>
      </w:r>
      <w:r w:rsidR="009522C7" w:rsidRPr="00DA3766">
        <w:t>，推动智慧城市解决方案向智能化、终端化、实时化演进</w:t>
      </w:r>
      <w:r w:rsidRPr="00DA3766">
        <w:t>，</w:t>
      </w:r>
      <w:r w:rsidR="00B030C4" w:rsidRPr="00DA3766">
        <w:t>从而</w:t>
      </w:r>
      <w:r w:rsidRPr="00DA3766">
        <w:t>提升自身业务的长期竞争力。标的公司则可以借助上市公司对政企端</w:t>
      </w:r>
      <w:r w:rsidR="00C84F00" w:rsidRPr="00DA3766">
        <w:t>复杂</w:t>
      </w:r>
      <w:r w:rsidRPr="00DA3766">
        <w:t>客户需求及应用场景的深度洞察，</w:t>
      </w:r>
      <w:r w:rsidR="00C84F00" w:rsidRPr="00DA3766">
        <w:t>优化其现有的硬件性能与云平台架构</w:t>
      </w:r>
      <w:r w:rsidRPr="00DA3766">
        <w:t>，</w:t>
      </w:r>
      <w:r w:rsidR="007A77E0" w:rsidRPr="00DA3766">
        <w:t>并</w:t>
      </w:r>
      <w:r w:rsidRPr="00DA3766">
        <w:t>针对潜在应用场景开发新系列产品与服务，</w:t>
      </w:r>
      <w:r w:rsidR="007A77E0" w:rsidRPr="00DA3766">
        <w:t>助力双方从</w:t>
      </w:r>
      <w:r w:rsidR="007843D8" w:rsidRPr="00DA3766">
        <w:t>部分领域</w:t>
      </w:r>
      <w:r w:rsidR="007A77E0" w:rsidRPr="00DA3766">
        <w:t>的系统供应商向</w:t>
      </w:r>
      <w:r w:rsidR="007A77E0" w:rsidRPr="00DA3766">
        <w:rPr>
          <w:rFonts w:ascii="宋体" w:hAnsi="宋体"/>
        </w:rPr>
        <w:t>“</w:t>
      </w:r>
      <w:r w:rsidR="007A77E0" w:rsidRPr="00DA3766">
        <w:t>全场景数字基座服务商</w:t>
      </w:r>
      <w:r w:rsidR="007A77E0" w:rsidRPr="00DA3766">
        <w:rPr>
          <w:rFonts w:ascii="宋体" w:hAnsi="宋体"/>
        </w:rPr>
        <w:t>”</w:t>
      </w:r>
      <w:r w:rsidR="007A77E0" w:rsidRPr="00DA3766">
        <w:t>转型</w:t>
      </w:r>
      <w:r w:rsidR="008B72C3" w:rsidRPr="00DA3766">
        <w:t>，深度服务智慧城市与数字经济产业</w:t>
      </w:r>
      <w:r w:rsidRPr="00DA3766">
        <w:t>。</w:t>
      </w:r>
    </w:p>
    <w:p w14:paraId="2D47CD06" w14:textId="4E70E5B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第六节</w:t>
      </w:r>
      <w:r w:rsidRPr="00DA3766">
        <w:t xml:space="preserve"> </w:t>
      </w:r>
      <w:r w:rsidRPr="00DA3766">
        <w:t>交易标的评估情况</w:t>
      </w:r>
      <w:r w:rsidRPr="00DA3766">
        <w:rPr>
          <w:rFonts w:ascii="宋体" w:hAnsi="宋体"/>
        </w:rPr>
        <w:t>”</w:t>
      </w:r>
      <w:r w:rsidRPr="00DA3766">
        <w:t>之</w:t>
      </w:r>
      <w:r w:rsidRPr="00DA3766">
        <w:rPr>
          <w:rFonts w:ascii="宋体" w:hAnsi="宋体"/>
        </w:rPr>
        <w:t>“</w:t>
      </w:r>
      <w:r w:rsidRPr="00DA3766">
        <w:t>三、董事会对标的公司评估合理性以及定价的公允性分析</w:t>
      </w:r>
      <w:r w:rsidRPr="00DA3766">
        <w:rPr>
          <w:rFonts w:ascii="宋体" w:hAnsi="宋体"/>
        </w:rPr>
        <w:t>”</w:t>
      </w:r>
      <w:r w:rsidRPr="00DA3766">
        <w:t>之</w:t>
      </w:r>
      <w:r w:rsidRPr="00DA3766">
        <w:rPr>
          <w:rFonts w:ascii="宋体" w:hAnsi="宋体"/>
        </w:rPr>
        <w:t>“</w:t>
      </w:r>
      <w:r w:rsidRPr="00DA3766">
        <w:t>（五）标的公司与上市公司的协同效应</w:t>
      </w:r>
      <w:r w:rsidRPr="00DA3766">
        <w:rPr>
          <w:rFonts w:ascii="宋体" w:hAnsi="宋体"/>
        </w:rPr>
        <w:t>”</w:t>
      </w:r>
      <w:r w:rsidRPr="00DA3766">
        <w:t>补充披露。</w:t>
      </w:r>
    </w:p>
    <w:p w14:paraId="2EE23721" w14:textId="20259ADC" w:rsidR="009D3964" w:rsidRPr="00DA3766" w:rsidRDefault="009D3964" w:rsidP="008A1B9E">
      <w:pPr>
        <w:pStyle w:val="005"/>
        <w:spacing w:before="120" w:after="120"/>
        <w:ind w:firstLine="480"/>
      </w:pPr>
      <w:r w:rsidRPr="00DA3766">
        <w:t>综上所述，上市公司与标的资产在主要产品、所处行业、具体领域、客户及供应商等方面具有一定异同之处，上市公司与标的资产在产业链、技术研发、市场拓展、产品迭代等方面存在一定互补和协同效应，且具有可实现性。</w:t>
      </w:r>
    </w:p>
    <w:p w14:paraId="7FFFBA00" w14:textId="77777777" w:rsidR="00B53060" w:rsidRPr="00DA3766" w:rsidRDefault="00B53060" w:rsidP="00B53060">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lastRenderedPageBreak/>
        <w:t>二、本次交易完成后，上市公司拟实施整合管控的具体安排，包括但不限于人员、财务、业务、资产、机构等方面的具体整合管控措施及其有效性，相关协议安排能否保障上市公司对标的资产的有效整合管控</w:t>
      </w:r>
    </w:p>
    <w:p w14:paraId="108F9ECB" w14:textId="77777777" w:rsidR="00B53060" w:rsidRPr="00DA3766" w:rsidRDefault="00B53060" w:rsidP="008A1B9E">
      <w:pPr>
        <w:pStyle w:val="005"/>
        <w:spacing w:before="120" w:after="120"/>
        <w:ind w:firstLine="480"/>
      </w:pPr>
      <w:r w:rsidRPr="00DA3766">
        <w:t>本次交易完成后，上市公司拟在人员、财务、业务、资产、机构等方面实施预期有效的整合管控措施，具体情况如下：</w:t>
      </w:r>
    </w:p>
    <w:p w14:paraId="70CB90E8"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、人员整合</w:t>
      </w:r>
    </w:p>
    <w:p w14:paraId="4C831934" w14:textId="7E54E45E" w:rsidR="00B53060" w:rsidRPr="00DA3766" w:rsidRDefault="00B53060" w:rsidP="008A1B9E">
      <w:pPr>
        <w:pStyle w:val="005"/>
        <w:spacing w:before="120" w:after="120"/>
        <w:ind w:firstLine="480"/>
      </w:pPr>
      <w:r w:rsidRPr="00DA3766">
        <w:t>本次交易完成后，上市公司将保证标的公司现有业务团队的稳定性，标的公司核心管理层陈耿豪、杨凯然、张杰波、胡俊和王佳等将继续在标的公司或其子公司任职。</w:t>
      </w:r>
      <w:r w:rsidR="001C5901" w:rsidRPr="00DA3766">
        <w:t>同时根据</w:t>
      </w:r>
      <w:r w:rsidR="006E396E" w:rsidRPr="00DA3766">
        <w:t>《购买资产协议》及其补充协议约定</w:t>
      </w:r>
      <w:r w:rsidR="001C5901" w:rsidRPr="00DA3766">
        <w:t>，</w:t>
      </w:r>
      <w:r w:rsidR="006E396E" w:rsidRPr="00DA3766">
        <w:t>在本次交易完成后业绩承诺期届满且实际净利润的专项审核报告及目标公司减值测试报告或上述报告的复核意见出具前，标的公司董事会及监事会均由三人组成，其中上市公司有权提名两名董事及两名监事</w:t>
      </w:r>
      <w:r w:rsidR="001C5901" w:rsidRPr="00DA3766">
        <w:t>。未来，</w:t>
      </w:r>
      <w:r w:rsidRPr="00DA3766">
        <w:t>上市公司</w:t>
      </w:r>
      <w:r w:rsidR="001C5901" w:rsidRPr="00DA3766">
        <w:t>还</w:t>
      </w:r>
      <w:r w:rsidRPr="00DA3766">
        <w:t>将采取适当</w:t>
      </w:r>
      <w:r w:rsidR="001C5901" w:rsidRPr="00DA3766">
        <w:t>必要</w:t>
      </w:r>
      <w:r w:rsidRPr="00DA3766">
        <w:t>措施，促进上市公司与标的公司的人员融合进程。</w:t>
      </w:r>
    </w:p>
    <w:p w14:paraId="5C6AC2B8"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、财务整合</w:t>
      </w:r>
    </w:p>
    <w:p w14:paraId="06BCFD17" w14:textId="19C9D659" w:rsidR="00B53060" w:rsidRPr="00DA3766" w:rsidRDefault="001C5901" w:rsidP="008A1B9E">
      <w:pPr>
        <w:pStyle w:val="005"/>
        <w:spacing w:before="120" w:after="120"/>
        <w:ind w:firstLine="480"/>
      </w:pPr>
      <w:r w:rsidRPr="00DA3766">
        <w:t>本次交易完成后，上市公司财务部</w:t>
      </w:r>
      <w:r w:rsidR="001E60AA" w:rsidRPr="00DA3766">
        <w:t>门</w:t>
      </w:r>
      <w:r w:rsidRPr="00DA3766">
        <w:t>将全面接管标的公司及其下属企业的财务管理工作，并负责指定标的公司的财务负责人，使标的公司全面纳入上市公司的财务管理体系。依托上市公司规范的财务体系，遵循《企业会计准则》及《内部控制》相关规定从财务核算、财务管理、资金管理及财务内部控制管理等维度展开上市公司与标的公司之间的财务整合、融合；围绕上市公司整体财务战略全局，统筹规划标的公司的财务战略，以财务合规及业财融合赋能经营为依托，从财务投融资管理、预算管理、财务数字化建设等具体领域有序整合</w:t>
      </w:r>
      <w:r w:rsidR="00B53060" w:rsidRPr="00DA3766">
        <w:t>。</w:t>
      </w:r>
    </w:p>
    <w:p w14:paraId="1B461295"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、业务整合</w:t>
      </w:r>
    </w:p>
    <w:p w14:paraId="6A438C95" w14:textId="77777777" w:rsidR="00B53060" w:rsidRPr="00DA3766" w:rsidRDefault="00B53060" w:rsidP="008A1B9E">
      <w:pPr>
        <w:pStyle w:val="005"/>
        <w:spacing w:before="120" w:after="120"/>
        <w:ind w:firstLine="480"/>
      </w:pPr>
      <w:r w:rsidRPr="00DA3766">
        <w:t>本次交易完成后，标的公司将得到上市公司在市场拓展、客户覆盖、技术互补等方面的深度赋能，借助上市公司的平台优势和品牌优势得到更大发展。同时，上市公司还将为标的公司引入上市公司的内部控制制度体系，在有效降低其运营成本、提高运营效率的基础上，进一步提高标的公司的规范运作水平和市场响应效率，从而巩固在自助设备物联网领域的市场领先地位。上市公司也将借助对标的公司的全面控股，拓宽主营业务的横向半径，增强业务持续经营能力。</w:t>
      </w:r>
    </w:p>
    <w:p w14:paraId="3C7521A5"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4</w:t>
      </w:r>
      <w:r w:rsidRPr="00DA3766">
        <w:rPr>
          <w:rFonts w:ascii="Times New Roman" w:hAnsi="Times New Roman" w:cs="Times New Roman"/>
          <w:b/>
          <w:bCs/>
          <w:szCs w:val="28"/>
        </w:rPr>
        <w:t>、资产整合</w:t>
      </w:r>
    </w:p>
    <w:p w14:paraId="749897E5" w14:textId="77777777" w:rsidR="00B53060" w:rsidRPr="00DA3766" w:rsidRDefault="00B53060" w:rsidP="008A1B9E">
      <w:pPr>
        <w:pStyle w:val="005"/>
        <w:spacing w:before="120" w:after="120"/>
        <w:ind w:firstLine="480"/>
      </w:pPr>
      <w:r w:rsidRPr="00DA3766">
        <w:t>本次交易完成后，标的公司及其下属企业作为独立法人的身份不会发生变化。标的公司将在保证标的公司独立经营的基础上，要求标的公司按照上市公司的内控要求、财务管理、信息披露等相关制度的规定规范运作，以上市公司的高标准实现对标的公司的协同管理，从而强化标的公司的经营管理能力，持续释放协同效应。同时，上市公司也将优化自身的资产布局，相应提高抗风险能力。</w:t>
      </w:r>
    </w:p>
    <w:p w14:paraId="1D082E0B"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5</w:t>
      </w:r>
      <w:r w:rsidRPr="00DA3766">
        <w:rPr>
          <w:rFonts w:ascii="Times New Roman" w:hAnsi="Times New Roman" w:cs="Times New Roman"/>
          <w:b/>
          <w:bCs/>
          <w:szCs w:val="28"/>
        </w:rPr>
        <w:t>、机构整合</w:t>
      </w:r>
    </w:p>
    <w:p w14:paraId="5DDB2D97" w14:textId="77777777" w:rsidR="00B53060" w:rsidRPr="00DA3766" w:rsidRDefault="00B53060" w:rsidP="008A1B9E">
      <w:pPr>
        <w:pStyle w:val="005"/>
        <w:spacing w:before="120" w:after="120"/>
        <w:ind w:firstLine="480"/>
      </w:pPr>
      <w:r w:rsidRPr="00DA3766">
        <w:t>本次交易完成以后，标的公司现有的组织架构将继续保持一定的稳定性，上市公司则将根据内部控制和业务经营的实际需要，对标的公司的内部机构进行有序合理整合。此外，上市公司还将根据相关法律法规要求，持续完善标的公司法人治理结构，以维护自身和上市公司全体股东的利益。</w:t>
      </w:r>
    </w:p>
    <w:p w14:paraId="3C70F2A4" w14:textId="77777777" w:rsidR="00B53060" w:rsidRPr="00DA3766" w:rsidRDefault="00B53060" w:rsidP="008A1B9E">
      <w:pPr>
        <w:pStyle w:val="005"/>
        <w:spacing w:before="120" w:after="120"/>
        <w:ind w:firstLine="480"/>
      </w:pPr>
      <w:r w:rsidRPr="00DA3766">
        <w:t>为保障本次交易后续整合管控措施的有效实施，上市公司与交易对手方及业绩承诺方等签署了《购买资产协议》《购买资产协议之补充协议》《业绩承诺补偿协议书》等系列协议，相关协议安排预计能够保障上市公司对标的资产实现有效整合管控。</w:t>
      </w:r>
    </w:p>
    <w:p w14:paraId="4928481A" w14:textId="6F30D2E5"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第九节</w:t>
      </w:r>
      <w:r w:rsidRPr="00DA3766">
        <w:t xml:space="preserve"> </w:t>
      </w:r>
      <w:r w:rsidRPr="00DA3766">
        <w:t>管理层讨论与分析</w:t>
      </w:r>
      <w:r w:rsidRPr="00DA3766">
        <w:rPr>
          <w:rFonts w:ascii="宋体" w:hAnsi="宋体"/>
        </w:rPr>
        <w:t>”</w:t>
      </w:r>
      <w:r w:rsidRPr="00DA3766">
        <w:t>之</w:t>
      </w:r>
      <w:r w:rsidRPr="00DA3766">
        <w:rPr>
          <w:rFonts w:ascii="宋体" w:hAnsi="宋体"/>
        </w:rPr>
        <w:t>“</w:t>
      </w:r>
      <w:r w:rsidRPr="00DA3766">
        <w:t>八、本次交易对上市公司未来发展前景影响的分析</w:t>
      </w:r>
      <w:r w:rsidRPr="00DA3766">
        <w:rPr>
          <w:rFonts w:ascii="宋体" w:hAnsi="宋体"/>
        </w:rPr>
        <w:t>”</w:t>
      </w:r>
      <w:r w:rsidRPr="00DA3766">
        <w:t>之</w:t>
      </w:r>
      <w:r w:rsidRPr="00DA3766">
        <w:rPr>
          <w:rFonts w:ascii="宋体" w:hAnsi="宋体"/>
        </w:rPr>
        <w:t>“</w:t>
      </w:r>
      <w:r w:rsidRPr="00DA3766">
        <w:t>（一）本次交易的整合计划</w:t>
      </w:r>
      <w:r w:rsidRPr="00DA3766">
        <w:rPr>
          <w:rFonts w:ascii="宋体" w:hAnsi="宋体"/>
        </w:rPr>
        <w:t>”</w:t>
      </w:r>
      <w:r w:rsidRPr="00DA3766">
        <w:t>补充披露。</w:t>
      </w:r>
    </w:p>
    <w:p w14:paraId="62E59E69" w14:textId="78629478" w:rsidR="009D3964" w:rsidRPr="00DA3766" w:rsidRDefault="009D3964" w:rsidP="008A1B9E">
      <w:pPr>
        <w:pStyle w:val="005"/>
        <w:spacing w:before="120" w:after="120"/>
        <w:ind w:firstLine="480"/>
      </w:pPr>
      <w:r w:rsidRPr="00DA3766">
        <w:t>综上所述，上市公司拟实施整合管控的具体安排包括人员整合、财务整合、业务整合、资产整合和机构整合等，前述整合管控措施具备有效性，相关协议安排能够保障上市公司对标的资产的有效整合管控。</w:t>
      </w:r>
    </w:p>
    <w:p w14:paraId="42BEA328" w14:textId="77777777" w:rsidR="00E76498" w:rsidRPr="00DA3766" w:rsidRDefault="00E76498" w:rsidP="00E76498">
      <w:pPr>
        <w:keepNext/>
        <w:keepLines/>
        <w:spacing w:before="120" w:after="120"/>
        <w:ind w:firstLine="482"/>
        <w:jc w:val="both"/>
        <w:outlineLvl w:val="1"/>
        <w:rPr>
          <w:rFonts w:ascii="Times New Roman" w:hAnsi="Times New Roman" w:cs="Times New Roman"/>
          <w:b/>
          <w:bCs/>
          <w:szCs w:val="28"/>
        </w:rPr>
      </w:pPr>
      <w:bookmarkStart w:id="269" w:name="_Toc218904455"/>
      <w:bookmarkStart w:id="270" w:name="_Toc220344125"/>
      <w:r w:rsidRPr="00DA3766">
        <w:rPr>
          <w:rFonts w:ascii="Times New Roman" w:hAnsi="Times New Roman" w:cs="Times New Roman"/>
          <w:b/>
          <w:bCs/>
          <w:szCs w:val="28"/>
        </w:rPr>
        <w:t>三、独立财务顾问核查过程及核查意见</w:t>
      </w:r>
    </w:p>
    <w:p w14:paraId="26860FBF" w14:textId="77777777" w:rsidR="00E76498" w:rsidRPr="00DA3766" w:rsidRDefault="00E76498" w:rsidP="00E76498">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（一）核查程序</w:t>
      </w:r>
    </w:p>
    <w:p w14:paraId="0016E08B" w14:textId="77777777" w:rsidR="00E76498" w:rsidRPr="00DA3766" w:rsidRDefault="00E76498" w:rsidP="00E76498">
      <w:pPr>
        <w:pStyle w:val="005"/>
        <w:spacing w:before="120" w:after="120"/>
        <w:ind w:firstLine="480"/>
      </w:pPr>
      <w:r w:rsidRPr="00DA3766">
        <w:t>针对前述事项，独立财务顾问主要实施了以下核查程序：</w:t>
      </w:r>
    </w:p>
    <w:p w14:paraId="08B0D2EC" w14:textId="77777777" w:rsidR="00E76498" w:rsidRPr="00DA3766" w:rsidRDefault="00E76498" w:rsidP="00E76498">
      <w:pPr>
        <w:pStyle w:val="005"/>
        <w:spacing w:before="120" w:after="120"/>
        <w:ind w:firstLine="480"/>
      </w:pPr>
      <w:r w:rsidRPr="00DA3766">
        <w:t>1</w:t>
      </w:r>
      <w:r w:rsidRPr="00DA3766">
        <w:t>、取得并查阅上市公司招股说明书和年度报告等；</w:t>
      </w:r>
    </w:p>
    <w:p w14:paraId="0298517A" w14:textId="77777777" w:rsidR="00E76498" w:rsidRPr="00DA3766" w:rsidRDefault="00E76498" w:rsidP="00E76498">
      <w:pPr>
        <w:pStyle w:val="005"/>
        <w:spacing w:before="120" w:after="120"/>
        <w:ind w:firstLine="480"/>
      </w:pPr>
      <w:r w:rsidRPr="00DA3766">
        <w:t>2</w:t>
      </w:r>
      <w:r w:rsidRPr="00DA3766">
        <w:t>、访谈上市公司和标的公司业务人员，了解上市公司和标的公司的主营业务、主要产品、核心技术、主要客户及供应商等情况；</w:t>
      </w:r>
    </w:p>
    <w:p w14:paraId="287A56C2" w14:textId="77777777" w:rsidR="00E76498" w:rsidRPr="00DA3766" w:rsidRDefault="00E76498" w:rsidP="00E76498">
      <w:pPr>
        <w:pStyle w:val="005"/>
        <w:spacing w:before="120" w:after="120"/>
        <w:ind w:firstLine="480"/>
      </w:pPr>
      <w:r w:rsidRPr="00DA3766">
        <w:lastRenderedPageBreak/>
        <w:t>3</w:t>
      </w:r>
      <w:r w:rsidRPr="00DA3766">
        <w:t>、使用搜索引擎、财经软件等公开信息渠道，了解上市公司和标的公司的外部行业情况；</w:t>
      </w:r>
    </w:p>
    <w:p w14:paraId="785F22EA" w14:textId="77777777" w:rsidR="00E76498" w:rsidRPr="00DA3766" w:rsidRDefault="00E76498" w:rsidP="00E76498">
      <w:pPr>
        <w:pStyle w:val="005"/>
        <w:spacing w:before="120" w:after="120"/>
        <w:ind w:firstLine="480"/>
      </w:pPr>
      <w:r w:rsidRPr="00DA3766">
        <w:t>4</w:t>
      </w:r>
      <w:r w:rsidRPr="00DA3766">
        <w:t>、取得并查阅本次交易相关的《购买资产协议》《购买资产协议之补充协议》《业绩承诺补偿协议书》等协议；</w:t>
      </w:r>
    </w:p>
    <w:p w14:paraId="74CB72DA" w14:textId="77777777" w:rsidR="00E76498" w:rsidRPr="00DA3766" w:rsidRDefault="00E76498" w:rsidP="00E76498">
      <w:pPr>
        <w:pStyle w:val="005"/>
        <w:spacing w:before="120" w:after="120"/>
        <w:ind w:firstLine="480"/>
      </w:pPr>
      <w:r w:rsidRPr="00DA3766">
        <w:t>5</w:t>
      </w:r>
      <w:r w:rsidRPr="00DA3766">
        <w:t>、访谈上市公司的业务、财务和技术等部门负责人员，了解上市公司与标的资产在产业链、技术研发、市场拓展、产品迭代等方面的互补和协同效应及其可实现性，了解上市公司未来可能采取的整合管控措施。</w:t>
      </w:r>
    </w:p>
    <w:p w14:paraId="3C01FB2C" w14:textId="77777777" w:rsidR="00E76498" w:rsidRPr="00DA3766" w:rsidRDefault="00E76498" w:rsidP="00E76498">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（二）核查意见</w:t>
      </w:r>
    </w:p>
    <w:p w14:paraId="330DA911" w14:textId="77777777" w:rsidR="00E76498" w:rsidRPr="00DA3766" w:rsidRDefault="00E76498" w:rsidP="00E76498">
      <w:pPr>
        <w:pStyle w:val="005"/>
        <w:spacing w:before="120" w:after="120"/>
        <w:ind w:firstLine="480"/>
      </w:pPr>
      <w:r w:rsidRPr="00DA3766">
        <w:t>经核查，独立财务顾问认为：</w:t>
      </w:r>
    </w:p>
    <w:p w14:paraId="2E1BC21A" w14:textId="77777777" w:rsidR="00E76498" w:rsidRPr="00DA3766" w:rsidRDefault="00E76498" w:rsidP="00E76498">
      <w:pPr>
        <w:pStyle w:val="005"/>
        <w:spacing w:before="120" w:after="120"/>
        <w:ind w:firstLine="480"/>
      </w:pPr>
      <w:r w:rsidRPr="00DA3766">
        <w:t>1</w:t>
      </w:r>
      <w:r w:rsidRPr="00DA3766">
        <w:t>、上市公司与标的资产在主要产品、所处行业、具体领域、客户及供应商等方面具有一定异同之处，上市公司与标的资产在产业链、技术研发、市场拓展、产品迭代等方面存在一定互补和协同效应，且具有可实现性；</w:t>
      </w:r>
    </w:p>
    <w:p w14:paraId="79F21983" w14:textId="77777777" w:rsidR="00E76498" w:rsidRPr="00DA3766" w:rsidRDefault="00E76498" w:rsidP="00E76498">
      <w:pPr>
        <w:pStyle w:val="005"/>
        <w:spacing w:before="120" w:after="120"/>
        <w:ind w:firstLine="480"/>
      </w:pPr>
      <w:r w:rsidRPr="00DA3766">
        <w:t>2</w:t>
      </w:r>
      <w:r w:rsidRPr="00DA3766">
        <w:t>、本次交易完成后，上市公司拟实施整合管控的具体安排包括人员整合、财务整合、业务整合、资产整合和机构整合等，前述整合管控措施具备有效性，相关协议安排能够保障上市公司对标的资产的有效整合管控。</w:t>
      </w:r>
    </w:p>
    <w:p w14:paraId="6B50CF6E" w14:textId="77777777" w:rsidR="003F2129" w:rsidRPr="00DA3766" w:rsidRDefault="003F2129" w:rsidP="000C4294">
      <w:pPr>
        <w:pStyle w:val="001"/>
        <w:spacing w:before="120" w:after="120"/>
        <w:ind w:firstLine="480"/>
      </w:pPr>
      <w:r w:rsidRPr="00DA3766">
        <w:lastRenderedPageBreak/>
        <w:t>问题</w:t>
      </w:r>
      <w:r w:rsidRPr="00DA3766">
        <w:t>10</w:t>
      </w:r>
      <w:r w:rsidRPr="00DA3766">
        <w:t>、关于上市公司的生产经营与财务数据</w:t>
      </w:r>
      <w:bookmarkEnd w:id="269"/>
      <w:bookmarkEnd w:id="270"/>
    </w:p>
    <w:p w14:paraId="16329D2F"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申请文件及公开文件显示：（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）上市公司于</w:t>
      </w:r>
      <w:r w:rsidRPr="00DA3766">
        <w:rPr>
          <w:rFonts w:ascii="Times New Roman" w:eastAsia="黑体" w:hAnsi="Times New Roman" w:cs="Times New Roman"/>
          <w:kern w:val="2"/>
          <w:szCs w:val="22"/>
        </w:rPr>
        <w:t>2021</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11</w:t>
      </w:r>
      <w:r w:rsidRPr="00DA3766">
        <w:rPr>
          <w:rFonts w:ascii="Times New Roman" w:eastAsia="黑体" w:hAnsi="Times New Roman" w:cs="Times New Roman"/>
          <w:kern w:val="2"/>
          <w:szCs w:val="22"/>
        </w:rPr>
        <w:t>月在创业板上市，</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年上市公司业绩持续下滑，各年营业收入分别为</w:t>
      </w:r>
      <w:r w:rsidRPr="00DA3766">
        <w:rPr>
          <w:rFonts w:ascii="Times New Roman" w:eastAsia="黑体" w:hAnsi="Times New Roman" w:cs="Times New Roman"/>
          <w:kern w:val="2"/>
          <w:szCs w:val="22"/>
        </w:rPr>
        <w:t>4.39</w:t>
      </w:r>
      <w:r w:rsidRPr="00DA3766">
        <w:rPr>
          <w:rFonts w:ascii="Times New Roman" w:eastAsia="黑体" w:hAnsi="Times New Roman" w:cs="Times New Roman"/>
          <w:kern w:val="2"/>
          <w:szCs w:val="22"/>
        </w:rPr>
        <w:t>亿元、</w:t>
      </w:r>
      <w:r w:rsidRPr="00DA3766">
        <w:rPr>
          <w:rFonts w:ascii="Times New Roman" w:eastAsia="黑体" w:hAnsi="Times New Roman" w:cs="Times New Roman"/>
          <w:kern w:val="2"/>
          <w:szCs w:val="22"/>
        </w:rPr>
        <w:t>4.10</w:t>
      </w:r>
      <w:r w:rsidRPr="00DA3766">
        <w:rPr>
          <w:rFonts w:ascii="Times New Roman" w:eastAsia="黑体" w:hAnsi="Times New Roman" w:cs="Times New Roman"/>
          <w:kern w:val="2"/>
          <w:szCs w:val="22"/>
        </w:rPr>
        <w:t>亿元和</w:t>
      </w:r>
      <w:r w:rsidRPr="00DA3766">
        <w:rPr>
          <w:rFonts w:ascii="Times New Roman" w:eastAsia="黑体" w:hAnsi="Times New Roman" w:cs="Times New Roman"/>
          <w:kern w:val="2"/>
          <w:szCs w:val="22"/>
        </w:rPr>
        <w:t>2.24</w:t>
      </w:r>
      <w:r w:rsidRPr="00DA3766">
        <w:rPr>
          <w:rFonts w:ascii="Times New Roman" w:eastAsia="黑体" w:hAnsi="Times New Roman" w:cs="Times New Roman"/>
          <w:kern w:val="2"/>
          <w:szCs w:val="22"/>
        </w:rPr>
        <w:t>亿元，扣非归母净利润分别为</w:t>
      </w:r>
      <w:r w:rsidRPr="00DA3766">
        <w:rPr>
          <w:rFonts w:ascii="Times New Roman" w:eastAsia="黑体" w:hAnsi="Times New Roman" w:cs="Times New Roman"/>
          <w:kern w:val="2"/>
          <w:szCs w:val="22"/>
        </w:rPr>
        <w:t>2903.94</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494.84</w:t>
      </w:r>
      <w:r w:rsidRPr="00DA3766">
        <w:rPr>
          <w:rFonts w:ascii="Times New Roman" w:eastAsia="黑体" w:hAnsi="Times New Roman" w:cs="Times New Roman"/>
          <w:kern w:val="2"/>
          <w:szCs w:val="22"/>
        </w:rPr>
        <w:t>万元和</w:t>
      </w:r>
      <w:r w:rsidRPr="00DA3766">
        <w:rPr>
          <w:rFonts w:ascii="Times New Roman" w:eastAsia="黑体" w:hAnsi="Times New Roman" w:cs="Times New Roman"/>
          <w:kern w:val="2"/>
          <w:szCs w:val="22"/>
        </w:rPr>
        <w:t>-4889.07</w:t>
      </w:r>
      <w:r w:rsidRPr="00DA3766">
        <w:rPr>
          <w:rFonts w:ascii="Times New Roman" w:eastAsia="黑体" w:hAnsi="Times New Roman" w:cs="Times New Roman"/>
          <w:kern w:val="2"/>
          <w:szCs w:val="22"/>
        </w:rPr>
        <w:t>万元，毛利率分别为</w:t>
      </w:r>
      <w:r w:rsidRPr="00DA3766">
        <w:rPr>
          <w:rFonts w:ascii="Times New Roman" w:eastAsia="黑体" w:hAnsi="Times New Roman" w:cs="Times New Roman"/>
          <w:kern w:val="2"/>
          <w:szCs w:val="22"/>
        </w:rPr>
        <w:t>22.53%</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13.18%</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）上市公司在提供信息技术服务的过程中，会利用供应商资源为客户提供信息设备供货服务。</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年，上市公司硬件销售收入占营业收入的比例分别为</w:t>
      </w:r>
      <w:r w:rsidRPr="00DA3766">
        <w:rPr>
          <w:rFonts w:ascii="Times New Roman" w:eastAsia="黑体" w:hAnsi="Times New Roman" w:cs="Times New Roman"/>
          <w:kern w:val="2"/>
          <w:szCs w:val="22"/>
        </w:rPr>
        <w:t>50.95%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41.70%</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51.82%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年上市公司新增贸易业务。（</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）上市公司营业收入主要集中于第四季度确认，</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年上市公司第四季度确认收入占全年收入的比例分别为</w:t>
      </w:r>
      <w:r w:rsidRPr="00DA3766">
        <w:rPr>
          <w:rFonts w:ascii="Times New Roman" w:eastAsia="黑体" w:hAnsi="Times New Roman" w:cs="Times New Roman"/>
          <w:kern w:val="2"/>
          <w:szCs w:val="22"/>
        </w:rPr>
        <w:t>47.11%</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57.19%</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30.57%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年上市公司经营活动产生的现金流量净额存在波动且与当年净利润存在差异，</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年经营活动产生的现金流入同比下降</w:t>
      </w:r>
      <w:r w:rsidRPr="00DA3766">
        <w:rPr>
          <w:rFonts w:ascii="Times New Roman" w:eastAsia="黑体" w:hAnsi="Times New Roman" w:cs="Times New Roman"/>
          <w:kern w:val="2"/>
          <w:szCs w:val="22"/>
        </w:rPr>
        <w:t>31.59%</w:t>
      </w:r>
      <w:r w:rsidRPr="00DA3766">
        <w:rPr>
          <w:rFonts w:ascii="Times New Roman" w:eastAsia="黑体" w:hAnsi="Times New Roman" w:cs="Times New Roman"/>
          <w:kern w:val="2"/>
          <w:szCs w:val="22"/>
        </w:rPr>
        <w:t>，主要系受地方客户财政资金预算不足影响，项目无法按照既定计划验收，影响回款周期所致。（</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年，上市公司应收账款余额占营业收入的比重分别为</w:t>
      </w:r>
      <w:r w:rsidRPr="00DA3766">
        <w:rPr>
          <w:rFonts w:ascii="Times New Roman" w:eastAsia="黑体" w:hAnsi="Times New Roman" w:cs="Times New Roman"/>
          <w:kern w:val="2"/>
          <w:szCs w:val="22"/>
        </w:rPr>
        <w:t>69.72%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89.10%</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160.18%</w:t>
      </w:r>
      <w:r w:rsidRPr="00DA3766">
        <w:rPr>
          <w:rFonts w:ascii="Times New Roman" w:eastAsia="黑体" w:hAnsi="Times New Roman" w:cs="Times New Roman"/>
          <w:kern w:val="2"/>
          <w:szCs w:val="22"/>
        </w:rPr>
        <w:t>，应收账款周转率分别为</w:t>
      </w:r>
      <w:r w:rsidRPr="00DA3766">
        <w:rPr>
          <w:rFonts w:ascii="Times New Roman" w:eastAsia="黑体" w:hAnsi="Times New Roman" w:cs="Times New Roman"/>
          <w:kern w:val="2"/>
          <w:szCs w:val="22"/>
        </w:rPr>
        <w:t>1.97</w:t>
      </w:r>
      <w:r w:rsidRPr="00DA3766">
        <w:rPr>
          <w:rFonts w:ascii="Times New Roman" w:eastAsia="黑体" w:hAnsi="Times New Roman" w:cs="Times New Roman"/>
          <w:kern w:val="2"/>
          <w:szCs w:val="22"/>
        </w:rPr>
        <w:t>次、</w:t>
      </w:r>
      <w:r w:rsidRPr="00DA3766">
        <w:rPr>
          <w:rFonts w:ascii="Times New Roman" w:eastAsia="黑体" w:hAnsi="Times New Roman" w:cs="Times New Roman"/>
          <w:kern w:val="2"/>
          <w:szCs w:val="22"/>
        </w:rPr>
        <w:t>1.45</w:t>
      </w:r>
      <w:r w:rsidRPr="00DA3766">
        <w:rPr>
          <w:rFonts w:ascii="Times New Roman" w:eastAsia="黑体" w:hAnsi="Times New Roman" w:cs="Times New Roman"/>
          <w:kern w:val="2"/>
          <w:szCs w:val="22"/>
        </w:rPr>
        <w:t>次、</w:t>
      </w:r>
      <w:r w:rsidRPr="00DA3766">
        <w:rPr>
          <w:rFonts w:ascii="Times New Roman" w:eastAsia="黑体" w:hAnsi="Times New Roman" w:cs="Times New Roman"/>
          <w:kern w:val="2"/>
          <w:szCs w:val="22"/>
        </w:rPr>
        <w:t>0.78</w:t>
      </w:r>
      <w:r w:rsidRPr="00DA3766">
        <w:rPr>
          <w:rFonts w:ascii="Times New Roman" w:eastAsia="黑体" w:hAnsi="Times New Roman" w:cs="Times New Roman"/>
          <w:kern w:val="2"/>
          <w:szCs w:val="22"/>
        </w:rPr>
        <w:t>次，账龄为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年以上、</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年以上的应收账款占比逐年增长。（</w:t>
      </w:r>
      <w:r w:rsidRPr="00DA3766">
        <w:rPr>
          <w:rFonts w:ascii="Times New Roman" w:eastAsia="黑体" w:hAnsi="Times New Roman" w:cs="Times New Roman"/>
          <w:kern w:val="2"/>
          <w:szCs w:val="22"/>
        </w:rPr>
        <w:t>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2023</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年年末，上市公司存货账面价值分别为</w:t>
      </w:r>
      <w:r w:rsidRPr="00DA3766">
        <w:rPr>
          <w:rFonts w:ascii="Times New Roman" w:eastAsia="黑体" w:hAnsi="Times New Roman" w:cs="Times New Roman"/>
          <w:kern w:val="2"/>
          <w:szCs w:val="22"/>
        </w:rPr>
        <w:t>3731.42</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8122.18</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年存货规模增长主要系在产品账面价值增长</w:t>
      </w:r>
      <w:r w:rsidRPr="00DA3766">
        <w:rPr>
          <w:rFonts w:ascii="Times New Roman" w:eastAsia="黑体" w:hAnsi="Times New Roman" w:cs="Times New Roman"/>
          <w:kern w:val="2"/>
          <w:szCs w:val="22"/>
        </w:rPr>
        <w:t>5318.57</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8</w:t>
      </w:r>
      <w:r w:rsidRPr="00DA3766">
        <w:rPr>
          <w:rFonts w:ascii="Times New Roman" w:eastAsia="黑体" w:hAnsi="Times New Roman" w:cs="Times New Roman"/>
          <w:kern w:val="2"/>
          <w:szCs w:val="22"/>
        </w:rPr>
        <w:t>）</w:t>
      </w:r>
      <w:bookmarkStart w:id="271" w:name="_Hlk220079012"/>
      <w:r w:rsidRPr="00DA3766">
        <w:rPr>
          <w:rFonts w:ascii="Times New Roman" w:eastAsia="黑体" w:hAnsi="Times New Roman" w:cs="Times New Roman"/>
          <w:kern w:val="2"/>
          <w:szCs w:val="22"/>
        </w:rPr>
        <w:t>上市公司固定资产账面价值由</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年的</w:t>
      </w:r>
      <w:r w:rsidRPr="00DA3766">
        <w:rPr>
          <w:rFonts w:ascii="Times New Roman" w:eastAsia="黑体" w:hAnsi="Times New Roman" w:cs="Times New Roman"/>
          <w:kern w:val="2"/>
          <w:szCs w:val="22"/>
        </w:rPr>
        <w:t>374.32</w:t>
      </w:r>
      <w:r w:rsidRPr="00DA3766">
        <w:rPr>
          <w:rFonts w:ascii="Times New Roman" w:eastAsia="黑体" w:hAnsi="Times New Roman" w:cs="Times New Roman"/>
          <w:kern w:val="2"/>
          <w:szCs w:val="22"/>
        </w:rPr>
        <w:t>万元增长至</w:t>
      </w:r>
      <w:r w:rsidRPr="00DA3766">
        <w:rPr>
          <w:rFonts w:ascii="Times New Roman" w:eastAsia="黑体" w:hAnsi="Times New Roman" w:cs="Times New Roman"/>
          <w:kern w:val="2"/>
          <w:szCs w:val="22"/>
        </w:rPr>
        <w:t>2025</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30</w:t>
      </w:r>
      <w:r w:rsidRPr="00DA3766">
        <w:rPr>
          <w:rFonts w:ascii="Times New Roman" w:eastAsia="黑体" w:hAnsi="Times New Roman" w:cs="Times New Roman"/>
          <w:kern w:val="2"/>
          <w:szCs w:val="22"/>
        </w:rPr>
        <w:t>日的</w:t>
      </w:r>
      <w:r w:rsidRPr="00DA3766">
        <w:rPr>
          <w:rFonts w:ascii="Times New Roman" w:eastAsia="黑体" w:hAnsi="Times New Roman" w:cs="Times New Roman"/>
          <w:kern w:val="2"/>
          <w:szCs w:val="22"/>
        </w:rPr>
        <w:t>5.20</w:t>
      </w:r>
      <w:r w:rsidRPr="00DA3766">
        <w:rPr>
          <w:rFonts w:ascii="Times New Roman" w:eastAsia="黑体" w:hAnsi="Times New Roman" w:cs="Times New Roman"/>
          <w:kern w:val="2"/>
          <w:szCs w:val="22"/>
        </w:rPr>
        <w:t>亿元，主要系募投项目投入建设及公司算力项目、光伏项目陆续建成转固；</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年年末上市公司在建工程账面价值为</w:t>
      </w:r>
      <w:r w:rsidRPr="00DA3766">
        <w:rPr>
          <w:rFonts w:ascii="Times New Roman" w:eastAsia="黑体" w:hAnsi="Times New Roman" w:cs="Times New Roman"/>
          <w:kern w:val="2"/>
          <w:szCs w:val="22"/>
        </w:rPr>
        <w:t>3.51</w:t>
      </w:r>
      <w:r w:rsidRPr="00DA3766">
        <w:rPr>
          <w:rFonts w:ascii="Times New Roman" w:eastAsia="黑体" w:hAnsi="Times New Roman" w:cs="Times New Roman"/>
          <w:kern w:val="2"/>
          <w:szCs w:val="22"/>
        </w:rPr>
        <w:t>亿元，主要系在建的分布式光伏发电项目、算力项目</w:t>
      </w:r>
      <w:bookmarkEnd w:id="271"/>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18</w:t>
      </w:r>
      <w:r w:rsidRPr="00DA3766">
        <w:rPr>
          <w:rFonts w:ascii="Times New Roman" w:eastAsia="黑体" w:hAnsi="Times New Roman" w:cs="Times New Roman"/>
          <w:kern w:val="2"/>
          <w:szCs w:val="22"/>
        </w:rPr>
        <w:t>日，上市公司中选中国移动通信集团广东有限公司深圳分公司（以下简称深圳移动）算力服务项目、算力维保服务项目，为深圳移动提供算力技术服务、网络相关产品服务及算力维保服务。</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日上市公司与深圳移动签订合同，合同约定上市公司自合同签订之日起启动项目准备工作，并于</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日前完成算力服务整体交付（即项目所需所有硬件设备到货）。两项目合同金额合计约</w:t>
      </w:r>
      <w:r w:rsidRPr="00DA3766">
        <w:rPr>
          <w:rFonts w:ascii="Times New Roman" w:eastAsia="黑体" w:hAnsi="Times New Roman" w:cs="Times New Roman"/>
          <w:kern w:val="2"/>
          <w:szCs w:val="22"/>
        </w:rPr>
        <w:t>3.83</w:t>
      </w:r>
      <w:r w:rsidRPr="00DA3766">
        <w:rPr>
          <w:rFonts w:ascii="Times New Roman" w:eastAsia="黑体" w:hAnsi="Times New Roman" w:cs="Times New Roman"/>
          <w:kern w:val="2"/>
          <w:szCs w:val="22"/>
        </w:rPr>
        <w:t>亿元，服务期起算之日为深圳移动验收通过之日，合计</w:t>
      </w:r>
      <w:r w:rsidRPr="00DA3766">
        <w:rPr>
          <w:rFonts w:ascii="Times New Roman" w:eastAsia="黑体" w:hAnsi="Times New Roman" w:cs="Times New Roman"/>
          <w:kern w:val="2"/>
          <w:szCs w:val="22"/>
        </w:rPr>
        <w:t>60</w:t>
      </w:r>
      <w:r w:rsidRPr="00DA3766">
        <w:rPr>
          <w:rFonts w:ascii="Times New Roman" w:eastAsia="黑体" w:hAnsi="Times New Roman" w:cs="Times New Roman"/>
          <w:kern w:val="2"/>
          <w:szCs w:val="22"/>
        </w:rPr>
        <w:t>个月，后续按月计收服务费。上市公司已按照合同约定完成交付。（</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年上市公司收到的其他与筹资活动有关的现金中包括信托业务收到的现金</w:t>
      </w:r>
      <w:r w:rsidRPr="00DA3766">
        <w:rPr>
          <w:rFonts w:ascii="Times New Roman" w:eastAsia="黑体" w:hAnsi="Times New Roman" w:cs="Times New Roman"/>
          <w:kern w:val="2"/>
          <w:szCs w:val="22"/>
        </w:rPr>
        <w:t>1760</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2023</w:t>
      </w:r>
      <w:r w:rsidRPr="00DA3766">
        <w:rPr>
          <w:rFonts w:ascii="Times New Roman" w:eastAsia="黑体" w:hAnsi="Times New Roman" w:cs="Times New Roman"/>
          <w:kern w:val="2"/>
          <w:szCs w:val="22"/>
        </w:rPr>
        <w:t>年上市公司</w:t>
      </w:r>
      <w:r w:rsidRPr="00DA3766">
        <w:rPr>
          <w:rFonts w:ascii="Times New Roman" w:eastAsia="黑体" w:hAnsi="Times New Roman" w:cs="Times New Roman"/>
          <w:kern w:val="2"/>
          <w:szCs w:val="22"/>
        </w:rPr>
        <w:lastRenderedPageBreak/>
        <w:t>支付的其他与筹资活动有关的现金中包括支付信托业务的现金</w:t>
      </w:r>
      <w:r w:rsidRPr="00DA3766">
        <w:rPr>
          <w:rFonts w:ascii="Times New Roman" w:eastAsia="黑体" w:hAnsi="Times New Roman" w:cs="Times New Roman"/>
          <w:kern w:val="2"/>
          <w:szCs w:val="22"/>
        </w:rPr>
        <w:t>1760</w:t>
      </w:r>
      <w:r w:rsidRPr="00DA3766">
        <w:rPr>
          <w:rFonts w:ascii="Times New Roman" w:eastAsia="黑体" w:hAnsi="Times New Roman" w:cs="Times New Roman"/>
          <w:kern w:val="2"/>
          <w:szCs w:val="22"/>
        </w:rPr>
        <w:t>万元。</w:t>
      </w:r>
    </w:p>
    <w:p w14:paraId="2EC4CF0B"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请上市公司补充说明：（</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）上市公司营业收入、净利润与现金流的勾稽关系，收入现金比、净现比的变化情况及原因，上市公司盈利质量是否恶化。（</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）报告期内上市公司收入确认政策的实际执行情况，是否存在未取得客户验收或签收单据等提前确认收入的情况。（</w:t>
      </w:r>
      <w:r w:rsidRPr="00DA3766">
        <w:rPr>
          <w:rFonts w:ascii="Times New Roman" w:eastAsia="黑体" w:hAnsi="Times New Roman" w:cs="Times New Roman"/>
          <w:kern w:val="2"/>
          <w:szCs w:val="22"/>
        </w:rPr>
        <w:t>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新增贸易业务的背景、原因及必要性，贸易业务的具体开展情况，包括但不限于产品类别、业务模式、结算方式、发生额、毛利率、期后回款情况；主要贸易交易的客户及供应商、其同上市公司是否存在关联关系（含穿透后涉及关联交易）、合同金额、销售或采购单价及数量，产品最终是否实现对外销售，是否存在闭环交易、利益输送、资金占用、体外资金循环情况。（</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）上市公司集中于第四季度确认收入，且</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第四季度收入确认比例存在较大波动的原因及合理性，与同行业可比公司各季度收入分布情况是否存在差异，如是，说明原因及合理性；列表说明报告期各期第四季度收入确认的主要客户、合同签订时间、合同金额、合同的实施期间、验收日期、收入金额、收入确认的具体依据、相关收入期后回款情况。（</w:t>
      </w:r>
      <w:r w:rsidRPr="00DA3766">
        <w:rPr>
          <w:rFonts w:ascii="Times New Roman" w:eastAsia="黑体" w:hAnsi="Times New Roman" w:cs="Times New Roman"/>
          <w:kern w:val="2"/>
          <w:szCs w:val="22"/>
        </w:rPr>
        <w:t>7</w:t>
      </w:r>
      <w:r w:rsidRPr="00DA3766">
        <w:rPr>
          <w:rFonts w:ascii="Times New Roman" w:eastAsia="黑体" w:hAnsi="Times New Roman" w:cs="Times New Roman"/>
          <w:kern w:val="2"/>
          <w:szCs w:val="22"/>
        </w:rPr>
        <w:t>）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r w:rsidRPr="00DA3766">
        <w:rPr>
          <w:rFonts w:ascii="Times New Roman" w:eastAsia="黑体" w:hAnsi="Times New Roman" w:cs="Times New Roman"/>
          <w:kern w:val="2"/>
          <w:szCs w:val="22"/>
        </w:rPr>
        <w:t>8</w:t>
      </w:r>
      <w:r w:rsidRPr="00DA3766">
        <w:rPr>
          <w:rFonts w:ascii="Times New Roman" w:eastAsia="黑体" w:hAnsi="Times New Roman" w:cs="Times New Roman"/>
          <w:kern w:val="2"/>
          <w:szCs w:val="22"/>
        </w:rPr>
        <w:t>）上市公司在产品的产品明细、库龄、是否具有订单支撑、是否存在周转缓慢或滞销情况，</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年在产品规模增长的原因，对应存货成本归集、分配、核算是否准确、可靠。（</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）上市公司</w:t>
      </w:r>
      <w:r w:rsidRPr="00DA3766">
        <w:rPr>
          <w:rFonts w:ascii="Times New Roman" w:eastAsia="黑体" w:hAnsi="Times New Roman" w:cs="Times New Roman"/>
          <w:kern w:val="2"/>
          <w:szCs w:val="22"/>
        </w:rPr>
        <w:lastRenderedPageBreak/>
        <w:t>算力项目、光伏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）上市公司与深圳移动的算力服务项目约定交付期限较短的原因及合理性，已完成交付的情况下截至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r w:rsidRPr="00DA3766">
        <w:rPr>
          <w:rFonts w:ascii="Times New Roman" w:eastAsia="黑体" w:hAnsi="Times New Roman" w:cs="Times New Roman"/>
          <w:kern w:val="2"/>
          <w:szCs w:val="22"/>
        </w:rPr>
        <w:t>11</w:t>
      </w:r>
      <w:r w:rsidRPr="00DA3766">
        <w:rPr>
          <w:rFonts w:ascii="Times New Roman" w:eastAsia="黑体" w:hAnsi="Times New Roman" w:cs="Times New Roman"/>
          <w:kern w:val="2"/>
          <w:szCs w:val="22"/>
        </w:rPr>
        <w:t>）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14:paraId="4F47B0F6"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请独立财务顾问、会计师：（</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）对上述事项进行核查并发表明确意见。（</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详细说明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）详细说明对上市公司货币资金、应收账款、存货、在建工程、固定资产等主要资产相关核查工作的具体情况，并对上述资产是否真实存在，相关会计核算是否准确发表明确意见。</w:t>
      </w:r>
    </w:p>
    <w:p w14:paraId="0C5CB0A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【回复】</w:t>
      </w:r>
    </w:p>
    <w:p w14:paraId="023914B7"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一、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p>
    <w:p w14:paraId="62DC612F"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（一）上市公司所处行业的发展趋势、市场空间、竞争情况</w:t>
      </w:r>
    </w:p>
    <w:p w14:paraId="3B892477"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、上市公司所处行业的发展趋势、市场空间</w:t>
      </w:r>
    </w:p>
    <w:p w14:paraId="1748B24A"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深耕信息技术领域，致力于融合物联网、大数据、云计算、人工智能等新一代信息技术，形成产品研发、信息技术解决方案和信息系统运维服务三大核心业务板块，并主动布局智能算力、数据要素等新兴业务赛道，持续拓展算力网络集群服务，加速数据要素商业化进程；目前，公司已经落地了基层社会治理网格化、市域社会治理、数字乡村、智慧社区、政务服务全场景一体化、数据要素全链条一站式、轨道交通无人值守、轨道交通资产巡视八大核心解决方案。</w:t>
      </w:r>
    </w:p>
    <w:p w14:paraId="5AEC782E"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根据国家标准化管理委员会发布的《国民经济行业分类》（</w:t>
      </w:r>
      <w:r w:rsidRPr="00DA3766">
        <w:rPr>
          <w:rFonts w:ascii="Times New Roman" w:hAnsi="Times New Roman" w:cs="Times New Roman"/>
          <w:kern w:val="2"/>
          <w:szCs w:val="22"/>
        </w:rPr>
        <w:t>GB/T4754-2017</w:t>
      </w:r>
      <w:r w:rsidRPr="00DA3766">
        <w:rPr>
          <w:rFonts w:ascii="Times New Roman" w:hAnsi="Times New Roman" w:cs="Times New Roman"/>
          <w:kern w:val="2"/>
          <w:szCs w:val="22"/>
        </w:rPr>
        <w:t>）分类标准，公司所属行业为软件和信息技术服务业（</w:t>
      </w:r>
      <w:r w:rsidRPr="00DA3766">
        <w:rPr>
          <w:rFonts w:ascii="Times New Roman" w:hAnsi="Times New Roman" w:cs="Times New Roman"/>
          <w:kern w:val="2"/>
          <w:szCs w:val="22"/>
        </w:rPr>
        <w:t>I65</w:t>
      </w:r>
      <w:r w:rsidRPr="00DA3766">
        <w:rPr>
          <w:rFonts w:ascii="Times New Roman" w:hAnsi="Times New Roman" w:cs="Times New Roman"/>
          <w:kern w:val="2"/>
          <w:szCs w:val="22"/>
        </w:rPr>
        <w:t>）。按照中国证监会《上市公司行业分类指引》，公司所属行业为</w:t>
      </w:r>
      <w:r w:rsidRPr="00DA3766">
        <w:rPr>
          <w:rFonts w:cs="Times New Roman"/>
          <w:kern w:val="2"/>
          <w:szCs w:val="22"/>
        </w:rPr>
        <w:t>“</w:t>
      </w:r>
      <w:r w:rsidRPr="00DA3766">
        <w:rPr>
          <w:rFonts w:ascii="Times New Roman" w:hAnsi="Times New Roman" w:cs="Times New Roman"/>
          <w:kern w:val="2"/>
          <w:szCs w:val="22"/>
        </w:rPr>
        <w:t>软件和信息技术服务业</w:t>
      </w:r>
      <w:r w:rsidRPr="00DA3766">
        <w:rPr>
          <w:rFonts w:cs="Times New Roman"/>
          <w:kern w:val="2"/>
          <w:szCs w:val="22"/>
        </w:rPr>
        <w:t>”</w:t>
      </w:r>
      <w:r w:rsidRPr="00DA3766">
        <w:rPr>
          <w:rFonts w:ascii="Times New Roman" w:hAnsi="Times New Roman" w:cs="Times New Roman"/>
          <w:kern w:val="2"/>
          <w:szCs w:val="22"/>
        </w:rPr>
        <w:t>，公司主营业务细分领域为智慧政务、智慧教育、智慧医疗及其他智慧城市行业。此外，公司围绕主业逐渐进军智慧能源、信创领域业务，顺利实现了业务拓展。</w:t>
      </w:r>
    </w:p>
    <w:p w14:paraId="3CCB5880"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）软件和信息技术服务行业概况</w:t>
      </w:r>
    </w:p>
    <w:p w14:paraId="600EED8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w:t>
      </w:r>
      <w:r w:rsidRPr="00DA3766">
        <w:rPr>
          <w:rFonts w:cs="Times New Roman"/>
          <w:kern w:val="2"/>
          <w:szCs w:val="22"/>
        </w:rPr>
        <w:t>“</w:t>
      </w:r>
      <w:r w:rsidRPr="00DA3766">
        <w:rPr>
          <w:rFonts w:ascii="Times New Roman" w:hAnsi="Times New Roman" w:cs="Times New Roman"/>
          <w:kern w:val="2"/>
          <w:szCs w:val="22"/>
        </w:rPr>
        <w:t>十四五</w:t>
      </w:r>
      <w:r w:rsidRPr="00DA3766">
        <w:rPr>
          <w:rFonts w:cs="Times New Roman"/>
          <w:kern w:val="2"/>
          <w:szCs w:val="22"/>
        </w:rPr>
        <w:t>”</w:t>
      </w:r>
      <w:r w:rsidRPr="00DA3766">
        <w:rPr>
          <w:rFonts w:ascii="Times New Roman" w:hAnsi="Times New Roman" w:cs="Times New Roman"/>
          <w:kern w:val="2"/>
          <w:szCs w:val="22"/>
        </w:rPr>
        <w:t>数字经济发展规划》，数字经济是继农业经济、工业经济之后的主要经济形态。</w:t>
      </w:r>
      <w:r w:rsidRPr="00DA3766">
        <w:rPr>
          <w:rFonts w:cs="Times New Roman"/>
          <w:kern w:val="2"/>
          <w:szCs w:val="22"/>
        </w:rPr>
        <w:t>“</w:t>
      </w:r>
      <w:r w:rsidRPr="00DA3766">
        <w:rPr>
          <w:rFonts w:ascii="Times New Roman" w:hAnsi="Times New Roman" w:cs="Times New Roman"/>
          <w:kern w:val="2"/>
          <w:szCs w:val="22"/>
        </w:rPr>
        <w:t>十四五</w:t>
      </w:r>
      <w:r w:rsidRPr="00DA3766">
        <w:rPr>
          <w:rFonts w:cs="Times New Roman"/>
          <w:kern w:val="2"/>
          <w:szCs w:val="22"/>
        </w:rPr>
        <w:t>”</w:t>
      </w:r>
      <w:r w:rsidRPr="00DA3766">
        <w:rPr>
          <w:rFonts w:ascii="Times New Roman" w:hAnsi="Times New Roman" w:cs="Times New Roman"/>
          <w:kern w:val="2"/>
          <w:szCs w:val="22"/>
        </w:rPr>
        <w:t>时期要求数字化创新引领发展能力大幅提升，智能化水平明显增强，数字基础设施广泛融入生产生活，对政务服务、公共服务、民生保障、社会治理的支撑作用进一步凸显。</w:t>
      </w:r>
      <w:r w:rsidRPr="00DA3766">
        <w:rPr>
          <w:rFonts w:ascii="Times New Roman" w:hAnsi="Times New Roman" w:cs="Times New Roman"/>
          <w:kern w:val="2"/>
          <w:szCs w:val="22"/>
        </w:rPr>
        <w:t>2024</w:t>
      </w:r>
      <w:r w:rsidRPr="00DA3766">
        <w:rPr>
          <w:rFonts w:ascii="Times New Roman" w:hAnsi="Times New Roman" w:cs="Times New Roman"/>
          <w:kern w:val="2"/>
          <w:szCs w:val="22"/>
        </w:rPr>
        <w:t>年</w:t>
      </w:r>
      <w:r w:rsidRPr="00DA3766">
        <w:rPr>
          <w:rFonts w:ascii="Times New Roman" w:hAnsi="Times New Roman" w:cs="Times New Roman"/>
          <w:kern w:val="2"/>
          <w:szCs w:val="22"/>
        </w:rPr>
        <w:t>4</w:t>
      </w:r>
      <w:r w:rsidRPr="00DA3766">
        <w:rPr>
          <w:rFonts w:ascii="Times New Roman" w:hAnsi="Times New Roman" w:cs="Times New Roman"/>
          <w:kern w:val="2"/>
          <w:szCs w:val="22"/>
        </w:rPr>
        <w:t>月，国家发展改革委办公厅、国家数据局综合司印发《数字经济</w:t>
      </w:r>
      <w:r w:rsidRPr="00DA3766">
        <w:rPr>
          <w:rFonts w:ascii="Times New Roman" w:hAnsi="Times New Roman" w:cs="Times New Roman"/>
          <w:kern w:val="2"/>
          <w:szCs w:val="22"/>
        </w:rPr>
        <w:t>2024</w:t>
      </w:r>
      <w:r w:rsidRPr="00DA3766">
        <w:rPr>
          <w:rFonts w:ascii="Times New Roman" w:hAnsi="Times New Roman" w:cs="Times New Roman"/>
          <w:kern w:val="2"/>
          <w:szCs w:val="22"/>
        </w:rPr>
        <w:t>年工作要点》，从布局数字基础设施、数据基础制度、产业数字化转型、数字技术创新突破、提升公共服务水平、完善数字经济治理体系、筑牢数字安全屏障等多方面提出具体举措，支持数字经济高质量发展。</w:t>
      </w:r>
    </w:p>
    <w:p w14:paraId="37BB5BBD"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年，软件和信息技术服务行业技术呈集成化、普惠化、自主化发展。</w:t>
      </w:r>
      <w:r w:rsidRPr="00DA3766">
        <w:rPr>
          <w:rFonts w:ascii="Times New Roman" w:hAnsi="Times New Roman" w:cs="Times New Roman"/>
          <w:kern w:val="2"/>
          <w:szCs w:val="22"/>
        </w:rPr>
        <w:lastRenderedPageBreak/>
        <w:t>人工智能、大模型、云计算等技术得以深化应用，技术底座与场景应用相结合驱动产业数字化转型；低代码平台开发技术与</w:t>
      </w:r>
      <w:r w:rsidRPr="00DA3766">
        <w:rPr>
          <w:rFonts w:ascii="Times New Roman" w:hAnsi="Times New Roman" w:cs="Times New Roman"/>
          <w:kern w:val="2"/>
          <w:szCs w:val="22"/>
        </w:rPr>
        <w:t>AI</w:t>
      </w:r>
      <w:r w:rsidRPr="00DA3766">
        <w:rPr>
          <w:rFonts w:ascii="Times New Roman" w:hAnsi="Times New Roman" w:cs="Times New Roman"/>
          <w:kern w:val="2"/>
          <w:szCs w:val="22"/>
        </w:rPr>
        <w:t>工具结合，降低开发门槛，激发应用创新活力；国产操作系统、工业软件突破国际技术壁垒，产业链韧性显著增强。</w:t>
      </w:r>
    </w:p>
    <w:p w14:paraId="29BB39A1"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年，软件和信息技术服务业整体保持良好的态势。</w:t>
      </w:r>
      <w:r w:rsidRPr="00DA3766">
        <w:rPr>
          <w:rFonts w:ascii="Times New Roman" w:hAnsi="Times New Roman" w:cs="Times New Roman"/>
          <w:kern w:val="2"/>
          <w:szCs w:val="22"/>
        </w:rPr>
        <w:t>2024</w:t>
      </w:r>
      <w:r w:rsidRPr="00DA3766">
        <w:rPr>
          <w:rFonts w:ascii="Times New Roman" w:hAnsi="Times New Roman" w:cs="Times New Roman"/>
          <w:kern w:val="2"/>
          <w:szCs w:val="22"/>
        </w:rPr>
        <w:t>年我国软件业务收入达到</w:t>
      </w:r>
      <w:r w:rsidRPr="00DA3766">
        <w:rPr>
          <w:rFonts w:ascii="Times New Roman" w:hAnsi="Times New Roman" w:cs="Times New Roman"/>
          <w:kern w:val="2"/>
          <w:szCs w:val="22"/>
        </w:rPr>
        <w:t>137,276</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10.0%</w:t>
      </w:r>
      <w:r w:rsidRPr="00DA3766">
        <w:rPr>
          <w:rFonts w:ascii="Times New Roman" w:hAnsi="Times New Roman" w:cs="Times New Roman"/>
          <w:kern w:val="2"/>
          <w:szCs w:val="22"/>
        </w:rPr>
        <w:t>；利润总额为</w:t>
      </w:r>
      <w:r w:rsidRPr="00DA3766">
        <w:rPr>
          <w:rFonts w:ascii="Times New Roman" w:hAnsi="Times New Roman" w:cs="Times New Roman"/>
          <w:kern w:val="2"/>
          <w:szCs w:val="22"/>
        </w:rPr>
        <w:t>16,953</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8.7%</w:t>
      </w:r>
      <w:r w:rsidRPr="00DA3766">
        <w:rPr>
          <w:rFonts w:ascii="Times New Roman" w:hAnsi="Times New Roman" w:cs="Times New Roman"/>
          <w:kern w:val="2"/>
          <w:szCs w:val="22"/>
        </w:rPr>
        <w:t>。其中，软件产品收入</w:t>
      </w:r>
      <w:r w:rsidRPr="00DA3766">
        <w:rPr>
          <w:rFonts w:ascii="Times New Roman" w:hAnsi="Times New Roman" w:cs="Times New Roman"/>
          <w:kern w:val="2"/>
          <w:szCs w:val="22"/>
        </w:rPr>
        <w:t>30,417</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6.6%</w:t>
      </w:r>
      <w:r w:rsidRPr="00DA3766">
        <w:rPr>
          <w:rFonts w:ascii="Times New Roman" w:hAnsi="Times New Roman" w:cs="Times New Roman"/>
          <w:kern w:val="2"/>
          <w:szCs w:val="22"/>
        </w:rPr>
        <w:t>。信息技术服务收入保持两位数增长，全年收入达</w:t>
      </w:r>
      <w:r w:rsidRPr="00DA3766">
        <w:rPr>
          <w:rFonts w:ascii="Times New Roman" w:hAnsi="Times New Roman" w:cs="Times New Roman"/>
          <w:kern w:val="2"/>
          <w:szCs w:val="22"/>
        </w:rPr>
        <w:t>92,190</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11.0%</w:t>
      </w:r>
      <w:r w:rsidRPr="00DA3766">
        <w:rPr>
          <w:rFonts w:ascii="Times New Roman" w:hAnsi="Times New Roman" w:cs="Times New Roman"/>
          <w:kern w:val="2"/>
          <w:szCs w:val="22"/>
        </w:rPr>
        <w:t>，占全行业收入的</w:t>
      </w:r>
      <w:r w:rsidRPr="00DA3766">
        <w:rPr>
          <w:rFonts w:ascii="Times New Roman" w:hAnsi="Times New Roman" w:cs="Times New Roman"/>
          <w:kern w:val="2"/>
          <w:szCs w:val="22"/>
        </w:rPr>
        <w:t>67.2%</w:t>
      </w:r>
      <w:r w:rsidRPr="00DA3766">
        <w:rPr>
          <w:rFonts w:ascii="Times New Roman" w:hAnsi="Times New Roman" w:cs="Times New Roman"/>
          <w:kern w:val="2"/>
          <w:szCs w:val="22"/>
        </w:rPr>
        <w:t>，云计算和大数据服务收入达</w:t>
      </w:r>
      <w:r w:rsidRPr="00DA3766">
        <w:rPr>
          <w:rFonts w:ascii="Times New Roman" w:hAnsi="Times New Roman" w:cs="Times New Roman"/>
          <w:kern w:val="2"/>
          <w:szCs w:val="22"/>
        </w:rPr>
        <w:t>14,088</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9.9%</w:t>
      </w:r>
      <w:r w:rsidRPr="00DA3766">
        <w:rPr>
          <w:rFonts w:ascii="Times New Roman" w:hAnsi="Times New Roman" w:cs="Times New Roman"/>
          <w:kern w:val="2"/>
          <w:szCs w:val="22"/>
        </w:rPr>
        <w:t>，成为推动行业增长的重要动力。全年信息传输软件和信息技术服务业增加值增长</w:t>
      </w:r>
      <w:r w:rsidRPr="00DA3766">
        <w:rPr>
          <w:rFonts w:ascii="Times New Roman" w:hAnsi="Times New Roman" w:cs="Times New Roman"/>
          <w:kern w:val="2"/>
          <w:szCs w:val="22"/>
        </w:rPr>
        <w:t>10.9%</w:t>
      </w:r>
      <w:r w:rsidRPr="00DA3766">
        <w:rPr>
          <w:rFonts w:ascii="Times New Roman" w:hAnsi="Times New Roman" w:cs="Times New Roman"/>
          <w:kern w:val="2"/>
          <w:szCs w:val="22"/>
        </w:rPr>
        <w:t>，我国数据总量和算力总规模稳居全球第二位。</w:t>
      </w:r>
    </w:p>
    <w:p w14:paraId="0E9E9269"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）智慧城市行业概况</w:t>
      </w:r>
    </w:p>
    <w:p w14:paraId="74636D1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智慧城市作为数字时代城市发展的高级形态，通过系统化整合物联网、云计算、人工智能等新一代信息技术，构建起覆盖规划、建设、管理全生命周期的智能生态系统。其核心在于构建</w:t>
      </w:r>
      <w:r w:rsidRPr="00DA3766">
        <w:rPr>
          <w:rFonts w:cs="Times New Roman"/>
          <w:kern w:val="2"/>
          <w:szCs w:val="22"/>
        </w:rPr>
        <w:t>“</w:t>
      </w:r>
      <w:r w:rsidRPr="00DA3766">
        <w:rPr>
          <w:rFonts w:ascii="Times New Roman" w:hAnsi="Times New Roman" w:cs="Times New Roman"/>
          <w:kern w:val="2"/>
          <w:szCs w:val="22"/>
        </w:rPr>
        <w:t>感</w:t>
      </w:r>
      <w:r w:rsidRPr="00DA3766">
        <w:rPr>
          <w:rFonts w:ascii="Times New Roman" w:hAnsi="Times New Roman" w:cs="Times New Roman"/>
          <w:kern w:val="2"/>
          <w:szCs w:val="22"/>
        </w:rPr>
        <w:t>-</w:t>
      </w:r>
      <w:r w:rsidRPr="00DA3766">
        <w:rPr>
          <w:rFonts w:ascii="Times New Roman" w:hAnsi="Times New Roman" w:cs="Times New Roman"/>
          <w:kern w:val="2"/>
          <w:szCs w:val="22"/>
        </w:rPr>
        <w:t>传</w:t>
      </w:r>
      <w:r w:rsidRPr="00DA3766">
        <w:rPr>
          <w:rFonts w:ascii="Times New Roman" w:hAnsi="Times New Roman" w:cs="Times New Roman"/>
          <w:kern w:val="2"/>
          <w:szCs w:val="22"/>
        </w:rPr>
        <w:t>-</w:t>
      </w:r>
      <w:r w:rsidRPr="00DA3766">
        <w:rPr>
          <w:rFonts w:ascii="Times New Roman" w:hAnsi="Times New Roman" w:cs="Times New Roman"/>
          <w:kern w:val="2"/>
          <w:szCs w:val="22"/>
        </w:rPr>
        <w:t>知</w:t>
      </w:r>
      <w:r w:rsidRPr="00DA3766">
        <w:rPr>
          <w:rFonts w:ascii="Times New Roman" w:hAnsi="Times New Roman" w:cs="Times New Roman"/>
          <w:kern w:val="2"/>
          <w:szCs w:val="22"/>
        </w:rPr>
        <w:t>-</w:t>
      </w:r>
      <w:r w:rsidRPr="00DA3766">
        <w:rPr>
          <w:rFonts w:ascii="Times New Roman" w:hAnsi="Times New Roman" w:cs="Times New Roman"/>
          <w:kern w:val="2"/>
          <w:szCs w:val="22"/>
        </w:rPr>
        <w:t>用</w:t>
      </w:r>
      <w:r w:rsidRPr="00DA3766">
        <w:rPr>
          <w:rFonts w:cs="Times New Roman"/>
          <w:kern w:val="2"/>
          <w:szCs w:val="22"/>
        </w:rPr>
        <w:t>”</w:t>
      </w:r>
      <w:r w:rsidRPr="00DA3766">
        <w:rPr>
          <w:rFonts w:ascii="Times New Roman" w:hAnsi="Times New Roman" w:cs="Times New Roman"/>
          <w:kern w:val="2"/>
          <w:szCs w:val="22"/>
        </w:rPr>
        <w:t>的完整技术链条：前端部署千万级智能传感设备实时采集城市运行数据，通过边缘计算节点实现本地化数据预处理，依托</w:t>
      </w:r>
      <w:r w:rsidRPr="00DA3766">
        <w:rPr>
          <w:rFonts w:ascii="Times New Roman" w:hAnsi="Times New Roman" w:cs="Times New Roman"/>
          <w:kern w:val="2"/>
          <w:szCs w:val="22"/>
        </w:rPr>
        <w:t>5G/6G</w:t>
      </w:r>
      <w:r w:rsidRPr="00DA3766">
        <w:rPr>
          <w:rFonts w:ascii="Times New Roman" w:hAnsi="Times New Roman" w:cs="Times New Roman"/>
          <w:kern w:val="2"/>
          <w:szCs w:val="22"/>
        </w:rPr>
        <w:t>通信网络实现全域数据高速传输，借助城市大脑平台进行多维度数据分析与决策支持，最终形成虚实融合的城市治理新模式。</w:t>
      </w:r>
    </w:p>
    <w:p w14:paraId="255D900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w:t>
      </w:r>
      <w:r w:rsidRPr="00DA3766">
        <w:rPr>
          <w:rFonts w:ascii="Times New Roman" w:hAnsi="Times New Roman" w:cs="Times New Roman"/>
          <w:kern w:val="2"/>
          <w:szCs w:val="22"/>
        </w:rPr>
        <w:t>4</w:t>
      </w:r>
      <w:r w:rsidRPr="00DA3766">
        <w:rPr>
          <w:rFonts w:ascii="Times New Roman" w:hAnsi="Times New Roman" w:cs="Times New Roman"/>
          <w:kern w:val="2"/>
          <w:szCs w:val="22"/>
        </w:rPr>
        <w:t>月，国家发展改革委、国家数据局、财政部、自然资源部联合发布《关于深化智慧城市发展推进城市全域数字化转型的指导意见》，为智慧城市深化发展提出明确目标和有力保障。指导意见提出要充分发挥数据的基础资源和创新引擎作用，全面提升城市全域数字化转型的整体性、系统性、协同性。到</w:t>
      </w:r>
      <w:r w:rsidRPr="00DA3766">
        <w:rPr>
          <w:rFonts w:ascii="Times New Roman" w:hAnsi="Times New Roman" w:cs="Times New Roman"/>
          <w:kern w:val="2"/>
          <w:szCs w:val="22"/>
        </w:rPr>
        <w:t>2027</w:t>
      </w:r>
      <w:r w:rsidRPr="00DA3766">
        <w:rPr>
          <w:rFonts w:ascii="Times New Roman" w:hAnsi="Times New Roman" w:cs="Times New Roman"/>
          <w:kern w:val="2"/>
          <w:szCs w:val="22"/>
        </w:rPr>
        <w:t>年，全国城市全域数字化转型取得明显成效，形成一批横向打通、纵向贯通、各具特色的宜居、韧性、智慧城市，有力支撑数字中国建设。到</w:t>
      </w:r>
      <w:r w:rsidRPr="00DA3766">
        <w:rPr>
          <w:rFonts w:ascii="Times New Roman" w:hAnsi="Times New Roman" w:cs="Times New Roman"/>
          <w:kern w:val="2"/>
          <w:szCs w:val="22"/>
        </w:rPr>
        <w:t>2030</w:t>
      </w:r>
      <w:r w:rsidRPr="00DA3766">
        <w:rPr>
          <w:rFonts w:ascii="Times New Roman" w:hAnsi="Times New Roman" w:cs="Times New Roman"/>
          <w:kern w:val="2"/>
          <w:szCs w:val="22"/>
        </w:rPr>
        <w:t>年，全国城市全域数字化转型全面突破，涌现一批数字文明时代具有全球竞争力的中国式现代化城市。同时要求各地方要加强领导，推动各项政策措施、重点任务落地见效，鼓励通过各类资金渠道，加强资金支持。</w:t>
      </w:r>
    </w:p>
    <w:p w14:paraId="116B5A0D"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智慧城市行业细分领域众多，包含智慧政务、智慧安全、智慧交通、智慧教</w:t>
      </w:r>
      <w:r w:rsidRPr="00DA3766">
        <w:rPr>
          <w:rFonts w:ascii="Times New Roman" w:hAnsi="Times New Roman" w:cs="Times New Roman"/>
          <w:kern w:val="2"/>
          <w:szCs w:val="22"/>
        </w:rPr>
        <w:lastRenderedPageBreak/>
        <w:t>育、智慧医疗等多个领域，根据赛智产业研究院预测，我国在</w:t>
      </w:r>
      <w:r w:rsidRPr="00DA3766">
        <w:rPr>
          <w:rFonts w:cs="Times New Roman"/>
          <w:kern w:val="2"/>
          <w:szCs w:val="22"/>
        </w:rPr>
        <w:t>“</w:t>
      </w:r>
      <w:r w:rsidRPr="00DA3766">
        <w:rPr>
          <w:rFonts w:ascii="Times New Roman" w:hAnsi="Times New Roman" w:cs="Times New Roman"/>
          <w:kern w:val="2"/>
          <w:szCs w:val="22"/>
        </w:rPr>
        <w:t>十五五</w:t>
      </w:r>
      <w:r w:rsidRPr="00DA3766">
        <w:rPr>
          <w:rFonts w:cs="Times New Roman"/>
          <w:kern w:val="2"/>
          <w:szCs w:val="22"/>
        </w:rPr>
        <w:t>”</w:t>
      </w:r>
      <w:r w:rsidRPr="00DA3766">
        <w:rPr>
          <w:rFonts w:ascii="Times New Roman" w:hAnsi="Times New Roman" w:cs="Times New Roman"/>
          <w:kern w:val="2"/>
          <w:szCs w:val="22"/>
        </w:rPr>
        <w:t>期间智慧城市市场规模将保持年均</w:t>
      </w:r>
      <w:r w:rsidRPr="00DA3766">
        <w:rPr>
          <w:rFonts w:ascii="Times New Roman" w:hAnsi="Times New Roman" w:cs="Times New Roman"/>
          <w:kern w:val="2"/>
          <w:szCs w:val="22"/>
        </w:rPr>
        <w:t>25%</w:t>
      </w:r>
      <w:r w:rsidRPr="00DA3766">
        <w:rPr>
          <w:rFonts w:ascii="Times New Roman" w:hAnsi="Times New Roman" w:cs="Times New Roman"/>
          <w:kern w:val="2"/>
          <w:szCs w:val="22"/>
        </w:rPr>
        <w:t>的复合增长率，</w:t>
      </w:r>
      <w:r w:rsidRPr="00DA3766">
        <w:rPr>
          <w:rFonts w:ascii="Times New Roman" w:hAnsi="Times New Roman" w:cs="Times New Roman"/>
          <w:kern w:val="2"/>
          <w:szCs w:val="22"/>
        </w:rPr>
        <w:t>2030</w:t>
      </w:r>
      <w:r w:rsidRPr="00DA3766">
        <w:rPr>
          <w:rFonts w:ascii="Times New Roman" w:hAnsi="Times New Roman" w:cs="Times New Roman"/>
          <w:kern w:val="2"/>
          <w:szCs w:val="22"/>
        </w:rPr>
        <w:t>年总体规模突破</w:t>
      </w:r>
      <w:r w:rsidRPr="00DA3766">
        <w:rPr>
          <w:rFonts w:ascii="Times New Roman" w:hAnsi="Times New Roman" w:cs="Times New Roman"/>
          <w:kern w:val="2"/>
          <w:szCs w:val="22"/>
        </w:rPr>
        <w:t>3</w:t>
      </w:r>
      <w:r w:rsidRPr="00DA3766">
        <w:rPr>
          <w:rFonts w:ascii="Times New Roman" w:hAnsi="Times New Roman" w:cs="Times New Roman"/>
          <w:kern w:val="2"/>
          <w:szCs w:val="22"/>
        </w:rPr>
        <w:t>万亿元。</w:t>
      </w:r>
    </w:p>
    <w:p w14:paraId="5E6A61B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）信创行业概况</w:t>
      </w:r>
    </w:p>
    <w:p w14:paraId="32337DC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作为数字经济发展的核心底座，信创产业在国家战略布局中持续深化。自</w:t>
      </w:r>
      <w:r w:rsidRPr="00DA3766">
        <w:rPr>
          <w:rFonts w:ascii="Times New Roman" w:hAnsi="Times New Roman" w:cs="Times New Roman"/>
          <w:kern w:val="2"/>
          <w:szCs w:val="22"/>
        </w:rPr>
        <w:t>2020</w:t>
      </w:r>
      <w:r w:rsidRPr="00DA3766">
        <w:rPr>
          <w:rFonts w:ascii="Times New Roman" w:hAnsi="Times New Roman" w:cs="Times New Roman"/>
          <w:kern w:val="2"/>
          <w:szCs w:val="22"/>
        </w:rPr>
        <w:t>年进入规模化推广阶段以来，国家级政策明确了</w:t>
      </w:r>
      <w:r w:rsidRPr="00DA3766">
        <w:rPr>
          <w:rFonts w:cs="Times New Roman"/>
          <w:kern w:val="2"/>
          <w:szCs w:val="22"/>
        </w:rPr>
        <w:t>“</w:t>
      </w:r>
      <w:r w:rsidRPr="00DA3766">
        <w:rPr>
          <w:rFonts w:ascii="Times New Roman" w:hAnsi="Times New Roman" w:cs="Times New Roman"/>
          <w:kern w:val="2"/>
          <w:szCs w:val="22"/>
        </w:rPr>
        <w:t>2+8+N</w:t>
      </w:r>
      <w:r w:rsidRPr="00DA3766">
        <w:rPr>
          <w:rFonts w:cs="Times New Roman"/>
          <w:kern w:val="2"/>
          <w:szCs w:val="22"/>
        </w:rPr>
        <w:t>”</w:t>
      </w:r>
      <w:r w:rsidRPr="00DA3766">
        <w:rPr>
          <w:rFonts w:ascii="Times New Roman" w:hAnsi="Times New Roman" w:cs="Times New Roman"/>
          <w:kern w:val="2"/>
          <w:szCs w:val="22"/>
        </w:rPr>
        <w:t>全行业覆盖的替代路径。</w:t>
      </w:r>
      <w:r w:rsidRPr="00DA3766">
        <w:rPr>
          <w:rFonts w:ascii="Times New Roman" w:hAnsi="Times New Roman" w:cs="Times New Roman"/>
          <w:kern w:val="2"/>
          <w:szCs w:val="22"/>
        </w:rPr>
        <w:t>2022</w:t>
      </w:r>
      <w:r w:rsidRPr="00DA3766">
        <w:rPr>
          <w:rFonts w:ascii="Times New Roman" w:hAnsi="Times New Roman" w:cs="Times New Roman"/>
          <w:kern w:val="2"/>
          <w:szCs w:val="22"/>
        </w:rPr>
        <w:t>年国资委</w:t>
      </w:r>
      <w:r w:rsidRPr="00DA3766">
        <w:rPr>
          <w:rFonts w:ascii="Times New Roman" w:hAnsi="Times New Roman" w:cs="Times New Roman"/>
          <w:kern w:val="2"/>
          <w:szCs w:val="22"/>
        </w:rPr>
        <w:t>79</w:t>
      </w:r>
      <w:r w:rsidRPr="00DA3766">
        <w:rPr>
          <w:rFonts w:ascii="Times New Roman" w:hAnsi="Times New Roman" w:cs="Times New Roman"/>
          <w:kern w:val="2"/>
          <w:szCs w:val="22"/>
        </w:rPr>
        <w:t>号文要求央企国企在</w:t>
      </w:r>
      <w:r w:rsidRPr="00DA3766">
        <w:rPr>
          <w:rFonts w:ascii="Times New Roman" w:hAnsi="Times New Roman" w:cs="Times New Roman"/>
          <w:kern w:val="2"/>
          <w:szCs w:val="22"/>
        </w:rPr>
        <w:t>2027</w:t>
      </w:r>
      <w:r w:rsidRPr="00DA3766">
        <w:rPr>
          <w:rFonts w:ascii="Times New Roman" w:hAnsi="Times New Roman" w:cs="Times New Roman"/>
          <w:kern w:val="2"/>
          <w:szCs w:val="22"/>
        </w:rPr>
        <w:t>年前完成</w:t>
      </w:r>
      <w:r w:rsidRPr="00DA3766">
        <w:rPr>
          <w:rFonts w:ascii="Times New Roman" w:hAnsi="Times New Roman" w:cs="Times New Roman"/>
          <w:kern w:val="2"/>
          <w:szCs w:val="22"/>
        </w:rPr>
        <w:t>100%</w:t>
      </w:r>
      <w:r w:rsidRPr="00DA3766">
        <w:rPr>
          <w:rFonts w:ascii="Times New Roman" w:hAnsi="Times New Roman" w:cs="Times New Roman"/>
          <w:kern w:val="2"/>
          <w:szCs w:val="22"/>
        </w:rPr>
        <w:t>信息化系统国产化替代，标志着信创从党政办公向金融、能源、交通等八大关键行业的全面渗透。</w:t>
      </w:r>
      <w:r w:rsidRPr="00DA3766">
        <w:rPr>
          <w:rFonts w:ascii="Times New Roman" w:hAnsi="Times New Roman" w:cs="Times New Roman"/>
          <w:kern w:val="2"/>
          <w:szCs w:val="22"/>
        </w:rPr>
        <w:t>2023</w:t>
      </w:r>
      <w:r w:rsidRPr="00DA3766">
        <w:rPr>
          <w:rFonts w:ascii="Times New Roman" w:hAnsi="Times New Roman" w:cs="Times New Roman"/>
          <w:kern w:val="2"/>
          <w:szCs w:val="22"/>
        </w:rPr>
        <w:t>年，工业和信息化部等六部门联合印发《算力基础设施高质量发展行动计划》，提出</w:t>
      </w:r>
      <w:r w:rsidRPr="00DA3766">
        <w:rPr>
          <w:rFonts w:ascii="Times New Roman" w:hAnsi="Times New Roman" w:cs="Times New Roman"/>
          <w:kern w:val="2"/>
          <w:szCs w:val="22"/>
        </w:rPr>
        <w:t>2025</w:t>
      </w:r>
      <w:r w:rsidRPr="00DA3766">
        <w:rPr>
          <w:rFonts w:ascii="Times New Roman" w:hAnsi="Times New Roman" w:cs="Times New Roman"/>
          <w:kern w:val="2"/>
          <w:szCs w:val="22"/>
        </w:rPr>
        <w:t>年算力规模超过</w:t>
      </w:r>
      <w:r w:rsidRPr="00DA3766">
        <w:rPr>
          <w:rFonts w:ascii="Times New Roman" w:hAnsi="Times New Roman" w:cs="Times New Roman"/>
          <w:kern w:val="2"/>
          <w:szCs w:val="22"/>
        </w:rPr>
        <w:t>300EFLOPS</w:t>
      </w:r>
      <w:r w:rsidRPr="00DA3766">
        <w:rPr>
          <w:rFonts w:ascii="Times New Roman" w:hAnsi="Times New Roman" w:cs="Times New Roman"/>
          <w:kern w:val="2"/>
          <w:szCs w:val="22"/>
        </w:rPr>
        <w:t>、智能算力占比</w:t>
      </w:r>
      <w:r w:rsidRPr="00DA3766">
        <w:rPr>
          <w:rFonts w:ascii="Times New Roman" w:hAnsi="Times New Roman" w:cs="Times New Roman"/>
          <w:kern w:val="2"/>
          <w:szCs w:val="22"/>
        </w:rPr>
        <w:t>35%</w:t>
      </w:r>
      <w:r w:rsidRPr="00DA3766">
        <w:rPr>
          <w:rFonts w:ascii="Times New Roman" w:hAnsi="Times New Roman" w:cs="Times New Roman"/>
          <w:kern w:val="2"/>
          <w:szCs w:val="22"/>
        </w:rPr>
        <w:t>的目标，加速构建自主可控的算力网络。</w:t>
      </w:r>
    </w:p>
    <w:p w14:paraId="7C6CFC0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年政策支持力度持续加码，中央财政通过超长期特别国债、科技创新再贷款等方式，为信创基础设施建设提供资金保障。</w:t>
      </w:r>
      <w:r w:rsidRPr="00DA3766">
        <w:rPr>
          <w:rFonts w:ascii="Times New Roman" w:hAnsi="Times New Roman" w:cs="Times New Roman"/>
          <w:kern w:val="2"/>
          <w:szCs w:val="22"/>
        </w:rPr>
        <w:t>2025</w:t>
      </w:r>
      <w:r w:rsidRPr="00DA3766">
        <w:rPr>
          <w:rFonts w:ascii="Times New Roman" w:hAnsi="Times New Roman" w:cs="Times New Roman"/>
          <w:kern w:val="2"/>
          <w:szCs w:val="22"/>
        </w:rPr>
        <w:t>年政府工作报告进一步强化科技自立自强，提出优化算力资源布局，加快东中西部算力协同网络建设，数据中心、服务器等硬件投资成为重点领域。政府采购创新产品目录动态更新，首台套装备、首版次软件等纳入优先采购范围，推动国产技术迭代与规模化应用。</w:t>
      </w:r>
    </w:p>
    <w:p w14:paraId="7C0D965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算力作为信创产业的核心支撑，正迎来技术突破与生态重构的双重机遇。国家发改委明确要求加速国产芯片、服务器等硬件技术攻关，推动</w:t>
      </w:r>
      <w:r w:rsidRPr="00DA3766">
        <w:rPr>
          <w:rFonts w:ascii="Times New Roman" w:hAnsi="Times New Roman" w:cs="Times New Roman"/>
          <w:kern w:val="2"/>
          <w:szCs w:val="22"/>
        </w:rPr>
        <w:t>AI</w:t>
      </w:r>
      <w:r w:rsidRPr="00DA3766">
        <w:rPr>
          <w:rFonts w:ascii="Times New Roman" w:hAnsi="Times New Roman" w:cs="Times New Roman"/>
          <w:kern w:val="2"/>
          <w:szCs w:val="22"/>
        </w:rPr>
        <w:t>大模型在金融风控、智能客服等场景的落地应用，形成</w:t>
      </w:r>
      <w:r w:rsidRPr="00DA3766">
        <w:rPr>
          <w:rFonts w:cs="Times New Roman"/>
          <w:kern w:val="2"/>
          <w:szCs w:val="22"/>
        </w:rPr>
        <w:t>“</w:t>
      </w:r>
      <w:r w:rsidRPr="00DA3766">
        <w:rPr>
          <w:rFonts w:ascii="Times New Roman" w:hAnsi="Times New Roman" w:cs="Times New Roman"/>
          <w:kern w:val="2"/>
          <w:szCs w:val="22"/>
        </w:rPr>
        <w:t>硬件国产化</w:t>
      </w:r>
      <w:r w:rsidRPr="00DA3766">
        <w:rPr>
          <w:rFonts w:ascii="Times New Roman" w:hAnsi="Times New Roman" w:cs="Times New Roman"/>
          <w:kern w:val="2"/>
          <w:szCs w:val="22"/>
        </w:rPr>
        <w:t>—</w:t>
      </w:r>
      <w:r w:rsidRPr="00DA3766">
        <w:rPr>
          <w:rFonts w:ascii="Times New Roman" w:hAnsi="Times New Roman" w:cs="Times New Roman"/>
          <w:kern w:val="2"/>
          <w:szCs w:val="22"/>
        </w:rPr>
        <w:t>软件适配</w:t>
      </w:r>
      <w:r w:rsidRPr="00DA3766">
        <w:rPr>
          <w:rFonts w:ascii="Times New Roman" w:hAnsi="Times New Roman" w:cs="Times New Roman"/>
          <w:kern w:val="2"/>
          <w:szCs w:val="22"/>
        </w:rPr>
        <w:t>—</w:t>
      </w:r>
      <w:r w:rsidRPr="00DA3766">
        <w:rPr>
          <w:rFonts w:ascii="Times New Roman" w:hAnsi="Times New Roman" w:cs="Times New Roman"/>
          <w:kern w:val="2"/>
          <w:szCs w:val="22"/>
        </w:rPr>
        <w:t>场景创新</w:t>
      </w:r>
      <w:r w:rsidRPr="00DA3766">
        <w:rPr>
          <w:rFonts w:cs="Times New Roman"/>
          <w:kern w:val="2"/>
          <w:szCs w:val="22"/>
        </w:rPr>
        <w:t>”</w:t>
      </w:r>
      <w:r w:rsidRPr="00DA3766">
        <w:rPr>
          <w:rFonts w:ascii="Times New Roman" w:hAnsi="Times New Roman" w:cs="Times New Roman"/>
          <w:kern w:val="2"/>
          <w:szCs w:val="22"/>
        </w:rPr>
        <w:t>的闭环生态。据平安证券</w:t>
      </w:r>
      <w:r w:rsidRPr="00DA3766">
        <w:rPr>
          <w:rFonts w:ascii="Times New Roman" w:hAnsi="Times New Roman" w:cs="Times New Roman"/>
          <w:kern w:val="2"/>
          <w:szCs w:val="22"/>
        </w:rPr>
        <w:t>2025</w:t>
      </w:r>
      <w:r w:rsidRPr="00DA3766">
        <w:rPr>
          <w:rFonts w:ascii="Times New Roman" w:hAnsi="Times New Roman" w:cs="Times New Roman"/>
          <w:kern w:val="2"/>
          <w:szCs w:val="22"/>
        </w:rPr>
        <w:t>年行业研究报告测算，</w:t>
      </w:r>
      <w:r w:rsidRPr="00DA3766">
        <w:rPr>
          <w:rFonts w:ascii="Times New Roman" w:hAnsi="Times New Roman" w:cs="Times New Roman"/>
          <w:kern w:val="2"/>
          <w:szCs w:val="22"/>
        </w:rPr>
        <w:t>2024-2028</w:t>
      </w:r>
      <w:r w:rsidRPr="00DA3766">
        <w:rPr>
          <w:rFonts w:ascii="Times New Roman" w:hAnsi="Times New Roman" w:cs="Times New Roman"/>
          <w:kern w:val="2"/>
          <w:szCs w:val="22"/>
        </w:rPr>
        <w:t>年信创</w:t>
      </w:r>
      <w:r w:rsidRPr="00DA3766">
        <w:rPr>
          <w:rFonts w:ascii="Times New Roman" w:hAnsi="Times New Roman" w:cs="Times New Roman"/>
          <w:kern w:val="2"/>
          <w:szCs w:val="22"/>
        </w:rPr>
        <w:t>PC</w:t>
      </w:r>
      <w:r w:rsidRPr="00DA3766">
        <w:rPr>
          <w:rFonts w:ascii="Times New Roman" w:hAnsi="Times New Roman" w:cs="Times New Roman"/>
          <w:kern w:val="2"/>
          <w:szCs w:val="22"/>
        </w:rPr>
        <w:t>与服务器市场规模将突破</w:t>
      </w:r>
      <w:r w:rsidRPr="00DA3766">
        <w:rPr>
          <w:rFonts w:ascii="Times New Roman" w:hAnsi="Times New Roman" w:cs="Times New Roman"/>
          <w:kern w:val="2"/>
          <w:szCs w:val="22"/>
        </w:rPr>
        <w:t>4,000</w:t>
      </w:r>
      <w:r w:rsidRPr="00DA3766">
        <w:rPr>
          <w:rFonts w:ascii="Times New Roman" w:hAnsi="Times New Roman" w:cs="Times New Roman"/>
          <w:kern w:val="2"/>
          <w:szCs w:val="22"/>
        </w:rPr>
        <w:t>亿元，带动算力基础设施投资年均增长超</w:t>
      </w:r>
      <w:r w:rsidRPr="00DA3766">
        <w:rPr>
          <w:rFonts w:ascii="Times New Roman" w:hAnsi="Times New Roman" w:cs="Times New Roman"/>
          <w:kern w:val="2"/>
          <w:szCs w:val="22"/>
        </w:rPr>
        <w:t>25%</w:t>
      </w:r>
      <w:r w:rsidRPr="00DA3766">
        <w:rPr>
          <w:rFonts w:ascii="Times New Roman" w:hAnsi="Times New Roman" w:cs="Times New Roman"/>
          <w:kern w:val="2"/>
          <w:szCs w:val="22"/>
        </w:rPr>
        <w:t>。</w:t>
      </w:r>
    </w:p>
    <w:p w14:paraId="304DAD4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数据要素市场规模快速增长，据中国信通院</w:t>
      </w:r>
      <w:r w:rsidRPr="00DA3766">
        <w:rPr>
          <w:rFonts w:ascii="Times New Roman" w:hAnsi="Times New Roman" w:cs="Times New Roman"/>
          <w:kern w:val="2"/>
          <w:szCs w:val="22"/>
        </w:rPr>
        <w:t>2025</w:t>
      </w:r>
      <w:r w:rsidRPr="00DA3766">
        <w:rPr>
          <w:rFonts w:ascii="Times New Roman" w:hAnsi="Times New Roman" w:cs="Times New Roman"/>
          <w:kern w:val="2"/>
          <w:szCs w:val="22"/>
        </w:rPr>
        <w:t>年报告显示，</w:t>
      </w:r>
      <w:r w:rsidRPr="00DA3766">
        <w:rPr>
          <w:rFonts w:ascii="Times New Roman" w:hAnsi="Times New Roman" w:cs="Times New Roman"/>
          <w:kern w:val="2"/>
          <w:szCs w:val="22"/>
        </w:rPr>
        <w:t>2024</w:t>
      </w:r>
      <w:r w:rsidRPr="00DA3766">
        <w:rPr>
          <w:rFonts w:ascii="Times New Roman" w:hAnsi="Times New Roman" w:cs="Times New Roman"/>
          <w:kern w:val="2"/>
          <w:szCs w:val="22"/>
        </w:rPr>
        <w:t>年我国数据要素市场规模达</w:t>
      </w:r>
      <w:r w:rsidRPr="00DA3766">
        <w:rPr>
          <w:rFonts w:ascii="Times New Roman" w:hAnsi="Times New Roman" w:cs="Times New Roman"/>
          <w:kern w:val="2"/>
          <w:szCs w:val="22"/>
        </w:rPr>
        <w:t>1.3</w:t>
      </w:r>
      <w:r w:rsidRPr="00DA3766">
        <w:rPr>
          <w:rFonts w:ascii="Times New Roman" w:hAnsi="Times New Roman" w:cs="Times New Roman"/>
          <w:kern w:val="2"/>
          <w:szCs w:val="22"/>
        </w:rPr>
        <w:t>万亿元，年复合增长率</w:t>
      </w:r>
      <w:r w:rsidRPr="00DA3766">
        <w:rPr>
          <w:rFonts w:ascii="Times New Roman" w:hAnsi="Times New Roman" w:cs="Times New Roman"/>
          <w:kern w:val="2"/>
          <w:szCs w:val="22"/>
        </w:rPr>
        <w:t>25%</w:t>
      </w:r>
      <w:r w:rsidRPr="00DA3766">
        <w:rPr>
          <w:rFonts w:ascii="Times New Roman" w:hAnsi="Times New Roman" w:cs="Times New Roman"/>
          <w:kern w:val="2"/>
          <w:szCs w:val="22"/>
        </w:rPr>
        <w:t>，数据资产入表试点已覆盖</w:t>
      </w:r>
      <w:r w:rsidRPr="00DA3766">
        <w:rPr>
          <w:rFonts w:ascii="Times New Roman" w:hAnsi="Times New Roman" w:cs="Times New Roman"/>
          <w:kern w:val="2"/>
          <w:szCs w:val="22"/>
        </w:rPr>
        <w:t>15</w:t>
      </w:r>
      <w:r w:rsidRPr="00DA3766">
        <w:rPr>
          <w:rFonts w:ascii="Times New Roman" w:hAnsi="Times New Roman" w:cs="Times New Roman"/>
          <w:kern w:val="2"/>
          <w:szCs w:val="22"/>
        </w:rPr>
        <w:t>个省份，全国数据交易所数量超过</w:t>
      </w:r>
      <w:r w:rsidRPr="00DA3766">
        <w:rPr>
          <w:rFonts w:ascii="Times New Roman" w:hAnsi="Times New Roman" w:cs="Times New Roman"/>
          <w:kern w:val="2"/>
          <w:szCs w:val="22"/>
        </w:rPr>
        <w:t>50</w:t>
      </w:r>
      <w:r w:rsidRPr="00DA3766">
        <w:rPr>
          <w:rFonts w:ascii="Times New Roman" w:hAnsi="Times New Roman" w:cs="Times New Roman"/>
          <w:kern w:val="2"/>
          <w:szCs w:val="22"/>
        </w:rPr>
        <w:t>家，累计交易额突破</w:t>
      </w:r>
      <w:r w:rsidRPr="00DA3766">
        <w:rPr>
          <w:rFonts w:ascii="Times New Roman" w:hAnsi="Times New Roman" w:cs="Times New Roman"/>
          <w:kern w:val="2"/>
          <w:szCs w:val="22"/>
        </w:rPr>
        <w:t>800</w:t>
      </w:r>
      <w:r w:rsidRPr="00DA3766">
        <w:rPr>
          <w:rFonts w:ascii="Times New Roman" w:hAnsi="Times New Roman" w:cs="Times New Roman"/>
          <w:kern w:val="2"/>
          <w:szCs w:val="22"/>
        </w:rPr>
        <w:t>亿元。金融、医疗、交通等领域数据资产化进程加速，数据确权、定价、交易等配套机制逐步完善。</w:t>
      </w:r>
      <w:r w:rsidRPr="00DA3766">
        <w:rPr>
          <w:rFonts w:ascii="Times New Roman" w:hAnsi="Times New Roman" w:cs="Times New Roman"/>
          <w:kern w:val="2"/>
          <w:szCs w:val="22"/>
        </w:rPr>
        <w:t>2025</w:t>
      </w:r>
      <w:r w:rsidRPr="00DA3766">
        <w:rPr>
          <w:rFonts w:ascii="Times New Roman" w:hAnsi="Times New Roman" w:cs="Times New Roman"/>
          <w:kern w:val="2"/>
          <w:szCs w:val="22"/>
        </w:rPr>
        <w:t>年国家发改委新闻发布会指出，</w:t>
      </w:r>
      <w:r w:rsidRPr="00DA3766">
        <w:rPr>
          <w:rFonts w:cs="Times New Roman"/>
          <w:kern w:val="2"/>
          <w:szCs w:val="22"/>
        </w:rPr>
        <w:t>“</w:t>
      </w:r>
      <w:r w:rsidRPr="00DA3766">
        <w:rPr>
          <w:rFonts w:ascii="Times New Roman" w:hAnsi="Times New Roman" w:cs="Times New Roman"/>
          <w:kern w:val="2"/>
          <w:szCs w:val="22"/>
        </w:rPr>
        <w:t>东数西算</w:t>
      </w:r>
      <w:r w:rsidRPr="00DA3766">
        <w:rPr>
          <w:rFonts w:cs="Times New Roman"/>
          <w:kern w:val="2"/>
          <w:szCs w:val="22"/>
        </w:rPr>
        <w:t>”</w:t>
      </w:r>
      <w:r w:rsidRPr="00DA3766">
        <w:rPr>
          <w:rFonts w:ascii="Times New Roman" w:hAnsi="Times New Roman" w:cs="Times New Roman"/>
          <w:kern w:val="2"/>
          <w:szCs w:val="22"/>
        </w:rPr>
        <w:t>工程累计完成投资超</w:t>
      </w:r>
      <w:r w:rsidRPr="00DA3766">
        <w:rPr>
          <w:rFonts w:ascii="Times New Roman" w:hAnsi="Times New Roman" w:cs="Times New Roman"/>
          <w:kern w:val="2"/>
          <w:szCs w:val="22"/>
        </w:rPr>
        <w:t>4,000</w:t>
      </w:r>
      <w:r w:rsidRPr="00DA3766">
        <w:rPr>
          <w:rFonts w:ascii="Times New Roman" w:hAnsi="Times New Roman" w:cs="Times New Roman"/>
          <w:kern w:val="2"/>
          <w:szCs w:val="22"/>
        </w:rPr>
        <w:t>亿元，带动西部数据中心标准机架数突破</w:t>
      </w:r>
      <w:r w:rsidRPr="00DA3766">
        <w:rPr>
          <w:rFonts w:ascii="Times New Roman" w:hAnsi="Times New Roman" w:cs="Times New Roman"/>
          <w:kern w:val="2"/>
          <w:szCs w:val="22"/>
        </w:rPr>
        <w:t>300</w:t>
      </w:r>
      <w:r w:rsidRPr="00DA3766">
        <w:rPr>
          <w:rFonts w:ascii="Times New Roman" w:hAnsi="Times New Roman" w:cs="Times New Roman"/>
          <w:kern w:val="2"/>
          <w:szCs w:val="22"/>
        </w:rPr>
        <w:t>万架。</w:t>
      </w:r>
    </w:p>
    <w:p w14:paraId="2EFD2149"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）智慧能源行业</w:t>
      </w:r>
    </w:p>
    <w:p w14:paraId="3FF2B29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近年来，我国光伏行业在政策驱动与技术创新双轮驱动下持续深化能源结构</w:t>
      </w:r>
      <w:r w:rsidRPr="00DA3766">
        <w:rPr>
          <w:rFonts w:ascii="Times New Roman" w:hAnsi="Times New Roman" w:cs="Times New Roman"/>
          <w:kern w:val="2"/>
          <w:szCs w:val="22"/>
        </w:rPr>
        <w:lastRenderedPageBreak/>
        <w:t>转型。</w:t>
      </w:r>
      <w:r w:rsidRPr="00DA3766">
        <w:rPr>
          <w:rFonts w:ascii="Times New Roman" w:hAnsi="Times New Roman" w:cs="Times New Roman"/>
          <w:kern w:val="2"/>
          <w:szCs w:val="22"/>
        </w:rPr>
        <w:t>2025</w:t>
      </w:r>
      <w:r w:rsidRPr="00DA3766">
        <w:rPr>
          <w:rFonts w:ascii="Times New Roman" w:hAnsi="Times New Roman" w:cs="Times New Roman"/>
          <w:kern w:val="2"/>
          <w:szCs w:val="22"/>
        </w:rPr>
        <w:t>年政府工作报告明确要求加快</w:t>
      </w:r>
      <w:r w:rsidRPr="00DA3766">
        <w:rPr>
          <w:rFonts w:cs="Times New Roman"/>
          <w:kern w:val="2"/>
          <w:szCs w:val="22"/>
        </w:rPr>
        <w:t>“</w:t>
      </w:r>
      <w:r w:rsidRPr="00DA3766">
        <w:rPr>
          <w:rFonts w:ascii="Times New Roman" w:hAnsi="Times New Roman" w:cs="Times New Roman"/>
          <w:kern w:val="2"/>
          <w:szCs w:val="22"/>
        </w:rPr>
        <w:t>沙戈荒</w:t>
      </w:r>
      <w:r w:rsidRPr="00DA3766">
        <w:rPr>
          <w:rFonts w:cs="Times New Roman"/>
          <w:kern w:val="2"/>
          <w:szCs w:val="22"/>
        </w:rPr>
        <w:t>”</w:t>
      </w:r>
      <w:r w:rsidRPr="00DA3766">
        <w:rPr>
          <w:rFonts w:ascii="Times New Roman" w:hAnsi="Times New Roman" w:cs="Times New Roman"/>
          <w:kern w:val="2"/>
          <w:szCs w:val="22"/>
        </w:rPr>
        <w:t>新能源基地建设，叠加新能源电价市场化改革政策落地，刺激行业迎来二季度抢装预期。根据国家能源局数据，</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年上半年，全国新增光伏装机</w:t>
      </w:r>
      <w:r w:rsidRPr="00DA3766">
        <w:rPr>
          <w:rFonts w:ascii="Times New Roman" w:hAnsi="Times New Roman" w:cs="Times New Roman"/>
          <w:kern w:val="2"/>
          <w:szCs w:val="22"/>
        </w:rPr>
        <w:t>212GW</w:t>
      </w:r>
      <w:r w:rsidRPr="00DA3766">
        <w:rPr>
          <w:rFonts w:ascii="Times New Roman" w:hAnsi="Times New Roman" w:cs="Times New Roman"/>
          <w:kern w:val="2"/>
          <w:szCs w:val="22"/>
        </w:rPr>
        <w:t>，同比增长</w:t>
      </w:r>
      <w:r w:rsidRPr="00DA3766">
        <w:rPr>
          <w:rFonts w:ascii="Times New Roman" w:hAnsi="Times New Roman" w:cs="Times New Roman"/>
          <w:kern w:val="2"/>
          <w:szCs w:val="22"/>
        </w:rPr>
        <w:t>107%</w:t>
      </w:r>
      <w:r w:rsidRPr="00DA3766">
        <w:rPr>
          <w:rFonts w:ascii="Times New Roman" w:hAnsi="Times New Roman" w:cs="Times New Roman"/>
          <w:kern w:val="2"/>
          <w:szCs w:val="22"/>
        </w:rPr>
        <w:t>，截至</w:t>
      </w:r>
      <w:r w:rsidRPr="00DA3766">
        <w:rPr>
          <w:rFonts w:ascii="Times New Roman" w:hAnsi="Times New Roman" w:cs="Times New Roman"/>
          <w:kern w:val="2"/>
          <w:szCs w:val="22"/>
        </w:rPr>
        <w:t>2025</w:t>
      </w:r>
      <w:r w:rsidRPr="00DA3766">
        <w:rPr>
          <w:rFonts w:ascii="Times New Roman" w:hAnsi="Times New Roman" w:cs="Times New Roman"/>
          <w:kern w:val="2"/>
          <w:szCs w:val="22"/>
        </w:rPr>
        <w:t>年</w:t>
      </w:r>
      <w:r w:rsidRPr="00DA3766">
        <w:rPr>
          <w:rFonts w:ascii="Times New Roman" w:hAnsi="Times New Roman" w:cs="Times New Roman"/>
          <w:kern w:val="2"/>
          <w:szCs w:val="22"/>
        </w:rPr>
        <w:t>6</w:t>
      </w:r>
      <w:r w:rsidRPr="00DA3766">
        <w:rPr>
          <w:rFonts w:ascii="Times New Roman" w:hAnsi="Times New Roman" w:cs="Times New Roman"/>
          <w:kern w:val="2"/>
          <w:szCs w:val="22"/>
        </w:rPr>
        <w:t>月底，全国光伏发电装机容量达到约</w:t>
      </w:r>
      <w:r w:rsidRPr="00DA3766">
        <w:rPr>
          <w:rFonts w:ascii="Times New Roman" w:hAnsi="Times New Roman" w:cs="Times New Roman"/>
          <w:kern w:val="2"/>
          <w:szCs w:val="22"/>
        </w:rPr>
        <w:t>11</w:t>
      </w:r>
      <w:r w:rsidRPr="00DA3766">
        <w:rPr>
          <w:rFonts w:ascii="Times New Roman" w:hAnsi="Times New Roman" w:cs="Times New Roman"/>
          <w:kern w:val="2"/>
          <w:szCs w:val="22"/>
        </w:rPr>
        <w:t>亿千瓦，同比增长</w:t>
      </w:r>
      <w:r w:rsidRPr="00DA3766">
        <w:rPr>
          <w:rFonts w:ascii="Times New Roman" w:hAnsi="Times New Roman" w:cs="Times New Roman"/>
          <w:kern w:val="2"/>
          <w:szCs w:val="22"/>
        </w:rPr>
        <w:t>54.1%</w:t>
      </w:r>
      <w:r w:rsidRPr="00DA3766">
        <w:rPr>
          <w:rFonts w:ascii="Times New Roman" w:hAnsi="Times New Roman" w:cs="Times New Roman"/>
          <w:kern w:val="2"/>
          <w:szCs w:val="22"/>
        </w:rPr>
        <w:t>。</w:t>
      </w:r>
    </w:p>
    <w:p w14:paraId="5CBAA9EA"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、竞争情况</w:t>
      </w:r>
    </w:p>
    <w:p w14:paraId="00156C6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软件和信息技术服务行业规模巨大，细分领域众多，上市公司所处的细分领域主要为智慧城市领域。目前，我国智慧城市行业市场规模巨大，市场竞争者众多，市场竞争激烈，市场格局呈现高度分散的特点。具体而言，智慧城市行业市场空间较大，但因细分领域众多且客户定制化需求较高，且对服务响应、实施能力等有一定的要求，因此，行业内部企业数量较多，整体规模均较小，且市场本地化趋势明显。目前行业内系统集成企业根据业务规模、技术水平和市场范围，自然形成了三个梯队：（</w:t>
      </w:r>
      <w:r w:rsidRPr="00DA3766">
        <w:rPr>
          <w:rFonts w:ascii="Times New Roman" w:hAnsi="Times New Roman" w:cs="Times New Roman"/>
          <w:kern w:val="2"/>
          <w:szCs w:val="22"/>
        </w:rPr>
        <w:t>1</w:t>
      </w:r>
      <w:r w:rsidRPr="00DA3766">
        <w:rPr>
          <w:rFonts w:ascii="Times New Roman" w:hAnsi="Times New Roman" w:cs="Times New Roman"/>
          <w:kern w:val="2"/>
          <w:szCs w:val="22"/>
        </w:rPr>
        <w:t>）第一梯队为以浪潮软件、太极股份等为主的央国企或大型上市公司，业务覆盖多个细分领域，营收规模在</w:t>
      </w:r>
      <w:r w:rsidRPr="00DA3766">
        <w:rPr>
          <w:rFonts w:ascii="Times New Roman" w:hAnsi="Times New Roman" w:cs="Times New Roman"/>
          <w:kern w:val="2"/>
          <w:szCs w:val="22"/>
        </w:rPr>
        <w:t>10</w:t>
      </w:r>
      <w:r w:rsidRPr="00DA3766">
        <w:rPr>
          <w:rFonts w:ascii="Times New Roman" w:hAnsi="Times New Roman" w:cs="Times New Roman"/>
          <w:kern w:val="2"/>
          <w:szCs w:val="22"/>
        </w:rPr>
        <w:t>亿元以上，品牌影响力强，资金和技术实力雄厚，能承接国家级、省级大型综合性项目；（</w:t>
      </w:r>
      <w:r w:rsidRPr="00DA3766">
        <w:rPr>
          <w:rFonts w:ascii="Times New Roman" w:hAnsi="Times New Roman" w:cs="Times New Roman"/>
          <w:kern w:val="2"/>
          <w:szCs w:val="22"/>
        </w:rPr>
        <w:t>2</w:t>
      </w:r>
      <w:r w:rsidRPr="00DA3766">
        <w:rPr>
          <w:rFonts w:ascii="Times New Roman" w:hAnsi="Times New Roman" w:cs="Times New Roman"/>
          <w:kern w:val="2"/>
          <w:szCs w:val="22"/>
        </w:rPr>
        <w:t>）第二梯队为在特定区域或特定细分领域深耕多年，形成显著竞争优势的上市公司，如恒锋信息（福建）、天亿马（广东）、杰创智能（广东）等；（</w:t>
      </w:r>
      <w:r w:rsidRPr="00DA3766">
        <w:rPr>
          <w:rFonts w:ascii="Times New Roman" w:hAnsi="Times New Roman" w:cs="Times New Roman"/>
          <w:kern w:val="2"/>
          <w:szCs w:val="22"/>
        </w:rPr>
        <w:t>3</w:t>
      </w:r>
      <w:r w:rsidRPr="00DA3766">
        <w:rPr>
          <w:rFonts w:ascii="Times New Roman" w:hAnsi="Times New Roman" w:cs="Times New Roman"/>
          <w:kern w:val="2"/>
          <w:szCs w:val="22"/>
        </w:rPr>
        <w:t>）第三梯队为小型系统集成商及专业厂商，企业数量较多，收入规模在</w:t>
      </w:r>
      <w:r w:rsidRPr="00DA3766">
        <w:rPr>
          <w:rFonts w:ascii="Times New Roman" w:hAnsi="Times New Roman" w:cs="Times New Roman"/>
          <w:kern w:val="2"/>
          <w:szCs w:val="22"/>
        </w:rPr>
        <w:t>2</w:t>
      </w:r>
      <w:r w:rsidRPr="00DA3766">
        <w:rPr>
          <w:rFonts w:ascii="Times New Roman" w:hAnsi="Times New Roman" w:cs="Times New Roman"/>
          <w:kern w:val="2"/>
          <w:szCs w:val="22"/>
        </w:rPr>
        <w:t>亿元以下。除上述系统集成商外，以华为、百度、阿里等为代表的大型科技企业、以海康威视等为代表的传统安防领域企业等均为智慧城市行业的重要参与企业。</w:t>
      </w:r>
    </w:p>
    <w:p w14:paraId="50EC383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天亿马在智慧城市业务领域主要采用集中化战略，深耕华南市场客户需求，凭借自身系统集成设计、实施经验以及快速响应能力，取得区域内客户的认可，并在基层社会治理等细分领域，形成了自身的典型解决方案，在华南地区具备一定的本地化服务优势。</w:t>
      </w:r>
    </w:p>
    <w:p w14:paraId="11360B9A"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、业务获取及开展情况</w:t>
      </w:r>
    </w:p>
    <w:p w14:paraId="6167BDBA"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公司最终客户主要为政府机关、事业单位及国有企业。公司主要采用直销业务模式，主要通过招投标承接业主方项目，深度理解、快速响应客户的定制化服务需求，提供项目总体规划、方案设计、软件研发、项目实施及运维服务一体化的信息系统解决方案。</w:t>
      </w:r>
    </w:p>
    <w:p w14:paraId="63E67DE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公司业务部门紧密跟踪市场及客户需求，获取客户招投标或其他项目需求信息，通过参与招投标或商务洽谈等方式签订销售合同，按照合同内容组织提供相应的信息系统集成、信息设备销售、软件开发及技术服务、信息系统运维等产品或服务。</w:t>
      </w:r>
    </w:p>
    <w:p w14:paraId="1C79185B"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上市公司主要提供系统集成服务、批量硬件销售以及算力服务等为主，客户单次采购的金额一般较大，</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31</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日，上市公司</w:t>
      </w:r>
      <w:r w:rsidRPr="00DA3766">
        <w:rPr>
          <w:rFonts w:ascii="Times New Roman" w:hAnsi="Times New Roman" w:cs="Times New Roman"/>
        </w:rPr>
        <w:t>500.00</w:t>
      </w:r>
      <w:r w:rsidRPr="00DA3766">
        <w:rPr>
          <w:rFonts w:ascii="Times New Roman" w:hAnsi="Times New Roman" w:cs="Times New Roman"/>
        </w:rPr>
        <w:t>万元以上在手订单的金额占当期末在手订单金额的比例在近</w:t>
      </w:r>
      <w:r w:rsidRPr="00DA3766">
        <w:rPr>
          <w:rFonts w:ascii="Times New Roman" w:hAnsi="Times New Roman" w:cs="Times New Roman"/>
        </w:rPr>
        <w:t>70%</w:t>
      </w:r>
      <w:r w:rsidRPr="00DA3766">
        <w:rPr>
          <w:rFonts w:ascii="Times New Roman" w:hAnsi="Times New Roman" w:cs="Times New Roman"/>
        </w:rPr>
        <w:t>及以上，在手订单金额的区间分布如下表所示：</w:t>
      </w:r>
    </w:p>
    <w:p w14:paraId="6CA82430"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87"/>
        <w:gridCol w:w="1100"/>
        <w:gridCol w:w="1047"/>
        <w:gridCol w:w="1100"/>
        <w:gridCol w:w="1047"/>
        <w:gridCol w:w="1100"/>
        <w:gridCol w:w="1047"/>
      </w:tblGrid>
      <w:tr w:rsidR="003F2129" w:rsidRPr="00DA3766" w14:paraId="4879DE00" w14:textId="77777777" w:rsidTr="007F36AF">
        <w:trPr>
          <w:trHeight w:val="397"/>
          <w:tblHeader/>
          <w:jc w:val="center"/>
        </w:trPr>
        <w:tc>
          <w:tcPr>
            <w:tcW w:w="1223" w:type="pct"/>
            <w:vMerge w:val="restart"/>
            <w:shd w:val="solid" w:color="FFFFFF" w:fill="FFFFFF"/>
            <w:vAlign w:val="center"/>
          </w:tcPr>
          <w:p w14:paraId="09812A12"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bookmarkStart w:id="272" w:name="_Hlk208916490"/>
            <w:r w:rsidRPr="00DA3766">
              <w:rPr>
                <w:rFonts w:ascii="Times New Roman" w:hAnsi="Times New Roman" w:cs="Times New Roman"/>
                <w:b/>
                <w:color w:val="000000"/>
                <w:sz w:val="21"/>
              </w:rPr>
              <w:t>在手订单金额区间</w:t>
            </w:r>
          </w:p>
        </w:tc>
        <w:tc>
          <w:tcPr>
            <w:tcW w:w="1259" w:type="pct"/>
            <w:gridSpan w:val="2"/>
            <w:shd w:val="solid" w:color="FFFFFF" w:fill="FFFFFF"/>
            <w:vAlign w:val="center"/>
          </w:tcPr>
          <w:p w14:paraId="3B37A5EB"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c>
          <w:tcPr>
            <w:tcW w:w="1259" w:type="pct"/>
            <w:gridSpan w:val="2"/>
            <w:shd w:val="solid" w:color="FFFFFF" w:fill="FFFFFF"/>
            <w:vAlign w:val="center"/>
          </w:tcPr>
          <w:p w14:paraId="60E4F6B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c>
          <w:tcPr>
            <w:tcW w:w="1259" w:type="pct"/>
            <w:gridSpan w:val="2"/>
            <w:shd w:val="solid" w:color="FFFFFF" w:fill="FFFFFF"/>
            <w:vAlign w:val="center"/>
          </w:tcPr>
          <w:p w14:paraId="4ADAD71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r>
      <w:tr w:rsidR="003F2129" w:rsidRPr="00DA3766" w14:paraId="780A430B" w14:textId="77777777" w:rsidTr="007F36AF">
        <w:trPr>
          <w:trHeight w:val="397"/>
          <w:tblHeader/>
          <w:jc w:val="center"/>
        </w:trPr>
        <w:tc>
          <w:tcPr>
            <w:tcW w:w="1223" w:type="pct"/>
            <w:vMerge/>
            <w:shd w:val="solid" w:color="FFFFFF" w:fill="FFFFFF"/>
            <w:vAlign w:val="center"/>
          </w:tcPr>
          <w:p w14:paraId="064687A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645" w:type="pct"/>
            <w:shd w:val="solid" w:color="FFFFFF" w:fill="FFFFFF"/>
            <w:vAlign w:val="center"/>
          </w:tcPr>
          <w:p w14:paraId="5ACE1F5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3094AC5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c>
          <w:tcPr>
            <w:tcW w:w="645" w:type="pct"/>
            <w:shd w:val="solid" w:color="FFFFFF" w:fill="FFFFFF"/>
            <w:vAlign w:val="center"/>
          </w:tcPr>
          <w:p w14:paraId="52A347E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5D09AC9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c>
          <w:tcPr>
            <w:tcW w:w="645" w:type="pct"/>
            <w:shd w:val="solid" w:color="FFFFFF" w:fill="FFFFFF"/>
            <w:vAlign w:val="center"/>
          </w:tcPr>
          <w:p w14:paraId="572F615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4FB5444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r>
      <w:tr w:rsidR="003F2129" w:rsidRPr="00DA3766" w14:paraId="4C41EFBD" w14:textId="77777777" w:rsidTr="007F36AF">
        <w:trPr>
          <w:trHeight w:val="397"/>
          <w:jc w:val="center"/>
        </w:trPr>
        <w:tc>
          <w:tcPr>
            <w:tcW w:w="1223" w:type="pct"/>
            <w:shd w:val="solid" w:color="FFFFFF" w:fill="FFFFFF"/>
            <w:vAlign w:val="center"/>
          </w:tcPr>
          <w:p w14:paraId="3CBAED9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500</w:t>
            </w:r>
            <w:r w:rsidRPr="00DA3766">
              <w:rPr>
                <w:rFonts w:ascii="Times New Roman" w:hAnsi="Times New Roman" w:cs="Times New Roman"/>
                <w:color w:val="000000"/>
                <w:sz w:val="21"/>
              </w:rPr>
              <w:t>万以下</w:t>
            </w:r>
          </w:p>
        </w:tc>
        <w:tc>
          <w:tcPr>
            <w:tcW w:w="645" w:type="pct"/>
            <w:shd w:val="solid" w:color="FFFFFF" w:fill="FFFFFF"/>
            <w:vAlign w:val="center"/>
          </w:tcPr>
          <w:p w14:paraId="6A3A7A2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6,938.30</w:t>
            </w:r>
          </w:p>
        </w:tc>
        <w:tc>
          <w:tcPr>
            <w:tcW w:w="614" w:type="pct"/>
            <w:shd w:val="solid" w:color="FFFFFF" w:fill="FFFFFF"/>
            <w:vAlign w:val="center"/>
          </w:tcPr>
          <w:p w14:paraId="606DD78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9.47%</w:t>
            </w:r>
          </w:p>
        </w:tc>
        <w:tc>
          <w:tcPr>
            <w:tcW w:w="645" w:type="pct"/>
            <w:shd w:val="solid" w:color="FFFFFF" w:fill="FFFFFF"/>
            <w:vAlign w:val="center"/>
          </w:tcPr>
          <w:p w14:paraId="70F2454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2,976.35</w:t>
            </w:r>
          </w:p>
        </w:tc>
        <w:tc>
          <w:tcPr>
            <w:tcW w:w="614" w:type="pct"/>
            <w:shd w:val="solid" w:color="FFFFFF" w:fill="FFFFFF"/>
            <w:vAlign w:val="center"/>
          </w:tcPr>
          <w:p w14:paraId="1959DDC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18.18%</w:t>
            </w:r>
          </w:p>
        </w:tc>
        <w:tc>
          <w:tcPr>
            <w:tcW w:w="645" w:type="pct"/>
            <w:shd w:val="solid" w:color="FFFFFF" w:fill="FFFFFF"/>
            <w:vAlign w:val="center"/>
          </w:tcPr>
          <w:p w14:paraId="279E4C0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5,031.98</w:t>
            </w:r>
          </w:p>
        </w:tc>
        <w:tc>
          <w:tcPr>
            <w:tcW w:w="614" w:type="pct"/>
            <w:shd w:val="solid" w:color="FFFFFF" w:fill="FFFFFF"/>
            <w:vAlign w:val="center"/>
          </w:tcPr>
          <w:p w14:paraId="7ED8550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30.54%</w:t>
            </w:r>
          </w:p>
        </w:tc>
      </w:tr>
      <w:tr w:rsidR="003F2129" w:rsidRPr="00DA3766" w14:paraId="58A7FAB3" w14:textId="77777777" w:rsidTr="007F36AF">
        <w:trPr>
          <w:trHeight w:val="397"/>
          <w:jc w:val="center"/>
        </w:trPr>
        <w:tc>
          <w:tcPr>
            <w:tcW w:w="1223" w:type="pct"/>
            <w:shd w:val="solid" w:color="FFFFFF" w:fill="FFFFFF"/>
            <w:vAlign w:val="center"/>
          </w:tcPr>
          <w:p w14:paraId="1897008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500</w:t>
            </w:r>
            <w:r w:rsidRPr="00DA3766">
              <w:rPr>
                <w:rFonts w:ascii="Times New Roman" w:hAnsi="Times New Roman" w:cs="Times New Roman"/>
                <w:color w:val="000000"/>
                <w:sz w:val="21"/>
              </w:rPr>
              <w:t>（含）</w:t>
            </w:r>
            <w:r w:rsidRPr="00DA3766">
              <w:rPr>
                <w:rFonts w:ascii="Times New Roman" w:hAnsi="Times New Roman" w:cs="Times New Roman"/>
                <w:color w:val="000000"/>
                <w:sz w:val="21"/>
              </w:rPr>
              <w:t>-1,000</w:t>
            </w:r>
            <w:r w:rsidRPr="00DA3766">
              <w:rPr>
                <w:rFonts w:ascii="Times New Roman" w:hAnsi="Times New Roman" w:cs="Times New Roman"/>
                <w:color w:val="000000"/>
                <w:sz w:val="21"/>
              </w:rPr>
              <w:t>万</w:t>
            </w:r>
          </w:p>
        </w:tc>
        <w:tc>
          <w:tcPr>
            <w:tcW w:w="645" w:type="pct"/>
            <w:shd w:val="solid" w:color="FFFFFF" w:fill="FFFFFF"/>
            <w:vAlign w:val="center"/>
          </w:tcPr>
          <w:p w14:paraId="73FCE15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7,521.15</w:t>
            </w:r>
          </w:p>
        </w:tc>
        <w:tc>
          <w:tcPr>
            <w:tcW w:w="614" w:type="pct"/>
            <w:shd w:val="solid" w:color="FFFFFF" w:fill="FFFFFF"/>
            <w:vAlign w:val="center"/>
          </w:tcPr>
          <w:p w14:paraId="475E72D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10.27%</w:t>
            </w:r>
          </w:p>
        </w:tc>
        <w:tc>
          <w:tcPr>
            <w:tcW w:w="645" w:type="pct"/>
            <w:shd w:val="solid" w:color="FFFFFF" w:fill="FFFFFF"/>
            <w:vAlign w:val="center"/>
          </w:tcPr>
          <w:p w14:paraId="0D689C0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5,720.86</w:t>
            </w:r>
          </w:p>
        </w:tc>
        <w:tc>
          <w:tcPr>
            <w:tcW w:w="614" w:type="pct"/>
            <w:shd w:val="solid" w:color="FFFFFF" w:fill="FFFFFF"/>
            <w:vAlign w:val="center"/>
          </w:tcPr>
          <w:p w14:paraId="01360D3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34.95%</w:t>
            </w:r>
          </w:p>
        </w:tc>
        <w:tc>
          <w:tcPr>
            <w:tcW w:w="645" w:type="pct"/>
            <w:shd w:val="solid" w:color="FFFFFF" w:fill="FFFFFF"/>
            <w:vAlign w:val="center"/>
          </w:tcPr>
          <w:p w14:paraId="11A6911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1,665.86</w:t>
            </w:r>
          </w:p>
        </w:tc>
        <w:tc>
          <w:tcPr>
            <w:tcW w:w="614" w:type="pct"/>
            <w:shd w:val="solid" w:color="FFFFFF" w:fill="FFFFFF"/>
            <w:vAlign w:val="center"/>
          </w:tcPr>
          <w:p w14:paraId="3E18CE1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10.11%</w:t>
            </w:r>
          </w:p>
        </w:tc>
      </w:tr>
      <w:tr w:rsidR="003F2129" w:rsidRPr="00DA3766" w14:paraId="7BFB3B67" w14:textId="77777777" w:rsidTr="007F36AF">
        <w:trPr>
          <w:trHeight w:val="397"/>
          <w:jc w:val="center"/>
        </w:trPr>
        <w:tc>
          <w:tcPr>
            <w:tcW w:w="1223" w:type="pct"/>
            <w:shd w:val="solid" w:color="FFFFFF" w:fill="FFFFFF"/>
            <w:vAlign w:val="center"/>
          </w:tcPr>
          <w:p w14:paraId="3F498430"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1,000</w:t>
            </w:r>
            <w:r w:rsidRPr="00DA3766">
              <w:rPr>
                <w:rFonts w:ascii="Times New Roman" w:hAnsi="Times New Roman" w:cs="Times New Roman"/>
                <w:color w:val="000000"/>
                <w:sz w:val="21"/>
              </w:rPr>
              <w:t>万（含）以上</w:t>
            </w:r>
          </w:p>
        </w:tc>
        <w:tc>
          <w:tcPr>
            <w:tcW w:w="645" w:type="pct"/>
            <w:shd w:val="solid" w:color="FFFFFF" w:fill="FFFFFF"/>
            <w:vAlign w:val="center"/>
          </w:tcPr>
          <w:p w14:paraId="0260F3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58,794.21</w:t>
            </w:r>
          </w:p>
        </w:tc>
        <w:tc>
          <w:tcPr>
            <w:tcW w:w="614" w:type="pct"/>
            <w:shd w:val="solid" w:color="FFFFFF" w:fill="FFFFFF"/>
            <w:vAlign w:val="center"/>
          </w:tcPr>
          <w:p w14:paraId="5C5C6D6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80.26%</w:t>
            </w:r>
          </w:p>
        </w:tc>
        <w:tc>
          <w:tcPr>
            <w:tcW w:w="645" w:type="pct"/>
            <w:shd w:val="solid" w:color="FFFFFF" w:fill="FFFFFF"/>
            <w:vAlign w:val="center"/>
          </w:tcPr>
          <w:p w14:paraId="60DE645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7,673.55</w:t>
            </w:r>
          </w:p>
        </w:tc>
        <w:tc>
          <w:tcPr>
            <w:tcW w:w="614" w:type="pct"/>
            <w:shd w:val="solid" w:color="FFFFFF" w:fill="FFFFFF"/>
            <w:vAlign w:val="center"/>
          </w:tcPr>
          <w:p w14:paraId="4EBC06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46.87%</w:t>
            </w:r>
          </w:p>
        </w:tc>
        <w:tc>
          <w:tcPr>
            <w:tcW w:w="645" w:type="pct"/>
            <w:shd w:val="solid" w:color="FFFFFF" w:fill="FFFFFF"/>
            <w:vAlign w:val="center"/>
          </w:tcPr>
          <w:p w14:paraId="1E44772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9,781.51</w:t>
            </w:r>
          </w:p>
        </w:tc>
        <w:tc>
          <w:tcPr>
            <w:tcW w:w="614" w:type="pct"/>
            <w:shd w:val="solid" w:color="FFFFFF" w:fill="FFFFFF"/>
            <w:vAlign w:val="center"/>
          </w:tcPr>
          <w:p w14:paraId="439D135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59.36%</w:t>
            </w:r>
          </w:p>
        </w:tc>
      </w:tr>
      <w:tr w:rsidR="003F2129" w:rsidRPr="00DA3766" w14:paraId="2094AD21" w14:textId="77777777" w:rsidTr="007F36AF">
        <w:trPr>
          <w:trHeight w:val="397"/>
          <w:jc w:val="center"/>
        </w:trPr>
        <w:tc>
          <w:tcPr>
            <w:tcW w:w="1223" w:type="pct"/>
            <w:shd w:val="solid" w:color="FFFFFF" w:fill="FFFFFF"/>
            <w:vAlign w:val="center"/>
          </w:tcPr>
          <w:p w14:paraId="7022DFF7" w14:textId="77777777" w:rsidR="003F2129" w:rsidRPr="00DA3766" w:rsidRDefault="003F2129"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645" w:type="pct"/>
            <w:shd w:val="solid" w:color="FFFFFF" w:fill="FFFFFF"/>
            <w:vAlign w:val="center"/>
          </w:tcPr>
          <w:p w14:paraId="04F7092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73,253.66</w:t>
            </w:r>
          </w:p>
        </w:tc>
        <w:tc>
          <w:tcPr>
            <w:tcW w:w="614" w:type="pct"/>
            <w:shd w:val="solid" w:color="FFFFFF" w:fill="FFFFFF"/>
            <w:vAlign w:val="center"/>
          </w:tcPr>
          <w:p w14:paraId="14280CB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c>
          <w:tcPr>
            <w:tcW w:w="645" w:type="pct"/>
            <w:shd w:val="solid" w:color="FFFFFF" w:fill="FFFFFF"/>
            <w:vAlign w:val="center"/>
          </w:tcPr>
          <w:p w14:paraId="5F7BBA1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16,370.76</w:t>
            </w:r>
          </w:p>
        </w:tc>
        <w:tc>
          <w:tcPr>
            <w:tcW w:w="614" w:type="pct"/>
            <w:shd w:val="solid" w:color="FFFFFF" w:fill="FFFFFF"/>
            <w:vAlign w:val="center"/>
          </w:tcPr>
          <w:p w14:paraId="289FE63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c>
          <w:tcPr>
            <w:tcW w:w="645" w:type="pct"/>
            <w:shd w:val="solid" w:color="FFFFFF" w:fill="FFFFFF"/>
            <w:vAlign w:val="center"/>
          </w:tcPr>
          <w:p w14:paraId="1950AE1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16,479.35</w:t>
            </w:r>
          </w:p>
        </w:tc>
        <w:tc>
          <w:tcPr>
            <w:tcW w:w="614" w:type="pct"/>
            <w:shd w:val="solid" w:color="FFFFFF" w:fill="FFFFFF"/>
            <w:vAlign w:val="center"/>
          </w:tcPr>
          <w:p w14:paraId="473392D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r>
    </w:tbl>
    <w:bookmarkEnd w:id="272"/>
    <w:p w14:paraId="02C283DD"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上市公司的主要在手订单存在一定的执行周期，如</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年度取得的中国移动</w:t>
      </w:r>
      <w:r w:rsidRPr="00DA3766">
        <w:rPr>
          <w:rFonts w:ascii="Times New Roman" w:hAnsi="Times New Roman" w:cs="Times New Roman"/>
          <w:kern w:val="2"/>
          <w14:ligatures w14:val="standardContextual"/>
        </w:rPr>
        <w:t>38,255.80</w:t>
      </w:r>
      <w:r w:rsidRPr="00DA3766">
        <w:rPr>
          <w:rFonts w:ascii="Times New Roman" w:hAnsi="Times New Roman" w:cs="Times New Roman"/>
          <w:kern w:val="2"/>
          <w14:ligatures w14:val="standardContextual"/>
        </w:rPr>
        <w:t>万元算力及运维服务订单，执行期间为</w:t>
      </w: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年，为公司未来业绩稳定及增长提供了有利保障，公司将根据订单实际执行情况逐年确认收入。</w:t>
      </w:r>
    </w:p>
    <w:p w14:paraId="7B49639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w:t>
      </w:r>
      <w:bookmarkStart w:id="273" w:name="_Hlk218799957"/>
      <w:r w:rsidRPr="00DA3766">
        <w:rPr>
          <w:rFonts w:ascii="Times New Roman" w:hAnsi="Times New Roman" w:cs="Times New Roman"/>
          <w:b/>
          <w:bCs/>
          <w:kern w:val="2"/>
          <w:szCs w:val="28"/>
        </w:rPr>
        <w:t>产品销量、价格及成本变动情况</w:t>
      </w:r>
      <w:bookmarkEnd w:id="273"/>
    </w:p>
    <w:p w14:paraId="497E7B70" w14:textId="6DB1122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上市公司主营业务按产品分类主要包含信息系统集成服务、软件及技术服务、</w:t>
      </w:r>
      <w:r w:rsidR="00176D50" w:rsidRPr="00DA3766">
        <w:rPr>
          <w:rFonts w:ascii="Times New Roman" w:hAnsi="Times New Roman" w:cs="Times New Roman"/>
        </w:rPr>
        <w:t>信息</w:t>
      </w:r>
      <w:r w:rsidRPr="00DA3766">
        <w:rPr>
          <w:rFonts w:ascii="Times New Roman" w:hAnsi="Times New Roman" w:cs="Times New Roman"/>
        </w:rPr>
        <w:t>系统运维服务、硬件销售服务等。产品销量、价格及成本变动情况分析如下：</w:t>
      </w:r>
    </w:p>
    <w:p w14:paraId="14525188"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为智慧城市类解决方案提供商，以项目制开展经营活动，直接承接业主方项目，主要采用招投标的方式承揽业务。公司提供的产品并非单一、可批量复制的标准化产品，而是根据每位客户的特定需求，深度融合物联网、大数据、云计算、</w:t>
      </w:r>
      <w:r w:rsidRPr="00DA3766">
        <w:rPr>
          <w:rFonts w:ascii="Times New Roman" w:hAnsi="Times New Roman" w:cs="Times New Roman"/>
        </w:rPr>
        <w:t>GIS</w:t>
      </w:r>
      <w:r w:rsidRPr="00DA3766">
        <w:rPr>
          <w:rFonts w:ascii="Times New Roman" w:hAnsi="Times New Roman" w:cs="Times New Roman"/>
        </w:rPr>
        <w:t>、人工智能等新一代信息技术，进行量身定制的项目设计、采购、开发、集成与运维服务。每个项目在技术方案、硬件配置、软件功能、服务内容、实施周期及复杂程度上均存在显著差异，因此无法按标准产品的标准进行产品销量、价格比较。</w:t>
      </w:r>
    </w:p>
    <w:p w14:paraId="350E79B7" w14:textId="77777777" w:rsidR="003F2129" w:rsidRPr="00DA3766" w:rsidRDefault="003F2129" w:rsidP="007F36AF">
      <w:pPr>
        <w:pStyle w:val="005"/>
        <w:spacing w:before="120" w:after="120"/>
        <w:ind w:firstLine="480"/>
      </w:pPr>
      <w:r w:rsidRPr="00DA3766">
        <w:t>上市公司采购主要采用</w:t>
      </w:r>
      <w:r w:rsidRPr="00DA3766">
        <w:t>“</w:t>
      </w:r>
      <w:r w:rsidRPr="00DA3766">
        <w:t>以销定采</w:t>
      </w:r>
      <w:r w:rsidRPr="00DA3766">
        <w:t>”</w:t>
      </w:r>
      <w:r w:rsidRPr="00DA3766">
        <w:t>、</w:t>
      </w:r>
      <w:r w:rsidRPr="00DA3766">
        <w:t>“</w:t>
      </w:r>
      <w:r w:rsidRPr="00DA3766">
        <w:t>按需采购</w:t>
      </w:r>
      <w:r w:rsidRPr="00DA3766">
        <w:t>”</w:t>
      </w:r>
      <w:r w:rsidRPr="00DA3766">
        <w:t>的模式，即根据项目合同清</w:t>
      </w:r>
      <w:r w:rsidRPr="00DA3766">
        <w:lastRenderedPageBreak/>
        <w:t>单，结合项目实施进度以及客户的自定义需求，进行针对性采购和部署、集成、二次开发等服务。企业采购过程中涉及产品品类繁杂，不同项目采购的产品具备较大差异性，采购量以项目需求为依据确定，采购价格主要按照市场价格为基础协商确定。</w:t>
      </w:r>
    </w:p>
    <w:p w14:paraId="07603AE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内，上市公司主营业务包含硬件销售服务，主要系公司在提供信息技术服务的过程中充分利用所积累的供应商资源为客户提供信息设备供货服务，具体以信创产品集采业务为主。由于采购产品的类别、牌品、型号规格均以客户需求为主，公司硬件销售业务品并非标准产品，无法按标准产品进行产品销量、价格变动比较。</w:t>
      </w:r>
    </w:p>
    <w:p w14:paraId="11BF4B3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bookmarkStart w:id="274" w:name="_Hlk218799382"/>
      <w:r w:rsidRPr="00DA3766">
        <w:rPr>
          <w:rFonts w:ascii="Times New Roman" w:hAnsi="Times New Roman" w:cs="Times New Roman"/>
          <w:b/>
          <w:bCs/>
          <w:kern w:val="2"/>
          <w:szCs w:val="28"/>
        </w:rPr>
        <w:t>（三）最近三年上市公司营业收入、净利润、毛利率持续下滑的原因，是否存在持续下滑风险</w:t>
      </w:r>
    </w:p>
    <w:p w14:paraId="72B62EE9"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年度，上市公司营业收入、净利润、毛利率、期间费用情况如下：</w:t>
      </w:r>
    </w:p>
    <w:bookmarkEnd w:id="274"/>
    <w:p w14:paraId="523292FC" w14:textId="77777777" w:rsidR="003F2129" w:rsidRPr="00DA3766" w:rsidRDefault="003F2129" w:rsidP="00602D2D">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3F2129" w:rsidRPr="00DA3766" w14:paraId="28C062BB" w14:textId="77777777" w:rsidTr="00DA3766">
        <w:trPr>
          <w:trHeight w:val="397"/>
          <w:tblHeader/>
          <w:jc w:val="center"/>
        </w:trPr>
        <w:tc>
          <w:tcPr>
            <w:tcW w:w="2156" w:type="pct"/>
            <w:shd w:val="solid" w:color="FFFFFF" w:fill="FFFFFF"/>
            <w:vAlign w:val="center"/>
          </w:tcPr>
          <w:p w14:paraId="793DAE9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948" w:type="pct"/>
            <w:shd w:val="solid" w:color="FFFFFF" w:fill="FFFFFF"/>
            <w:vAlign w:val="center"/>
          </w:tcPr>
          <w:p w14:paraId="4E5F463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948" w:type="pct"/>
            <w:shd w:val="solid" w:color="FFFFFF" w:fill="FFFFFF"/>
            <w:vAlign w:val="center"/>
          </w:tcPr>
          <w:p w14:paraId="3815C642"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948" w:type="pct"/>
            <w:shd w:val="solid" w:color="FFFFFF" w:fill="FFFFFF"/>
            <w:vAlign w:val="center"/>
          </w:tcPr>
          <w:p w14:paraId="3663ABB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年度</w:t>
            </w:r>
          </w:p>
        </w:tc>
      </w:tr>
      <w:tr w:rsidR="003F2129" w:rsidRPr="00DA3766" w14:paraId="39EF4965" w14:textId="77777777" w:rsidTr="00DA3766">
        <w:trPr>
          <w:trHeight w:val="397"/>
          <w:jc w:val="center"/>
        </w:trPr>
        <w:tc>
          <w:tcPr>
            <w:tcW w:w="2156" w:type="pct"/>
            <w:shd w:val="solid" w:color="FFFFFF" w:fill="FFFFFF"/>
            <w:vAlign w:val="center"/>
          </w:tcPr>
          <w:p w14:paraId="7798571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948" w:type="pct"/>
            <w:shd w:val="solid" w:color="FFFFFF" w:fill="FFFFFF"/>
            <w:vAlign w:val="center"/>
          </w:tcPr>
          <w:p w14:paraId="2A518E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22,363.30</w:t>
            </w:r>
          </w:p>
        </w:tc>
        <w:tc>
          <w:tcPr>
            <w:tcW w:w="948" w:type="pct"/>
            <w:shd w:val="solid" w:color="FFFFFF" w:fill="FFFFFF"/>
            <w:vAlign w:val="center"/>
          </w:tcPr>
          <w:p w14:paraId="15D3D40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41,000.98</w:t>
            </w:r>
          </w:p>
        </w:tc>
        <w:tc>
          <w:tcPr>
            <w:tcW w:w="948" w:type="pct"/>
            <w:shd w:val="solid" w:color="FFFFFF" w:fill="FFFFFF"/>
            <w:vAlign w:val="center"/>
          </w:tcPr>
          <w:p w14:paraId="7A7A1E7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43,921.75</w:t>
            </w:r>
          </w:p>
        </w:tc>
      </w:tr>
      <w:tr w:rsidR="003F2129" w:rsidRPr="00DA3766" w14:paraId="390B0E89" w14:textId="77777777" w:rsidTr="00DA3766">
        <w:trPr>
          <w:trHeight w:val="397"/>
          <w:jc w:val="center"/>
        </w:trPr>
        <w:tc>
          <w:tcPr>
            <w:tcW w:w="2156" w:type="pct"/>
            <w:shd w:val="solid" w:color="FFFFFF" w:fill="FFFFFF"/>
            <w:vAlign w:val="center"/>
          </w:tcPr>
          <w:p w14:paraId="2BDF67E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营业利润</w:t>
            </w:r>
          </w:p>
        </w:tc>
        <w:tc>
          <w:tcPr>
            <w:tcW w:w="948" w:type="pct"/>
            <w:shd w:val="solid" w:color="FFFFFF" w:fill="FFFFFF"/>
            <w:vAlign w:val="center"/>
          </w:tcPr>
          <w:p w14:paraId="34A1FC4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-6,269.27</w:t>
            </w:r>
          </w:p>
        </w:tc>
        <w:tc>
          <w:tcPr>
            <w:tcW w:w="948" w:type="pct"/>
            <w:shd w:val="solid" w:color="FFFFFF" w:fill="FFFFFF"/>
            <w:vAlign w:val="center"/>
          </w:tcPr>
          <w:p w14:paraId="4559320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252.59</w:t>
            </w:r>
          </w:p>
        </w:tc>
        <w:tc>
          <w:tcPr>
            <w:tcW w:w="948" w:type="pct"/>
            <w:shd w:val="solid" w:color="FFFFFF" w:fill="FFFFFF"/>
            <w:vAlign w:val="center"/>
          </w:tcPr>
          <w:p w14:paraId="09E1DDE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4,261.92</w:t>
            </w:r>
          </w:p>
        </w:tc>
      </w:tr>
      <w:tr w:rsidR="003F2129" w:rsidRPr="00DA3766" w14:paraId="54A49362" w14:textId="77777777" w:rsidTr="00DA3766">
        <w:trPr>
          <w:trHeight w:val="397"/>
          <w:jc w:val="center"/>
        </w:trPr>
        <w:tc>
          <w:tcPr>
            <w:tcW w:w="2156" w:type="pct"/>
            <w:shd w:val="solid" w:color="FFFFFF" w:fill="FFFFFF"/>
            <w:vAlign w:val="center"/>
          </w:tcPr>
          <w:p w14:paraId="78395DE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948" w:type="pct"/>
            <w:shd w:val="solid" w:color="FFFFFF" w:fill="FFFFFF"/>
            <w:vAlign w:val="center"/>
          </w:tcPr>
          <w:p w14:paraId="4BD479B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13.18%</w:t>
            </w:r>
          </w:p>
        </w:tc>
        <w:tc>
          <w:tcPr>
            <w:tcW w:w="948" w:type="pct"/>
            <w:shd w:val="solid" w:color="FFFFFF" w:fill="FFFFFF"/>
            <w:vAlign w:val="center"/>
          </w:tcPr>
          <w:p w14:paraId="314DC1F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20.24%</w:t>
            </w:r>
          </w:p>
        </w:tc>
        <w:tc>
          <w:tcPr>
            <w:tcW w:w="948" w:type="pct"/>
            <w:shd w:val="solid" w:color="FFFFFF" w:fill="FFFFFF"/>
            <w:vAlign w:val="center"/>
          </w:tcPr>
          <w:p w14:paraId="0F15DBF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22.53%</w:t>
            </w:r>
          </w:p>
        </w:tc>
      </w:tr>
      <w:tr w:rsidR="003F2129" w:rsidRPr="00DA3766" w14:paraId="557711C7" w14:textId="77777777" w:rsidTr="00DA3766">
        <w:trPr>
          <w:trHeight w:val="397"/>
          <w:jc w:val="center"/>
        </w:trPr>
        <w:tc>
          <w:tcPr>
            <w:tcW w:w="2156" w:type="pct"/>
            <w:shd w:val="solid" w:color="FFFFFF" w:fill="FFFFFF"/>
            <w:vAlign w:val="center"/>
          </w:tcPr>
          <w:p w14:paraId="48B6EBB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948" w:type="pct"/>
            <w:shd w:val="solid" w:color="FFFFFF" w:fill="FFFFFF"/>
            <w:vAlign w:val="center"/>
          </w:tcPr>
          <w:p w14:paraId="2C7DD8D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2,360.67</w:t>
            </w:r>
          </w:p>
        </w:tc>
        <w:tc>
          <w:tcPr>
            <w:tcW w:w="948" w:type="pct"/>
            <w:shd w:val="solid" w:color="FFFFFF" w:fill="FFFFFF"/>
            <w:vAlign w:val="center"/>
          </w:tcPr>
          <w:p w14:paraId="72F5B3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1,953.29</w:t>
            </w:r>
          </w:p>
        </w:tc>
        <w:tc>
          <w:tcPr>
            <w:tcW w:w="948" w:type="pct"/>
            <w:shd w:val="solid" w:color="FFFFFF" w:fill="FFFFFF"/>
            <w:vAlign w:val="center"/>
          </w:tcPr>
          <w:p w14:paraId="56F3790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1,861.73</w:t>
            </w:r>
          </w:p>
        </w:tc>
      </w:tr>
      <w:tr w:rsidR="003F2129" w:rsidRPr="00DA3766" w14:paraId="161EC4CF" w14:textId="77777777" w:rsidTr="00DA3766">
        <w:trPr>
          <w:trHeight w:val="397"/>
          <w:jc w:val="center"/>
        </w:trPr>
        <w:tc>
          <w:tcPr>
            <w:tcW w:w="2156" w:type="pct"/>
            <w:shd w:val="solid" w:color="FFFFFF" w:fill="FFFFFF"/>
            <w:vAlign w:val="center"/>
          </w:tcPr>
          <w:p w14:paraId="53F1F26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管理费用</w:t>
            </w:r>
          </w:p>
        </w:tc>
        <w:tc>
          <w:tcPr>
            <w:tcW w:w="948" w:type="pct"/>
            <w:shd w:val="solid" w:color="FFFFFF" w:fill="FFFFFF"/>
            <w:vAlign w:val="center"/>
          </w:tcPr>
          <w:p w14:paraId="03EC737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3,123.70</w:t>
            </w:r>
          </w:p>
        </w:tc>
        <w:tc>
          <w:tcPr>
            <w:tcW w:w="948" w:type="pct"/>
            <w:shd w:val="solid" w:color="FFFFFF" w:fill="FFFFFF"/>
            <w:vAlign w:val="center"/>
          </w:tcPr>
          <w:p w14:paraId="211587B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2,481.63</w:t>
            </w:r>
          </w:p>
        </w:tc>
        <w:tc>
          <w:tcPr>
            <w:tcW w:w="948" w:type="pct"/>
            <w:shd w:val="solid" w:color="FFFFFF" w:fill="FFFFFF"/>
            <w:vAlign w:val="center"/>
          </w:tcPr>
          <w:p w14:paraId="52049D9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1,751.49</w:t>
            </w:r>
          </w:p>
        </w:tc>
      </w:tr>
      <w:tr w:rsidR="003F2129" w:rsidRPr="00DA3766" w14:paraId="386FB67E" w14:textId="77777777" w:rsidTr="00DA3766">
        <w:trPr>
          <w:trHeight w:val="397"/>
          <w:jc w:val="center"/>
        </w:trPr>
        <w:tc>
          <w:tcPr>
            <w:tcW w:w="2156" w:type="pct"/>
            <w:shd w:val="solid" w:color="FFFFFF" w:fill="FFFFFF"/>
            <w:vAlign w:val="center"/>
          </w:tcPr>
          <w:p w14:paraId="357104F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财务费用</w:t>
            </w:r>
          </w:p>
        </w:tc>
        <w:tc>
          <w:tcPr>
            <w:tcW w:w="948" w:type="pct"/>
            <w:shd w:val="solid" w:color="FFFFFF" w:fill="FFFFFF"/>
            <w:vAlign w:val="center"/>
          </w:tcPr>
          <w:p w14:paraId="4BD7D09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-514.40</w:t>
            </w:r>
          </w:p>
        </w:tc>
        <w:tc>
          <w:tcPr>
            <w:tcW w:w="948" w:type="pct"/>
            <w:shd w:val="solid" w:color="FFFFFF" w:fill="FFFFFF"/>
            <w:vAlign w:val="center"/>
          </w:tcPr>
          <w:p w14:paraId="316B1E4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-828.19</w:t>
            </w:r>
          </w:p>
        </w:tc>
        <w:tc>
          <w:tcPr>
            <w:tcW w:w="948" w:type="pct"/>
            <w:shd w:val="solid" w:color="FFFFFF" w:fill="FFFFFF"/>
            <w:vAlign w:val="center"/>
          </w:tcPr>
          <w:p w14:paraId="757584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-470.64</w:t>
            </w:r>
          </w:p>
        </w:tc>
      </w:tr>
      <w:tr w:rsidR="003F2129" w:rsidRPr="00DA3766" w14:paraId="6DC73E8C" w14:textId="77777777" w:rsidTr="00DA3766">
        <w:trPr>
          <w:trHeight w:val="397"/>
          <w:jc w:val="center"/>
        </w:trPr>
        <w:tc>
          <w:tcPr>
            <w:tcW w:w="2156" w:type="pct"/>
            <w:shd w:val="solid" w:color="FFFFFF" w:fill="FFFFFF"/>
            <w:vAlign w:val="center"/>
          </w:tcPr>
          <w:p w14:paraId="30B8CAEE"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研发费用</w:t>
            </w:r>
          </w:p>
        </w:tc>
        <w:tc>
          <w:tcPr>
            <w:tcW w:w="948" w:type="pct"/>
            <w:shd w:val="solid" w:color="FFFFFF" w:fill="FFFFFF"/>
            <w:vAlign w:val="center"/>
          </w:tcPr>
          <w:p w14:paraId="3C4DC70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1,731.13</w:t>
            </w:r>
          </w:p>
        </w:tc>
        <w:tc>
          <w:tcPr>
            <w:tcW w:w="948" w:type="pct"/>
            <w:shd w:val="solid" w:color="FFFFFF" w:fill="FFFFFF"/>
            <w:vAlign w:val="center"/>
          </w:tcPr>
          <w:p w14:paraId="0EDA3F9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1,788.61</w:t>
            </w:r>
          </w:p>
        </w:tc>
        <w:tc>
          <w:tcPr>
            <w:tcW w:w="948" w:type="pct"/>
            <w:shd w:val="solid" w:color="FFFFFF" w:fill="FFFFFF"/>
            <w:vAlign w:val="center"/>
          </w:tcPr>
          <w:p w14:paraId="65C5BBE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1,782.76</w:t>
            </w:r>
          </w:p>
        </w:tc>
      </w:tr>
      <w:tr w:rsidR="003F2129" w:rsidRPr="00DA3766" w14:paraId="5064E18F" w14:textId="77777777" w:rsidTr="00DA3766">
        <w:trPr>
          <w:trHeight w:val="397"/>
          <w:jc w:val="center"/>
        </w:trPr>
        <w:tc>
          <w:tcPr>
            <w:tcW w:w="2156" w:type="pct"/>
            <w:shd w:val="solid" w:color="FFFFFF" w:fill="FFFFFF"/>
            <w:vAlign w:val="center"/>
          </w:tcPr>
          <w:p w14:paraId="0FB77DB1"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利润总额</w:t>
            </w:r>
          </w:p>
        </w:tc>
        <w:tc>
          <w:tcPr>
            <w:tcW w:w="948" w:type="pct"/>
            <w:shd w:val="solid" w:color="FFFFFF" w:fill="FFFFFF"/>
            <w:vAlign w:val="center"/>
          </w:tcPr>
          <w:p w14:paraId="0D5DBA7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-6,460.05</w:t>
            </w:r>
          </w:p>
        </w:tc>
        <w:tc>
          <w:tcPr>
            <w:tcW w:w="948" w:type="pct"/>
            <w:shd w:val="solid" w:color="FFFFFF" w:fill="FFFFFF"/>
            <w:vAlign w:val="center"/>
          </w:tcPr>
          <w:p w14:paraId="5FC6D51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249.80</w:t>
            </w:r>
          </w:p>
        </w:tc>
        <w:tc>
          <w:tcPr>
            <w:tcW w:w="948" w:type="pct"/>
            <w:shd w:val="solid" w:color="FFFFFF" w:fill="FFFFFF"/>
            <w:vAlign w:val="center"/>
          </w:tcPr>
          <w:p w14:paraId="69E9FB9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4,470.82</w:t>
            </w:r>
          </w:p>
        </w:tc>
      </w:tr>
      <w:tr w:rsidR="003F2129" w:rsidRPr="00DA3766" w14:paraId="1A20B3B1" w14:textId="77777777" w:rsidTr="00DA3766">
        <w:trPr>
          <w:trHeight w:val="397"/>
          <w:jc w:val="center"/>
        </w:trPr>
        <w:tc>
          <w:tcPr>
            <w:tcW w:w="2156" w:type="pct"/>
            <w:shd w:val="solid" w:color="FFFFFF" w:fill="FFFFFF"/>
            <w:vAlign w:val="center"/>
          </w:tcPr>
          <w:p w14:paraId="492E1CC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净利润</w:t>
            </w:r>
          </w:p>
        </w:tc>
        <w:tc>
          <w:tcPr>
            <w:tcW w:w="948" w:type="pct"/>
            <w:shd w:val="solid" w:color="FFFFFF" w:fill="FFFFFF"/>
            <w:vAlign w:val="center"/>
          </w:tcPr>
          <w:p w14:paraId="091261A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-5,349.18</w:t>
            </w:r>
          </w:p>
        </w:tc>
        <w:tc>
          <w:tcPr>
            <w:tcW w:w="948" w:type="pct"/>
            <w:shd w:val="solid" w:color="FFFFFF" w:fill="FFFFFF"/>
            <w:vAlign w:val="center"/>
          </w:tcPr>
          <w:p w14:paraId="2139CE7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438.78</w:t>
            </w:r>
          </w:p>
        </w:tc>
        <w:tc>
          <w:tcPr>
            <w:tcW w:w="948" w:type="pct"/>
            <w:shd w:val="solid" w:color="FFFFFF" w:fill="FFFFFF"/>
            <w:vAlign w:val="center"/>
          </w:tcPr>
          <w:p w14:paraId="41B3646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3,956.09</w:t>
            </w:r>
          </w:p>
        </w:tc>
      </w:tr>
      <w:tr w:rsidR="00547DE2" w:rsidRPr="00DA3766" w14:paraId="43A29D55" w14:textId="77777777" w:rsidTr="00DA3766">
        <w:trPr>
          <w:trHeight w:val="397"/>
          <w:jc w:val="center"/>
        </w:trPr>
        <w:tc>
          <w:tcPr>
            <w:tcW w:w="2156" w:type="pct"/>
            <w:shd w:val="solid" w:color="FFFFFF" w:fill="FFFFFF"/>
            <w:vAlign w:val="center"/>
          </w:tcPr>
          <w:p w14:paraId="739A5E12" w14:textId="5B6DAF93"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归母净利润</w:t>
            </w:r>
          </w:p>
        </w:tc>
        <w:tc>
          <w:tcPr>
            <w:tcW w:w="948" w:type="pct"/>
            <w:shd w:val="solid" w:color="FFFFFF" w:fill="FFFFFF"/>
            <w:vAlign w:val="center"/>
          </w:tcPr>
          <w:p w14:paraId="0417D167" w14:textId="055ACFE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-4,955.28</w:t>
            </w:r>
          </w:p>
        </w:tc>
        <w:tc>
          <w:tcPr>
            <w:tcW w:w="948" w:type="pct"/>
            <w:shd w:val="solid" w:color="FFFFFF" w:fill="FFFFFF"/>
            <w:vAlign w:val="center"/>
          </w:tcPr>
          <w:p w14:paraId="20C90F72" w14:textId="59505B5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638.90</w:t>
            </w:r>
          </w:p>
        </w:tc>
        <w:tc>
          <w:tcPr>
            <w:tcW w:w="948" w:type="pct"/>
            <w:shd w:val="solid" w:color="FFFFFF" w:fill="FFFFFF"/>
            <w:vAlign w:val="center"/>
          </w:tcPr>
          <w:p w14:paraId="5C6256A3" w14:textId="45C2CB9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3,956.27</w:t>
            </w:r>
          </w:p>
        </w:tc>
      </w:tr>
    </w:tbl>
    <w:p w14:paraId="507A91DB" w14:textId="3D125555"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年度，上市公司营业收入分别为</w:t>
      </w:r>
      <w:r w:rsidRPr="00DA3766">
        <w:rPr>
          <w:rFonts w:ascii="Times New Roman" w:hAnsi="Times New Roman" w:cs="Times New Roman"/>
        </w:rPr>
        <w:t>43,921.75</w:t>
      </w:r>
      <w:r w:rsidRPr="00DA3766">
        <w:rPr>
          <w:rFonts w:ascii="Times New Roman" w:hAnsi="Times New Roman" w:cs="Times New Roman"/>
        </w:rPr>
        <w:t>万元、</w:t>
      </w:r>
      <w:r w:rsidRPr="00DA3766">
        <w:rPr>
          <w:rFonts w:ascii="Times New Roman" w:hAnsi="Times New Roman" w:cs="Times New Roman"/>
        </w:rPr>
        <w:t>41,000.98</w:t>
      </w:r>
      <w:r w:rsidRPr="00DA3766">
        <w:rPr>
          <w:rFonts w:ascii="Times New Roman" w:hAnsi="Times New Roman" w:cs="Times New Roman"/>
        </w:rPr>
        <w:t>万元、</w:t>
      </w:r>
      <w:r w:rsidRPr="00DA3766">
        <w:rPr>
          <w:rFonts w:ascii="Times New Roman" w:hAnsi="Times New Roman" w:cs="Times New Roman"/>
        </w:rPr>
        <w:t>22,363.30</w:t>
      </w:r>
      <w:r w:rsidRPr="00DA3766">
        <w:rPr>
          <w:rFonts w:ascii="Times New Roman" w:hAnsi="Times New Roman" w:cs="Times New Roman"/>
        </w:rPr>
        <w:t>万元，归母净利润分别为</w:t>
      </w:r>
      <w:r w:rsidR="00547DE2" w:rsidRPr="00DA3766">
        <w:rPr>
          <w:rFonts w:ascii="Times New Roman" w:hAnsi="Times New Roman" w:cs="Times New Roman"/>
        </w:rPr>
        <w:t>3,956.27</w:t>
      </w:r>
      <w:r w:rsidR="00547DE2" w:rsidRPr="00DA3766">
        <w:rPr>
          <w:rFonts w:ascii="Times New Roman" w:hAnsi="Times New Roman" w:cs="Times New Roman"/>
        </w:rPr>
        <w:t>万元、</w:t>
      </w:r>
      <w:r w:rsidR="00547DE2" w:rsidRPr="00DA3766">
        <w:rPr>
          <w:rFonts w:ascii="Times New Roman" w:hAnsi="Times New Roman" w:cs="Times New Roman"/>
        </w:rPr>
        <w:t>638.90</w:t>
      </w:r>
      <w:r w:rsidR="00547DE2" w:rsidRPr="00DA3766">
        <w:rPr>
          <w:rFonts w:ascii="Times New Roman" w:hAnsi="Times New Roman" w:cs="Times New Roman"/>
        </w:rPr>
        <w:t>万元、</w:t>
      </w:r>
      <w:r w:rsidR="008002AE" w:rsidRPr="00DA3766">
        <w:rPr>
          <w:rFonts w:ascii="Times New Roman" w:hAnsi="Times New Roman" w:cs="Times New Roman"/>
        </w:rPr>
        <w:t>-</w:t>
      </w:r>
      <w:r w:rsidR="00547DE2" w:rsidRPr="00DA3766">
        <w:rPr>
          <w:rFonts w:ascii="Times New Roman" w:hAnsi="Times New Roman" w:cs="Times New Roman"/>
        </w:rPr>
        <w:t>4,955.28</w:t>
      </w:r>
      <w:r w:rsidRPr="00DA3766">
        <w:rPr>
          <w:rFonts w:ascii="Times New Roman" w:hAnsi="Times New Roman" w:cs="Times New Roman"/>
        </w:rPr>
        <w:t>万元，毛利率分别为</w:t>
      </w:r>
      <w:r w:rsidRPr="00DA3766">
        <w:rPr>
          <w:rFonts w:ascii="Times New Roman" w:hAnsi="Times New Roman" w:cs="Times New Roman"/>
        </w:rPr>
        <w:t>22.53%</w:t>
      </w:r>
      <w:r w:rsidRPr="00DA3766">
        <w:rPr>
          <w:rFonts w:ascii="Times New Roman" w:hAnsi="Times New Roman" w:cs="Times New Roman"/>
        </w:rPr>
        <w:t>、</w:t>
      </w:r>
      <w:r w:rsidRPr="00DA3766">
        <w:rPr>
          <w:rFonts w:ascii="Times New Roman" w:hAnsi="Times New Roman" w:cs="Times New Roman"/>
        </w:rPr>
        <w:t>20.24%</w:t>
      </w:r>
      <w:r w:rsidRPr="00DA3766">
        <w:rPr>
          <w:rFonts w:ascii="Times New Roman" w:hAnsi="Times New Roman" w:cs="Times New Roman"/>
        </w:rPr>
        <w:t>、</w:t>
      </w:r>
      <w:r w:rsidRPr="00DA3766">
        <w:rPr>
          <w:rFonts w:ascii="Times New Roman" w:hAnsi="Times New Roman" w:cs="Times New Roman"/>
        </w:rPr>
        <w:t>13.18%</w:t>
      </w:r>
      <w:r w:rsidRPr="00DA3766">
        <w:rPr>
          <w:rFonts w:ascii="Times New Roman" w:hAnsi="Times New Roman" w:cs="Times New Roman"/>
        </w:rPr>
        <w:t>，营业收入、净利润以及毛利率均呈现下滑趋势。</w:t>
      </w:r>
    </w:p>
    <w:p w14:paraId="093A5F72" w14:textId="77777777" w:rsidR="003F2129" w:rsidRPr="00DA3766" w:rsidRDefault="003F2129" w:rsidP="007F36AF">
      <w:pPr>
        <w:pStyle w:val="005"/>
        <w:spacing w:before="120" w:after="120"/>
        <w:ind w:firstLine="480"/>
      </w:pPr>
      <w:r w:rsidRPr="00DA3766">
        <w:t>2023</w:t>
      </w:r>
      <w:r w:rsidRPr="00DA3766">
        <w:t>年度，上市公司主要所面向的智慧政务市场需求不足，行业竞争加剧，</w:t>
      </w:r>
      <w:r w:rsidRPr="00DA3766">
        <w:lastRenderedPageBreak/>
        <w:t>上市公司营业收入同比减少</w:t>
      </w:r>
      <w:r w:rsidRPr="00DA3766">
        <w:t>2,920.77</w:t>
      </w:r>
      <w:r w:rsidRPr="00DA3766">
        <w:t>万元，综合毛利率有所下降，其中智慧政务板块毛利率同比降低</w:t>
      </w:r>
      <w:r w:rsidRPr="00DA3766">
        <w:t>6.50%</w:t>
      </w:r>
      <w:r w:rsidRPr="00DA3766">
        <w:t>。</w:t>
      </w:r>
      <w:bookmarkStart w:id="275" w:name="_Hlk209098712"/>
      <w:r w:rsidRPr="00DA3766">
        <w:t>2024</w:t>
      </w:r>
      <w:r w:rsidRPr="00DA3766">
        <w:t>年度，基层政府财政压力进一步加大，伴随经济萧条及企业客户需求不足，公司谨慎承接业务</w:t>
      </w:r>
      <w:bookmarkEnd w:id="275"/>
      <w:r w:rsidRPr="00DA3766">
        <w:t>，</w:t>
      </w:r>
      <w:r w:rsidRPr="00DA3766">
        <w:t>2024</w:t>
      </w:r>
      <w:r w:rsidRPr="00DA3766">
        <w:t>年度营业收入同比大幅下滑</w:t>
      </w:r>
      <w:r w:rsidRPr="00DA3766">
        <w:t>1.86</w:t>
      </w:r>
      <w:r w:rsidRPr="00DA3766">
        <w:t>亿元，下滑幅度达到</w:t>
      </w:r>
      <w:r w:rsidRPr="00DA3766">
        <w:t>45.46%</w:t>
      </w:r>
      <w:r w:rsidRPr="00DA3766">
        <w:t>。</w:t>
      </w:r>
    </w:p>
    <w:p w14:paraId="1F6C4692"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、营业收入变动情况</w:t>
      </w:r>
    </w:p>
    <w:p w14:paraId="17DC24AF"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年度，上市公司营业收入变动情况如下：</w:t>
      </w:r>
    </w:p>
    <w:p w14:paraId="737818A6"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226"/>
        <w:gridCol w:w="1127"/>
        <w:gridCol w:w="1226"/>
        <w:gridCol w:w="1126"/>
        <w:gridCol w:w="1226"/>
        <w:gridCol w:w="1126"/>
      </w:tblGrid>
      <w:tr w:rsidR="003F2129" w:rsidRPr="00DA3766" w14:paraId="01311DC7" w14:textId="77777777" w:rsidTr="00DA3766">
        <w:trPr>
          <w:trHeight w:val="397"/>
          <w:tblHeader/>
          <w:jc w:val="center"/>
        </w:trPr>
        <w:tc>
          <w:tcPr>
            <w:tcW w:w="862" w:type="pct"/>
            <w:vMerge w:val="restart"/>
            <w:vAlign w:val="center"/>
          </w:tcPr>
          <w:p w14:paraId="615698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w:t>
            </w:r>
          </w:p>
        </w:tc>
        <w:tc>
          <w:tcPr>
            <w:tcW w:w="1380" w:type="pct"/>
            <w:gridSpan w:val="2"/>
            <w:vAlign w:val="center"/>
          </w:tcPr>
          <w:p w14:paraId="522B44B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p>
        </w:tc>
        <w:tc>
          <w:tcPr>
            <w:tcW w:w="1379" w:type="pct"/>
            <w:gridSpan w:val="2"/>
            <w:vAlign w:val="center"/>
          </w:tcPr>
          <w:p w14:paraId="60F7F89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2023</w:t>
            </w:r>
          </w:p>
        </w:tc>
        <w:tc>
          <w:tcPr>
            <w:tcW w:w="1379" w:type="pct"/>
            <w:gridSpan w:val="2"/>
            <w:vAlign w:val="center"/>
          </w:tcPr>
          <w:p w14:paraId="2408D07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2022</w:t>
            </w:r>
          </w:p>
        </w:tc>
      </w:tr>
      <w:tr w:rsidR="003F2129" w:rsidRPr="00DA3766" w14:paraId="5FB29DCB" w14:textId="77777777" w:rsidTr="00DA3766">
        <w:trPr>
          <w:trHeight w:val="397"/>
          <w:tblHeader/>
          <w:jc w:val="center"/>
        </w:trPr>
        <w:tc>
          <w:tcPr>
            <w:tcW w:w="862" w:type="pct"/>
            <w:vMerge/>
            <w:vAlign w:val="center"/>
          </w:tcPr>
          <w:p w14:paraId="544FFA8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9" w:type="pct"/>
            <w:vAlign w:val="center"/>
          </w:tcPr>
          <w:p w14:paraId="1B4B502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334EF38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c>
          <w:tcPr>
            <w:tcW w:w="719" w:type="pct"/>
            <w:vAlign w:val="center"/>
          </w:tcPr>
          <w:p w14:paraId="76E1A2E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4933C42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c>
          <w:tcPr>
            <w:tcW w:w="719" w:type="pct"/>
            <w:vAlign w:val="center"/>
          </w:tcPr>
          <w:p w14:paraId="61F9ABD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424156F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r>
      <w:tr w:rsidR="003F2129" w:rsidRPr="00DA3766" w14:paraId="0EC367E0" w14:textId="77777777" w:rsidTr="00DA3766">
        <w:trPr>
          <w:trHeight w:val="397"/>
          <w:jc w:val="center"/>
        </w:trPr>
        <w:tc>
          <w:tcPr>
            <w:tcW w:w="862" w:type="pct"/>
            <w:vAlign w:val="center"/>
          </w:tcPr>
          <w:p w14:paraId="625C60F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智慧政务</w:t>
            </w:r>
          </w:p>
        </w:tc>
        <w:tc>
          <w:tcPr>
            <w:tcW w:w="719" w:type="pct"/>
            <w:vAlign w:val="center"/>
          </w:tcPr>
          <w:p w14:paraId="0CFFE2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4,757.97</w:t>
            </w:r>
          </w:p>
        </w:tc>
        <w:tc>
          <w:tcPr>
            <w:tcW w:w="660" w:type="pct"/>
            <w:vAlign w:val="center"/>
          </w:tcPr>
          <w:p w14:paraId="4FA055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21.42%</w:t>
            </w:r>
          </w:p>
        </w:tc>
        <w:tc>
          <w:tcPr>
            <w:tcW w:w="719" w:type="pct"/>
            <w:vAlign w:val="center"/>
          </w:tcPr>
          <w:p w14:paraId="550AB6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20,834.18</w:t>
            </w:r>
          </w:p>
        </w:tc>
        <w:tc>
          <w:tcPr>
            <w:tcW w:w="660" w:type="pct"/>
            <w:vAlign w:val="center"/>
          </w:tcPr>
          <w:p w14:paraId="16FCEE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51.14%</w:t>
            </w:r>
          </w:p>
        </w:tc>
        <w:tc>
          <w:tcPr>
            <w:tcW w:w="719" w:type="pct"/>
            <w:vAlign w:val="center"/>
          </w:tcPr>
          <w:p w14:paraId="0058E5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21,104.19</w:t>
            </w:r>
          </w:p>
        </w:tc>
        <w:tc>
          <w:tcPr>
            <w:tcW w:w="660" w:type="pct"/>
            <w:vAlign w:val="center"/>
          </w:tcPr>
          <w:p w14:paraId="6D7A7A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48.05%</w:t>
            </w:r>
          </w:p>
        </w:tc>
      </w:tr>
      <w:tr w:rsidR="003F2129" w:rsidRPr="00DA3766" w14:paraId="7D739A23" w14:textId="77777777" w:rsidTr="00DA3766">
        <w:trPr>
          <w:trHeight w:val="397"/>
          <w:jc w:val="center"/>
        </w:trPr>
        <w:tc>
          <w:tcPr>
            <w:tcW w:w="862" w:type="pct"/>
            <w:vAlign w:val="center"/>
          </w:tcPr>
          <w:p w14:paraId="7974BB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智慧教育</w:t>
            </w:r>
          </w:p>
        </w:tc>
        <w:tc>
          <w:tcPr>
            <w:tcW w:w="719" w:type="pct"/>
            <w:vAlign w:val="center"/>
          </w:tcPr>
          <w:p w14:paraId="0E513B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8,119.49</w:t>
            </w:r>
          </w:p>
        </w:tc>
        <w:tc>
          <w:tcPr>
            <w:tcW w:w="660" w:type="pct"/>
            <w:vAlign w:val="center"/>
          </w:tcPr>
          <w:p w14:paraId="5D61EB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36.55%</w:t>
            </w:r>
          </w:p>
        </w:tc>
        <w:tc>
          <w:tcPr>
            <w:tcW w:w="719" w:type="pct"/>
            <w:vAlign w:val="center"/>
          </w:tcPr>
          <w:p w14:paraId="109E7A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12,946.63</w:t>
            </w:r>
          </w:p>
        </w:tc>
        <w:tc>
          <w:tcPr>
            <w:tcW w:w="660" w:type="pct"/>
            <w:vAlign w:val="center"/>
          </w:tcPr>
          <w:p w14:paraId="2ADD81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31.78%</w:t>
            </w:r>
          </w:p>
        </w:tc>
        <w:tc>
          <w:tcPr>
            <w:tcW w:w="719" w:type="pct"/>
            <w:vAlign w:val="center"/>
          </w:tcPr>
          <w:p w14:paraId="0ED0250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14,841.14</w:t>
            </w:r>
          </w:p>
        </w:tc>
        <w:tc>
          <w:tcPr>
            <w:tcW w:w="660" w:type="pct"/>
            <w:vAlign w:val="center"/>
          </w:tcPr>
          <w:p w14:paraId="6229EC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33.79%</w:t>
            </w:r>
          </w:p>
        </w:tc>
      </w:tr>
      <w:tr w:rsidR="003F2129" w:rsidRPr="00DA3766" w14:paraId="55BC1479" w14:textId="77777777" w:rsidTr="00DA3766">
        <w:trPr>
          <w:trHeight w:val="397"/>
          <w:jc w:val="center"/>
        </w:trPr>
        <w:tc>
          <w:tcPr>
            <w:tcW w:w="862" w:type="pct"/>
            <w:vAlign w:val="center"/>
          </w:tcPr>
          <w:p w14:paraId="56ED20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智慧医疗</w:t>
            </w:r>
          </w:p>
        </w:tc>
        <w:tc>
          <w:tcPr>
            <w:tcW w:w="719" w:type="pct"/>
            <w:vAlign w:val="center"/>
          </w:tcPr>
          <w:p w14:paraId="6207D5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2,591.71</w:t>
            </w:r>
          </w:p>
        </w:tc>
        <w:tc>
          <w:tcPr>
            <w:tcW w:w="660" w:type="pct"/>
            <w:vAlign w:val="center"/>
          </w:tcPr>
          <w:p w14:paraId="618F28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11.67%</w:t>
            </w:r>
          </w:p>
        </w:tc>
        <w:tc>
          <w:tcPr>
            <w:tcW w:w="719" w:type="pct"/>
            <w:vAlign w:val="center"/>
          </w:tcPr>
          <w:p w14:paraId="4C01E5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2,790.07</w:t>
            </w:r>
          </w:p>
        </w:tc>
        <w:tc>
          <w:tcPr>
            <w:tcW w:w="660" w:type="pct"/>
            <w:vAlign w:val="center"/>
          </w:tcPr>
          <w:p w14:paraId="7FDCB5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6.85%</w:t>
            </w:r>
          </w:p>
        </w:tc>
        <w:tc>
          <w:tcPr>
            <w:tcW w:w="719" w:type="pct"/>
            <w:vAlign w:val="center"/>
          </w:tcPr>
          <w:p w14:paraId="5124B0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3,371.50</w:t>
            </w:r>
          </w:p>
        </w:tc>
        <w:tc>
          <w:tcPr>
            <w:tcW w:w="660" w:type="pct"/>
            <w:vAlign w:val="center"/>
          </w:tcPr>
          <w:p w14:paraId="078D60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7.68%</w:t>
            </w:r>
          </w:p>
        </w:tc>
      </w:tr>
      <w:tr w:rsidR="003F2129" w:rsidRPr="00DA3766" w14:paraId="423D0223" w14:textId="77777777" w:rsidTr="00DA3766">
        <w:trPr>
          <w:trHeight w:val="397"/>
          <w:jc w:val="center"/>
        </w:trPr>
        <w:tc>
          <w:tcPr>
            <w:tcW w:w="862" w:type="pct"/>
            <w:vAlign w:val="center"/>
          </w:tcPr>
          <w:p w14:paraId="2B6A37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其他行业</w:t>
            </w:r>
          </w:p>
        </w:tc>
        <w:tc>
          <w:tcPr>
            <w:tcW w:w="719" w:type="pct"/>
            <w:vAlign w:val="center"/>
          </w:tcPr>
          <w:p w14:paraId="24D0D5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4,338.66</w:t>
            </w:r>
          </w:p>
        </w:tc>
        <w:tc>
          <w:tcPr>
            <w:tcW w:w="660" w:type="pct"/>
            <w:vAlign w:val="center"/>
          </w:tcPr>
          <w:p w14:paraId="7AA644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19.53%</w:t>
            </w:r>
          </w:p>
        </w:tc>
        <w:tc>
          <w:tcPr>
            <w:tcW w:w="719" w:type="pct"/>
            <w:vAlign w:val="center"/>
          </w:tcPr>
          <w:p w14:paraId="57A783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4,166.54</w:t>
            </w:r>
          </w:p>
        </w:tc>
        <w:tc>
          <w:tcPr>
            <w:tcW w:w="660" w:type="pct"/>
            <w:vAlign w:val="center"/>
          </w:tcPr>
          <w:p w14:paraId="505BE1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10.23%</w:t>
            </w:r>
          </w:p>
        </w:tc>
        <w:tc>
          <w:tcPr>
            <w:tcW w:w="719" w:type="pct"/>
            <w:vAlign w:val="center"/>
          </w:tcPr>
          <w:p w14:paraId="6FE483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4,604.92</w:t>
            </w:r>
          </w:p>
        </w:tc>
        <w:tc>
          <w:tcPr>
            <w:tcW w:w="660" w:type="pct"/>
            <w:vAlign w:val="center"/>
          </w:tcPr>
          <w:p w14:paraId="2C9DF1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10.48%</w:t>
            </w:r>
          </w:p>
        </w:tc>
      </w:tr>
      <w:tr w:rsidR="003F2129" w:rsidRPr="00DA3766" w14:paraId="52ADC240" w14:textId="77777777" w:rsidTr="00DA3766">
        <w:trPr>
          <w:trHeight w:val="397"/>
          <w:jc w:val="center"/>
        </w:trPr>
        <w:tc>
          <w:tcPr>
            <w:tcW w:w="862" w:type="pct"/>
            <w:vAlign w:val="center"/>
          </w:tcPr>
          <w:p w14:paraId="3987C3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轨道交通</w:t>
            </w:r>
          </w:p>
        </w:tc>
        <w:tc>
          <w:tcPr>
            <w:tcW w:w="719" w:type="pct"/>
            <w:vAlign w:val="center"/>
          </w:tcPr>
          <w:p w14:paraId="28525E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2,342.73</w:t>
            </w:r>
          </w:p>
        </w:tc>
        <w:tc>
          <w:tcPr>
            <w:tcW w:w="660" w:type="pct"/>
            <w:vAlign w:val="center"/>
          </w:tcPr>
          <w:p w14:paraId="7AEE14F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10.55%</w:t>
            </w:r>
          </w:p>
        </w:tc>
        <w:tc>
          <w:tcPr>
            <w:tcW w:w="719" w:type="pct"/>
            <w:vAlign w:val="center"/>
          </w:tcPr>
          <w:p w14:paraId="1AA86E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0" w:type="pct"/>
            <w:vAlign w:val="center"/>
          </w:tcPr>
          <w:p w14:paraId="4AA031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19" w:type="pct"/>
            <w:vAlign w:val="center"/>
          </w:tcPr>
          <w:p w14:paraId="7E90F0B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14:paraId="196F02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r>
      <w:tr w:rsidR="003F2129" w:rsidRPr="00DA3766" w14:paraId="590D5195" w14:textId="77777777" w:rsidTr="00DA3766">
        <w:trPr>
          <w:trHeight w:val="397"/>
          <w:jc w:val="center"/>
        </w:trPr>
        <w:tc>
          <w:tcPr>
            <w:tcW w:w="862" w:type="pct"/>
            <w:vAlign w:val="center"/>
          </w:tcPr>
          <w:p w14:paraId="6F01E6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电力新能源</w:t>
            </w:r>
          </w:p>
        </w:tc>
        <w:tc>
          <w:tcPr>
            <w:tcW w:w="719" w:type="pct"/>
            <w:vAlign w:val="center"/>
          </w:tcPr>
          <w:p w14:paraId="3700CA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64.34</w:t>
            </w:r>
          </w:p>
        </w:tc>
        <w:tc>
          <w:tcPr>
            <w:tcW w:w="660" w:type="pct"/>
            <w:vAlign w:val="center"/>
          </w:tcPr>
          <w:p w14:paraId="346189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0.29%</w:t>
            </w:r>
          </w:p>
        </w:tc>
        <w:tc>
          <w:tcPr>
            <w:tcW w:w="719" w:type="pct"/>
            <w:vAlign w:val="center"/>
          </w:tcPr>
          <w:p w14:paraId="1CDACF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0" w:type="pct"/>
            <w:vAlign w:val="center"/>
          </w:tcPr>
          <w:p w14:paraId="1151F3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19" w:type="pct"/>
            <w:vAlign w:val="center"/>
          </w:tcPr>
          <w:p w14:paraId="0FF0E7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14:paraId="27FABC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r>
      <w:tr w:rsidR="003F2129" w:rsidRPr="00DA3766" w14:paraId="73045905" w14:textId="77777777" w:rsidTr="00DA3766">
        <w:trPr>
          <w:trHeight w:val="397"/>
          <w:jc w:val="center"/>
        </w:trPr>
        <w:tc>
          <w:tcPr>
            <w:tcW w:w="862" w:type="pct"/>
            <w:vAlign w:val="center"/>
          </w:tcPr>
          <w:p w14:paraId="6EFF9B9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合计</w:t>
            </w:r>
          </w:p>
        </w:tc>
        <w:tc>
          <w:tcPr>
            <w:tcW w:w="719" w:type="pct"/>
            <w:vAlign w:val="center"/>
          </w:tcPr>
          <w:p w14:paraId="5EFFEC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22,214.90</w:t>
            </w:r>
          </w:p>
        </w:tc>
        <w:tc>
          <w:tcPr>
            <w:tcW w:w="660" w:type="pct"/>
            <w:vAlign w:val="center"/>
          </w:tcPr>
          <w:p w14:paraId="1B29A0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c>
          <w:tcPr>
            <w:tcW w:w="719" w:type="pct"/>
            <w:vAlign w:val="center"/>
          </w:tcPr>
          <w:p w14:paraId="270D43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40,737.42</w:t>
            </w:r>
          </w:p>
        </w:tc>
        <w:tc>
          <w:tcPr>
            <w:tcW w:w="660" w:type="pct"/>
            <w:vAlign w:val="center"/>
          </w:tcPr>
          <w:p w14:paraId="42EF29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c>
          <w:tcPr>
            <w:tcW w:w="719" w:type="pct"/>
            <w:vAlign w:val="center"/>
          </w:tcPr>
          <w:p w14:paraId="6C2744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43,921.75</w:t>
            </w:r>
          </w:p>
        </w:tc>
        <w:tc>
          <w:tcPr>
            <w:tcW w:w="660" w:type="pct"/>
            <w:vAlign w:val="center"/>
          </w:tcPr>
          <w:p w14:paraId="39725A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r>
    </w:tbl>
    <w:p w14:paraId="08D808F5" w14:textId="03607EC4"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公司最终客户主要为政府机关、事业单位及国有企业，上述客户受预算管理及执行采购流程的影响，项目验收工作主要集中在下半年，导致公司较多项目集中在下半年进行验收。</w:t>
      </w:r>
      <w:r w:rsidRPr="00DA3766">
        <w:rPr>
          <w:rFonts w:ascii="Times New Roman" w:hAnsi="Times New Roman" w:cs="Times New Roman"/>
        </w:rPr>
        <w:t>2024</w:t>
      </w:r>
      <w:r w:rsidRPr="00DA3766">
        <w:rPr>
          <w:rFonts w:ascii="Times New Roman" w:hAnsi="Times New Roman" w:cs="Times New Roman"/>
        </w:rPr>
        <w:t>年度，智慧政务、教育、医疗、交通等智慧城市行业，受地方财政资金预算影响，需求不足，叠加竞争加剧，地方客户存量项目资金不足，建设周期延长，公司部分项目无法按既定计划完工验收，导致智慧</w:t>
      </w:r>
      <w:r w:rsidR="00896C0B" w:rsidRPr="00DA3766">
        <w:rPr>
          <w:rFonts w:ascii="Times New Roman" w:hAnsi="Times New Roman" w:cs="Times New Roman"/>
        </w:rPr>
        <w:t>教育</w:t>
      </w:r>
      <w:r w:rsidRPr="00DA3766">
        <w:rPr>
          <w:rFonts w:ascii="Times New Roman" w:hAnsi="Times New Roman" w:cs="Times New Roman"/>
        </w:rPr>
        <w:t>、智慧政务以及智慧医疗业务收入下滑，带动公司整体营业收入下降。</w:t>
      </w:r>
      <w:r w:rsidRPr="00DA3766">
        <w:rPr>
          <w:rFonts w:ascii="Times New Roman" w:hAnsi="Times New Roman" w:cs="Times New Roman"/>
        </w:rPr>
        <w:t xml:space="preserve"> </w:t>
      </w:r>
    </w:p>
    <w:p w14:paraId="62DC6775"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年度，智慧城市行业，同行业可比上市公司营业收入出现不同程度下滑，具体情况如下：</w:t>
      </w:r>
    </w:p>
    <w:p w14:paraId="3C79E625"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53"/>
        <w:gridCol w:w="1175"/>
        <w:gridCol w:w="1165"/>
        <w:gridCol w:w="1310"/>
        <w:gridCol w:w="1138"/>
        <w:gridCol w:w="1385"/>
        <w:gridCol w:w="1202"/>
      </w:tblGrid>
      <w:tr w:rsidR="003F2129" w:rsidRPr="00DA3766" w14:paraId="52F43181" w14:textId="77777777" w:rsidTr="00DA3766">
        <w:trPr>
          <w:trHeight w:val="397"/>
          <w:tblHeader/>
          <w:jc w:val="center"/>
        </w:trPr>
        <w:tc>
          <w:tcPr>
            <w:tcW w:w="676" w:type="pct"/>
            <w:vMerge w:val="restart"/>
            <w:vAlign w:val="center"/>
          </w:tcPr>
          <w:p w14:paraId="2B7EEFD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72" w:type="pct"/>
            <w:gridSpan w:val="2"/>
            <w:vAlign w:val="center"/>
          </w:tcPr>
          <w:p w14:paraId="3FC3A8C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年度</w:t>
            </w:r>
          </w:p>
        </w:tc>
        <w:tc>
          <w:tcPr>
            <w:tcW w:w="1435" w:type="pct"/>
            <w:gridSpan w:val="2"/>
            <w:vAlign w:val="center"/>
          </w:tcPr>
          <w:p w14:paraId="502EB16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年度</w:t>
            </w:r>
          </w:p>
        </w:tc>
        <w:tc>
          <w:tcPr>
            <w:tcW w:w="1517" w:type="pct"/>
            <w:gridSpan w:val="2"/>
            <w:vAlign w:val="center"/>
          </w:tcPr>
          <w:p w14:paraId="2A59D2A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1C253178" w14:textId="77777777" w:rsidTr="00DA3766">
        <w:trPr>
          <w:trHeight w:val="397"/>
          <w:tblHeader/>
          <w:jc w:val="center"/>
        </w:trPr>
        <w:tc>
          <w:tcPr>
            <w:tcW w:w="676" w:type="pct"/>
            <w:vMerge/>
            <w:vAlign w:val="center"/>
          </w:tcPr>
          <w:p w14:paraId="7D1C08F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89" w:type="pct"/>
            <w:vAlign w:val="center"/>
          </w:tcPr>
          <w:p w14:paraId="3790C32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683" w:type="pct"/>
            <w:vAlign w:val="center"/>
          </w:tcPr>
          <w:p w14:paraId="479C47E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c>
          <w:tcPr>
            <w:tcW w:w="768" w:type="pct"/>
            <w:vAlign w:val="center"/>
          </w:tcPr>
          <w:p w14:paraId="518019E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667" w:type="pct"/>
            <w:vAlign w:val="center"/>
          </w:tcPr>
          <w:p w14:paraId="3A6D8A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c>
          <w:tcPr>
            <w:tcW w:w="812" w:type="pct"/>
            <w:vAlign w:val="center"/>
          </w:tcPr>
          <w:p w14:paraId="1774BD4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05" w:type="pct"/>
            <w:vAlign w:val="center"/>
          </w:tcPr>
          <w:p w14:paraId="748E8F8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r>
      <w:tr w:rsidR="003F2129" w:rsidRPr="00DA3766" w14:paraId="66856D7E" w14:textId="77777777" w:rsidTr="00DA3766">
        <w:trPr>
          <w:trHeight w:val="397"/>
          <w:jc w:val="center"/>
        </w:trPr>
        <w:tc>
          <w:tcPr>
            <w:tcW w:w="676" w:type="pct"/>
            <w:vAlign w:val="center"/>
          </w:tcPr>
          <w:p w14:paraId="59E793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689" w:type="pct"/>
            <w:vAlign w:val="center"/>
          </w:tcPr>
          <w:p w14:paraId="2404E8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26,872.73</w:t>
            </w:r>
          </w:p>
        </w:tc>
        <w:tc>
          <w:tcPr>
            <w:tcW w:w="683" w:type="pct"/>
            <w:vAlign w:val="center"/>
          </w:tcPr>
          <w:p w14:paraId="6B53A7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9.02%</w:t>
            </w:r>
          </w:p>
        </w:tc>
        <w:tc>
          <w:tcPr>
            <w:tcW w:w="768" w:type="pct"/>
            <w:vAlign w:val="center"/>
          </w:tcPr>
          <w:p w14:paraId="034736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24,648.35</w:t>
            </w:r>
          </w:p>
        </w:tc>
        <w:tc>
          <w:tcPr>
            <w:tcW w:w="667" w:type="pct"/>
            <w:vAlign w:val="center"/>
          </w:tcPr>
          <w:p w14:paraId="5DFEF5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-6.47%</w:t>
            </w:r>
          </w:p>
        </w:tc>
        <w:tc>
          <w:tcPr>
            <w:tcW w:w="812" w:type="pct"/>
            <w:vAlign w:val="center"/>
          </w:tcPr>
          <w:p w14:paraId="190B88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26,352.44</w:t>
            </w:r>
          </w:p>
        </w:tc>
        <w:tc>
          <w:tcPr>
            <w:tcW w:w="705" w:type="pct"/>
            <w:vAlign w:val="center"/>
          </w:tcPr>
          <w:p w14:paraId="6A8E0C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-37.54%</w:t>
            </w:r>
          </w:p>
        </w:tc>
      </w:tr>
      <w:tr w:rsidR="003F2129" w:rsidRPr="00DA3766" w14:paraId="5E46DC77" w14:textId="77777777" w:rsidTr="00DA3766">
        <w:trPr>
          <w:trHeight w:val="397"/>
          <w:jc w:val="center"/>
        </w:trPr>
        <w:tc>
          <w:tcPr>
            <w:tcW w:w="676" w:type="pct"/>
            <w:vAlign w:val="center"/>
          </w:tcPr>
          <w:p w14:paraId="27C671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689" w:type="pct"/>
            <w:vAlign w:val="center"/>
          </w:tcPr>
          <w:p w14:paraId="030CCA2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42,991.56</w:t>
            </w:r>
          </w:p>
        </w:tc>
        <w:tc>
          <w:tcPr>
            <w:tcW w:w="683" w:type="pct"/>
            <w:vAlign w:val="center"/>
          </w:tcPr>
          <w:p w14:paraId="1CB3A0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-28.87%</w:t>
            </w:r>
          </w:p>
        </w:tc>
        <w:tc>
          <w:tcPr>
            <w:tcW w:w="768" w:type="pct"/>
            <w:vAlign w:val="center"/>
          </w:tcPr>
          <w:p w14:paraId="321D09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60,437.46</w:t>
            </w:r>
          </w:p>
        </w:tc>
        <w:tc>
          <w:tcPr>
            <w:tcW w:w="667" w:type="pct"/>
            <w:vAlign w:val="center"/>
          </w:tcPr>
          <w:p w14:paraId="1F13962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46.47%</w:t>
            </w:r>
          </w:p>
        </w:tc>
        <w:tc>
          <w:tcPr>
            <w:tcW w:w="812" w:type="pct"/>
            <w:vAlign w:val="center"/>
          </w:tcPr>
          <w:p w14:paraId="4D743F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41,263.86</w:t>
            </w:r>
          </w:p>
        </w:tc>
        <w:tc>
          <w:tcPr>
            <w:tcW w:w="705" w:type="pct"/>
            <w:vAlign w:val="center"/>
          </w:tcPr>
          <w:p w14:paraId="7FA454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11.62%</w:t>
            </w:r>
          </w:p>
        </w:tc>
      </w:tr>
      <w:tr w:rsidR="003F2129" w:rsidRPr="00DA3766" w14:paraId="30190CC3" w14:textId="77777777" w:rsidTr="00DA3766">
        <w:trPr>
          <w:trHeight w:val="397"/>
          <w:jc w:val="center"/>
        </w:trPr>
        <w:tc>
          <w:tcPr>
            <w:tcW w:w="676" w:type="pct"/>
            <w:vAlign w:val="center"/>
          </w:tcPr>
          <w:p w14:paraId="5F84B4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689" w:type="pct"/>
            <w:vAlign w:val="center"/>
          </w:tcPr>
          <w:p w14:paraId="010F273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61,760.26</w:t>
            </w:r>
          </w:p>
        </w:tc>
        <w:tc>
          <w:tcPr>
            <w:tcW w:w="683" w:type="pct"/>
            <w:vAlign w:val="center"/>
          </w:tcPr>
          <w:p w14:paraId="3D613A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-10.98%</w:t>
            </w:r>
          </w:p>
        </w:tc>
        <w:tc>
          <w:tcPr>
            <w:tcW w:w="768" w:type="pct"/>
            <w:vAlign w:val="center"/>
          </w:tcPr>
          <w:p w14:paraId="561AD7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69,381.12</w:t>
            </w:r>
          </w:p>
        </w:tc>
        <w:tc>
          <w:tcPr>
            <w:tcW w:w="667" w:type="pct"/>
            <w:vAlign w:val="center"/>
          </w:tcPr>
          <w:p w14:paraId="5ED93B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25.02%</w:t>
            </w:r>
          </w:p>
        </w:tc>
        <w:tc>
          <w:tcPr>
            <w:tcW w:w="812" w:type="pct"/>
            <w:vAlign w:val="center"/>
          </w:tcPr>
          <w:p w14:paraId="4EC565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55,493.82</w:t>
            </w:r>
          </w:p>
        </w:tc>
        <w:tc>
          <w:tcPr>
            <w:tcW w:w="705" w:type="pct"/>
            <w:vAlign w:val="center"/>
          </w:tcPr>
          <w:p w14:paraId="05C34A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20.48%</w:t>
            </w:r>
          </w:p>
        </w:tc>
      </w:tr>
      <w:tr w:rsidR="003F2129" w:rsidRPr="00DA3766" w14:paraId="530DDD14" w14:textId="77777777" w:rsidTr="00DA3766">
        <w:trPr>
          <w:trHeight w:val="397"/>
          <w:jc w:val="center"/>
        </w:trPr>
        <w:tc>
          <w:tcPr>
            <w:tcW w:w="676" w:type="pct"/>
            <w:vAlign w:val="center"/>
          </w:tcPr>
          <w:p w14:paraId="4C0B65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杰创智能</w:t>
            </w:r>
          </w:p>
        </w:tc>
        <w:tc>
          <w:tcPr>
            <w:tcW w:w="689" w:type="pct"/>
            <w:vAlign w:val="center"/>
          </w:tcPr>
          <w:p w14:paraId="6C404AC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64,435.92</w:t>
            </w:r>
          </w:p>
        </w:tc>
        <w:tc>
          <w:tcPr>
            <w:tcW w:w="683" w:type="pct"/>
            <w:vAlign w:val="center"/>
          </w:tcPr>
          <w:p w14:paraId="798208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-24.47%</w:t>
            </w:r>
          </w:p>
        </w:tc>
        <w:tc>
          <w:tcPr>
            <w:tcW w:w="768" w:type="pct"/>
            <w:vAlign w:val="center"/>
          </w:tcPr>
          <w:p w14:paraId="0C9DCC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85,316.96</w:t>
            </w:r>
          </w:p>
        </w:tc>
        <w:tc>
          <w:tcPr>
            <w:tcW w:w="667" w:type="pct"/>
            <w:vAlign w:val="center"/>
          </w:tcPr>
          <w:p w14:paraId="1CAFF2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13.67%</w:t>
            </w:r>
          </w:p>
        </w:tc>
        <w:tc>
          <w:tcPr>
            <w:tcW w:w="812" w:type="pct"/>
            <w:vAlign w:val="center"/>
          </w:tcPr>
          <w:p w14:paraId="24EAC2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75,056.42</w:t>
            </w:r>
          </w:p>
        </w:tc>
        <w:tc>
          <w:tcPr>
            <w:tcW w:w="705" w:type="pct"/>
            <w:vAlign w:val="center"/>
          </w:tcPr>
          <w:p w14:paraId="5D2AEE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-20.18%</w:t>
            </w:r>
          </w:p>
        </w:tc>
      </w:tr>
      <w:tr w:rsidR="003F2129" w:rsidRPr="00DA3766" w14:paraId="236484DA" w14:textId="77777777" w:rsidTr="00DA3766">
        <w:trPr>
          <w:trHeight w:val="397"/>
          <w:jc w:val="center"/>
        </w:trPr>
        <w:tc>
          <w:tcPr>
            <w:tcW w:w="676" w:type="pct"/>
            <w:vAlign w:val="center"/>
          </w:tcPr>
          <w:p w14:paraId="55E723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14:ligatures w14:val="standardContextual"/>
              </w:rPr>
              <w:t>宏景科技</w:t>
            </w:r>
          </w:p>
        </w:tc>
        <w:tc>
          <w:tcPr>
            <w:tcW w:w="689" w:type="pct"/>
            <w:vAlign w:val="center"/>
          </w:tcPr>
          <w:p w14:paraId="1F5934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65,777.79</w:t>
            </w:r>
          </w:p>
        </w:tc>
        <w:tc>
          <w:tcPr>
            <w:tcW w:w="683" w:type="pct"/>
            <w:vAlign w:val="center"/>
          </w:tcPr>
          <w:p w14:paraId="3C3B30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-14.64%</w:t>
            </w:r>
          </w:p>
        </w:tc>
        <w:tc>
          <w:tcPr>
            <w:tcW w:w="768" w:type="pct"/>
            <w:vAlign w:val="center"/>
          </w:tcPr>
          <w:p w14:paraId="45BE82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77,060.50</w:t>
            </w:r>
          </w:p>
        </w:tc>
        <w:tc>
          <w:tcPr>
            <w:tcW w:w="667" w:type="pct"/>
            <w:vAlign w:val="center"/>
          </w:tcPr>
          <w:p w14:paraId="38B4349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3.26%</w:t>
            </w:r>
          </w:p>
        </w:tc>
        <w:tc>
          <w:tcPr>
            <w:tcW w:w="812" w:type="pct"/>
            <w:vAlign w:val="center"/>
          </w:tcPr>
          <w:p w14:paraId="7452A1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74,628.47</w:t>
            </w:r>
          </w:p>
        </w:tc>
        <w:tc>
          <w:tcPr>
            <w:tcW w:w="705" w:type="pct"/>
            <w:vAlign w:val="center"/>
          </w:tcPr>
          <w:p w14:paraId="211450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2.12%</w:t>
            </w:r>
          </w:p>
        </w:tc>
      </w:tr>
      <w:tr w:rsidR="003F2129" w:rsidRPr="00DA3766" w14:paraId="5EE02A23" w14:textId="77777777" w:rsidTr="00DA3766">
        <w:trPr>
          <w:trHeight w:val="397"/>
          <w:jc w:val="center"/>
        </w:trPr>
        <w:tc>
          <w:tcPr>
            <w:tcW w:w="676" w:type="pct"/>
            <w:vAlign w:val="center"/>
          </w:tcPr>
          <w:p w14:paraId="62496A6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szCs w:val="21"/>
                <w14:ligatures w14:val="standardContextual"/>
              </w:rPr>
              <w:t>恒锋信息</w:t>
            </w:r>
          </w:p>
        </w:tc>
        <w:tc>
          <w:tcPr>
            <w:tcW w:w="689" w:type="pct"/>
            <w:vAlign w:val="center"/>
          </w:tcPr>
          <w:p w14:paraId="358499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22,731.43</w:t>
            </w:r>
          </w:p>
        </w:tc>
        <w:tc>
          <w:tcPr>
            <w:tcW w:w="683" w:type="pct"/>
            <w:vAlign w:val="center"/>
          </w:tcPr>
          <w:p w14:paraId="3AF491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-53.07%</w:t>
            </w:r>
          </w:p>
        </w:tc>
        <w:tc>
          <w:tcPr>
            <w:tcW w:w="768" w:type="pct"/>
            <w:vAlign w:val="center"/>
          </w:tcPr>
          <w:p w14:paraId="537589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48,437.52</w:t>
            </w:r>
          </w:p>
        </w:tc>
        <w:tc>
          <w:tcPr>
            <w:tcW w:w="667" w:type="pct"/>
            <w:vAlign w:val="center"/>
          </w:tcPr>
          <w:p w14:paraId="5F1EB1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-5.99%</w:t>
            </w:r>
          </w:p>
        </w:tc>
        <w:tc>
          <w:tcPr>
            <w:tcW w:w="812" w:type="pct"/>
            <w:vAlign w:val="center"/>
          </w:tcPr>
          <w:p w14:paraId="377CA7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51,524.99</w:t>
            </w:r>
          </w:p>
        </w:tc>
        <w:tc>
          <w:tcPr>
            <w:tcW w:w="705" w:type="pct"/>
            <w:vAlign w:val="center"/>
          </w:tcPr>
          <w:p w14:paraId="4435CC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-15.86%</w:t>
            </w:r>
          </w:p>
        </w:tc>
      </w:tr>
      <w:tr w:rsidR="003F2129" w:rsidRPr="00DA3766" w14:paraId="0B9D0644" w14:textId="77777777" w:rsidTr="00DA3766">
        <w:trPr>
          <w:trHeight w:val="397"/>
          <w:jc w:val="center"/>
        </w:trPr>
        <w:tc>
          <w:tcPr>
            <w:tcW w:w="676" w:type="pct"/>
            <w:vAlign w:val="center"/>
          </w:tcPr>
          <w:p w14:paraId="58BD70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szCs w:val="21"/>
                <w14:ligatures w14:val="standardContextual"/>
              </w:rPr>
              <w:t>浪潮软件</w:t>
            </w:r>
          </w:p>
        </w:tc>
        <w:tc>
          <w:tcPr>
            <w:tcW w:w="689" w:type="pct"/>
            <w:vAlign w:val="center"/>
          </w:tcPr>
          <w:p w14:paraId="769205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186,965.93</w:t>
            </w:r>
          </w:p>
        </w:tc>
        <w:tc>
          <w:tcPr>
            <w:tcW w:w="683" w:type="pct"/>
            <w:vAlign w:val="center"/>
          </w:tcPr>
          <w:p w14:paraId="5AE4AE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-26.77%</w:t>
            </w:r>
          </w:p>
        </w:tc>
        <w:tc>
          <w:tcPr>
            <w:tcW w:w="768" w:type="pct"/>
            <w:vAlign w:val="center"/>
          </w:tcPr>
          <w:p w14:paraId="1200BB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255,320.12</w:t>
            </w:r>
          </w:p>
        </w:tc>
        <w:tc>
          <w:tcPr>
            <w:tcW w:w="667" w:type="pct"/>
            <w:vAlign w:val="center"/>
          </w:tcPr>
          <w:p w14:paraId="41369D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23.09%</w:t>
            </w:r>
          </w:p>
        </w:tc>
        <w:tc>
          <w:tcPr>
            <w:tcW w:w="812" w:type="pct"/>
            <w:vAlign w:val="center"/>
          </w:tcPr>
          <w:p w14:paraId="674479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207,424.50</w:t>
            </w:r>
          </w:p>
        </w:tc>
        <w:tc>
          <w:tcPr>
            <w:tcW w:w="705" w:type="pct"/>
            <w:vAlign w:val="center"/>
          </w:tcPr>
          <w:p w14:paraId="4902CD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13.34%</w:t>
            </w:r>
          </w:p>
        </w:tc>
      </w:tr>
      <w:tr w:rsidR="003F2129" w:rsidRPr="00DA3766" w14:paraId="2483FA1B" w14:textId="77777777" w:rsidTr="00DA3766">
        <w:trPr>
          <w:trHeight w:val="397"/>
          <w:jc w:val="center"/>
        </w:trPr>
        <w:tc>
          <w:tcPr>
            <w:tcW w:w="676" w:type="pct"/>
            <w:vAlign w:val="center"/>
          </w:tcPr>
          <w:p w14:paraId="220610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平均值</w:t>
            </w:r>
          </w:p>
        </w:tc>
        <w:tc>
          <w:tcPr>
            <w:tcW w:w="689" w:type="pct"/>
            <w:vAlign w:val="center"/>
          </w:tcPr>
          <w:p w14:paraId="5DAC63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67,362.23</w:t>
            </w:r>
          </w:p>
        </w:tc>
        <w:tc>
          <w:tcPr>
            <w:tcW w:w="683" w:type="pct"/>
            <w:vAlign w:val="center"/>
          </w:tcPr>
          <w:p w14:paraId="397671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-24.02%</w:t>
            </w:r>
          </w:p>
        </w:tc>
        <w:tc>
          <w:tcPr>
            <w:tcW w:w="768" w:type="pct"/>
            <w:vAlign w:val="center"/>
          </w:tcPr>
          <w:p w14:paraId="0FF5B16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88,657.43</w:t>
            </w:r>
          </w:p>
        </w:tc>
        <w:tc>
          <w:tcPr>
            <w:tcW w:w="667" w:type="pct"/>
            <w:vAlign w:val="center"/>
          </w:tcPr>
          <w:p w14:paraId="5FA4A0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16.71%</w:t>
            </w:r>
          </w:p>
        </w:tc>
        <w:tc>
          <w:tcPr>
            <w:tcW w:w="812" w:type="pct"/>
            <w:vAlign w:val="center"/>
          </w:tcPr>
          <w:p w14:paraId="499C08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75,963.50</w:t>
            </w:r>
          </w:p>
        </w:tc>
        <w:tc>
          <w:tcPr>
            <w:tcW w:w="705" w:type="pct"/>
            <w:vAlign w:val="center"/>
          </w:tcPr>
          <w:p w14:paraId="020F6A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-0.90%</w:t>
            </w:r>
          </w:p>
        </w:tc>
      </w:tr>
      <w:tr w:rsidR="003F2129" w:rsidRPr="00DA3766" w14:paraId="552DD110" w14:textId="77777777" w:rsidTr="00DA3766">
        <w:trPr>
          <w:trHeight w:val="397"/>
          <w:jc w:val="center"/>
        </w:trPr>
        <w:tc>
          <w:tcPr>
            <w:tcW w:w="676" w:type="pct"/>
            <w:vAlign w:val="center"/>
          </w:tcPr>
          <w:p w14:paraId="761E92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中位数</w:t>
            </w:r>
          </w:p>
        </w:tc>
        <w:tc>
          <w:tcPr>
            <w:tcW w:w="689" w:type="pct"/>
            <w:vAlign w:val="center"/>
          </w:tcPr>
          <w:p w14:paraId="0DE3A4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61,760.26</w:t>
            </w:r>
          </w:p>
        </w:tc>
        <w:tc>
          <w:tcPr>
            <w:tcW w:w="683" w:type="pct"/>
            <w:vAlign w:val="center"/>
          </w:tcPr>
          <w:p w14:paraId="712130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-10.98%</w:t>
            </w:r>
          </w:p>
        </w:tc>
        <w:tc>
          <w:tcPr>
            <w:tcW w:w="768" w:type="pct"/>
            <w:vAlign w:val="center"/>
          </w:tcPr>
          <w:p w14:paraId="215BC9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69,381.12</w:t>
            </w:r>
          </w:p>
        </w:tc>
        <w:tc>
          <w:tcPr>
            <w:tcW w:w="667" w:type="pct"/>
            <w:vAlign w:val="center"/>
          </w:tcPr>
          <w:p w14:paraId="594E1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25.02%</w:t>
            </w:r>
          </w:p>
        </w:tc>
        <w:tc>
          <w:tcPr>
            <w:tcW w:w="812" w:type="pct"/>
            <w:vAlign w:val="center"/>
          </w:tcPr>
          <w:p w14:paraId="23DE03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55,493.82</w:t>
            </w:r>
          </w:p>
        </w:tc>
        <w:tc>
          <w:tcPr>
            <w:tcW w:w="705" w:type="pct"/>
            <w:vAlign w:val="center"/>
          </w:tcPr>
          <w:p w14:paraId="172DDA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-9.37%</w:t>
            </w:r>
          </w:p>
        </w:tc>
      </w:tr>
      <w:tr w:rsidR="003F2129" w:rsidRPr="00DA3766" w14:paraId="24A7B3CE" w14:textId="77777777" w:rsidTr="00DA3766">
        <w:trPr>
          <w:trHeight w:val="397"/>
          <w:jc w:val="center"/>
        </w:trPr>
        <w:tc>
          <w:tcPr>
            <w:tcW w:w="676" w:type="pct"/>
            <w:vAlign w:val="center"/>
          </w:tcPr>
          <w:p w14:paraId="59BA40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689" w:type="pct"/>
            <w:vAlign w:val="center"/>
          </w:tcPr>
          <w:p w14:paraId="5946B23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683" w:type="pct"/>
            <w:vAlign w:val="center"/>
          </w:tcPr>
          <w:p w14:paraId="082F1A2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-45.46%</w:t>
            </w:r>
          </w:p>
        </w:tc>
        <w:tc>
          <w:tcPr>
            <w:tcW w:w="768" w:type="pct"/>
            <w:vAlign w:val="center"/>
          </w:tcPr>
          <w:p w14:paraId="120A48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41,000.98</w:t>
            </w:r>
          </w:p>
        </w:tc>
        <w:tc>
          <w:tcPr>
            <w:tcW w:w="667" w:type="pct"/>
            <w:vAlign w:val="center"/>
          </w:tcPr>
          <w:p w14:paraId="2F880D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-6.65%</w:t>
            </w:r>
          </w:p>
        </w:tc>
        <w:tc>
          <w:tcPr>
            <w:tcW w:w="812" w:type="pct"/>
            <w:vAlign w:val="center"/>
          </w:tcPr>
          <w:p w14:paraId="1178EE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43,921.75</w:t>
            </w:r>
          </w:p>
        </w:tc>
        <w:tc>
          <w:tcPr>
            <w:tcW w:w="705" w:type="pct"/>
            <w:vAlign w:val="center"/>
          </w:tcPr>
          <w:p w14:paraId="67723D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-5.98%</w:t>
            </w:r>
          </w:p>
        </w:tc>
      </w:tr>
    </w:tbl>
    <w:p w14:paraId="50A9BC1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年度，上市公司与可比公司营业收入均呈现下降趋势，上市公司营业收入下降幅度较大，但整体在可比公司营业收入变动范围内。</w:t>
      </w:r>
      <w:r w:rsidRPr="00DA3766">
        <w:rPr>
          <w:rFonts w:ascii="Times New Roman" w:hAnsi="Times New Roman" w:cs="Times New Roman"/>
        </w:rPr>
        <w:t>2023</w:t>
      </w:r>
      <w:r w:rsidRPr="00DA3766">
        <w:rPr>
          <w:rFonts w:ascii="Times New Roman" w:hAnsi="Times New Roman" w:cs="Times New Roman"/>
        </w:rPr>
        <w:t>年，上市公司业绩略有下滑，主要系其所面向的智慧政务市场需求不足，行业竞争加剧所致。</w:t>
      </w:r>
      <w:r w:rsidRPr="00DA3766">
        <w:rPr>
          <w:rFonts w:ascii="Times New Roman" w:hAnsi="Times New Roman" w:cs="Times New Roman"/>
        </w:rPr>
        <w:t>2024</w:t>
      </w:r>
      <w:r w:rsidRPr="00DA3766">
        <w:rPr>
          <w:rFonts w:ascii="Times New Roman" w:hAnsi="Times New Roman" w:cs="Times New Roman"/>
        </w:rPr>
        <w:t>年度，上市公司营业收入下降幅度较大，主要系下游客户资金预算收紧，信息化建设项目招投标进度放缓，部分项目无法按既定计划完工验收，影响报告期的收入确认，同时，公司新开拓的算力服务、新能源业务收入金额较小或尚未实现收入，导致公司营业收入下滑。</w:t>
      </w:r>
    </w:p>
    <w:p w14:paraId="1AA127BB" w14:textId="645D48EA"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在智慧城市行业出现周期性下滑的情况下，公司持续加强新业务拓展。</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年以来，上市公司积极布局智慧企业、轨道交通、新能源电力以及算力服务集群，其中，轨道交通、新能源电力在</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年已经实现收入。具体而言，</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年，上市公司在轨道交通、新能源电力领域分别实现收入</w:t>
      </w:r>
      <w:r w:rsidRPr="00DA3766">
        <w:rPr>
          <w:rFonts w:ascii="Times New Roman" w:hAnsi="Times New Roman" w:cs="Times New Roman"/>
          <w:kern w:val="2"/>
          <w14:ligatures w14:val="standardContextual"/>
        </w:rPr>
        <w:t>2,342.73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64.34</w:t>
      </w:r>
      <w:r w:rsidRPr="00DA3766">
        <w:rPr>
          <w:rFonts w:ascii="Times New Roman" w:hAnsi="Times New Roman" w:cs="Times New Roman"/>
          <w:kern w:val="2"/>
          <w14:ligatures w14:val="standardContextual"/>
        </w:rPr>
        <w:t>万元，收入占比分别为</w:t>
      </w:r>
      <w:r w:rsidRPr="00DA3766">
        <w:rPr>
          <w:rFonts w:ascii="Times New Roman" w:hAnsi="Times New Roman" w:cs="Times New Roman"/>
          <w:kern w:val="2"/>
          <w14:ligatures w14:val="standardContextual"/>
        </w:rPr>
        <w:t>10.47%</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0.29%</w:t>
      </w:r>
      <w:r w:rsidRPr="00DA3766">
        <w:rPr>
          <w:rFonts w:ascii="Times New Roman" w:hAnsi="Times New Roman" w:cs="Times New Roman"/>
          <w:kern w:val="2"/>
          <w14:ligatures w14:val="standardContextual"/>
        </w:rPr>
        <w:t>。传统业务领域，如智慧教育、智慧政务、智慧</w:t>
      </w:r>
      <w:r w:rsidR="00896C0B" w:rsidRPr="00DA3766">
        <w:rPr>
          <w:rFonts w:ascii="Times New Roman" w:hAnsi="Times New Roman" w:cs="Times New Roman"/>
          <w:kern w:val="2"/>
          <w14:ligatures w14:val="standardContextual"/>
        </w:rPr>
        <w:t>医疗</w:t>
      </w:r>
      <w:r w:rsidRPr="00DA3766">
        <w:rPr>
          <w:rFonts w:ascii="Times New Roman" w:hAnsi="Times New Roman" w:cs="Times New Roman"/>
          <w:kern w:val="2"/>
          <w14:ligatures w14:val="standardContextual"/>
        </w:rPr>
        <w:t>业务收入金额及占比呈现下降趋势。</w:t>
      </w:r>
    </w:p>
    <w:p w14:paraId="337DE9F5"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、毛利率变动分析</w:t>
      </w:r>
    </w:p>
    <w:p w14:paraId="00851840"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上市公司为智慧城市类解决方案提供商，</w:t>
      </w: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年度，上市公司主要经营业务领域的毛利率情况具体如下：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329"/>
        <w:gridCol w:w="1312"/>
        <w:gridCol w:w="1332"/>
        <w:gridCol w:w="1545"/>
        <w:gridCol w:w="1341"/>
      </w:tblGrid>
      <w:tr w:rsidR="003F2129" w:rsidRPr="00DA3766" w14:paraId="067A2016" w14:textId="77777777" w:rsidTr="007F36AF">
        <w:trPr>
          <w:trHeight w:val="397"/>
          <w:tblHeader/>
          <w:jc w:val="center"/>
        </w:trPr>
        <w:tc>
          <w:tcPr>
            <w:tcW w:w="979" w:type="pct"/>
            <w:vMerge w:val="restart"/>
            <w:vAlign w:val="center"/>
          </w:tcPr>
          <w:p w14:paraId="0D00043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项目</w:t>
            </w:r>
          </w:p>
        </w:tc>
        <w:tc>
          <w:tcPr>
            <w:tcW w:w="1547" w:type="pct"/>
            <w:gridSpan w:val="2"/>
            <w:vAlign w:val="center"/>
          </w:tcPr>
          <w:p w14:paraId="54AEE8A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2024</w:t>
            </w:r>
            <w:r w:rsidRPr="00DA3766">
              <w:rPr>
                <w:rFonts w:ascii="Times New Roman" w:hAnsi="Times New Roman" w:cs="Times New Roman"/>
                <w:b/>
                <w:bCs/>
                <w:color w:val="000000"/>
                <w:kern w:val="2"/>
                <w:sz w:val="21"/>
                <w:lang w:bidi="ar"/>
                <w14:ligatures w14:val="standardContextual"/>
              </w:rPr>
              <w:t>年</w:t>
            </w:r>
          </w:p>
        </w:tc>
        <w:tc>
          <w:tcPr>
            <w:tcW w:w="1687" w:type="pct"/>
            <w:gridSpan w:val="2"/>
            <w:vAlign w:val="center"/>
          </w:tcPr>
          <w:p w14:paraId="5520543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2023</w:t>
            </w:r>
            <w:r w:rsidRPr="00DA3766">
              <w:rPr>
                <w:rFonts w:ascii="Times New Roman" w:hAnsi="Times New Roman" w:cs="Times New Roman"/>
                <w:b/>
                <w:bCs/>
                <w:color w:val="000000"/>
                <w:kern w:val="2"/>
                <w:sz w:val="21"/>
                <w:lang w:bidi="ar"/>
                <w14:ligatures w14:val="standardContextual"/>
              </w:rPr>
              <w:t>年</w:t>
            </w:r>
          </w:p>
        </w:tc>
        <w:tc>
          <w:tcPr>
            <w:tcW w:w="787" w:type="pct"/>
            <w:vAlign w:val="center"/>
          </w:tcPr>
          <w:p w14:paraId="544C197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2022</w:t>
            </w:r>
            <w:r w:rsidRPr="00DA3766">
              <w:rPr>
                <w:rFonts w:ascii="Times New Roman" w:hAnsi="Times New Roman" w:cs="Times New Roman"/>
                <w:b/>
                <w:bCs/>
                <w:color w:val="000000"/>
                <w:kern w:val="2"/>
                <w:sz w:val="21"/>
                <w:lang w:bidi="ar"/>
                <w14:ligatures w14:val="standardContextual"/>
              </w:rPr>
              <w:t>年</w:t>
            </w:r>
          </w:p>
        </w:tc>
      </w:tr>
      <w:tr w:rsidR="003F2129" w:rsidRPr="00DA3766" w14:paraId="6FA60E31" w14:textId="77777777" w:rsidTr="007F36AF">
        <w:trPr>
          <w:trHeight w:val="397"/>
          <w:tblHeader/>
          <w:jc w:val="center"/>
        </w:trPr>
        <w:tc>
          <w:tcPr>
            <w:tcW w:w="979" w:type="pct"/>
            <w:vMerge/>
            <w:vAlign w:val="center"/>
          </w:tcPr>
          <w:p w14:paraId="162D99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779" w:type="pct"/>
            <w:vAlign w:val="center"/>
          </w:tcPr>
          <w:p w14:paraId="6E62BAB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c>
          <w:tcPr>
            <w:tcW w:w="769" w:type="pct"/>
            <w:vAlign w:val="center"/>
          </w:tcPr>
          <w:p w14:paraId="5CA2D8F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变动</w:t>
            </w:r>
          </w:p>
        </w:tc>
        <w:tc>
          <w:tcPr>
            <w:tcW w:w="781" w:type="pct"/>
            <w:vAlign w:val="center"/>
          </w:tcPr>
          <w:p w14:paraId="6E69B88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c>
          <w:tcPr>
            <w:tcW w:w="906" w:type="pct"/>
            <w:vAlign w:val="center"/>
          </w:tcPr>
          <w:p w14:paraId="68D8A2C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变动</w:t>
            </w:r>
          </w:p>
        </w:tc>
        <w:tc>
          <w:tcPr>
            <w:tcW w:w="787" w:type="pct"/>
            <w:vAlign w:val="center"/>
          </w:tcPr>
          <w:p w14:paraId="59E98BD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r>
      <w:tr w:rsidR="003F2129" w:rsidRPr="00DA3766" w14:paraId="3527B53D" w14:textId="77777777" w:rsidTr="00DA3766">
        <w:trPr>
          <w:trHeight w:val="397"/>
          <w:jc w:val="center"/>
        </w:trPr>
        <w:tc>
          <w:tcPr>
            <w:tcW w:w="979" w:type="pct"/>
            <w:vAlign w:val="center"/>
          </w:tcPr>
          <w:p w14:paraId="507B67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智慧政务</w:t>
            </w:r>
          </w:p>
        </w:tc>
        <w:tc>
          <w:tcPr>
            <w:tcW w:w="779" w:type="pct"/>
            <w:vAlign w:val="center"/>
          </w:tcPr>
          <w:p w14:paraId="293539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3.44%</w:t>
            </w:r>
          </w:p>
        </w:tc>
        <w:tc>
          <w:tcPr>
            <w:tcW w:w="769" w:type="pct"/>
            <w:vAlign w:val="center"/>
          </w:tcPr>
          <w:p w14:paraId="79F54E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-20.89%</w:t>
            </w:r>
          </w:p>
        </w:tc>
        <w:tc>
          <w:tcPr>
            <w:tcW w:w="781" w:type="pct"/>
            <w:vAlign w:val="center"/>
          </w:tcPr>
          <w:p w14:paraId="52CC61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24.33%</w:t>
            </w:r>
          </w:p>
        </w:tc>
        <w:tc>
          <w:tcPr>
            <w:tcW w:w="906" w:type="pct"/>
            <w:vAlign w:val="center"/>
          </w:tcPr>
          <w:p w14:paraId="05BC1D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-6.50%</w:t>
            </w:r>
          </w:p>
        </w:tc>
        <w:tc>
          <w:tcPr>
            <w:tcW w:w="787" w:type="pct"/>
            <w:vAlign w:val="center"/>
          </w:tcPr>
          <w:p w14:paraId="1CC7B99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30.83%</w:t>
            </w:r>
          </w:p>
        </w:tc>
      </w:tr>
      <w:tr w:rsidR="003F2129" w:rsidRPr="00DA3766" w14:paraId="7137EB34" w14:textId="77777777" w:rsidTr="00DA3766">
        <w:trPr>
          <w:trHeight w:val="397"/>
          <w:jc w:val="center"/>
        </w:trPr>
        <w:tc>
          <w:tcPr>
            <w:tcW w:w="979" w:type="pct"/>
            <w:vAlign w:val="center"/>
          </w:tcPr>
          <w:p w14:paraId="4F60C7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智慧教育</w:t>
            </w:r>
          </w:p>
        </w:tc>
        <w:tc>
          <w:tcPr>
            <w:tcW w:w="779" w:type="pct"/>
            <w:vAlign w:val="center"/>
          </w:tcPr>
          <w:p w14:paraId="4EDC85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9.93%</w:t>
            </w:r>
          </w:p>
        </w:tc>
        <w:tc>
          <w:tcPr>
            <w:tcW w:w="769" w:type="pct"/>
            <w:vAlign w:val="center"/>
          </w:tcPr>
          <w:p w14:paraId="7CFBE91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0.40%</w:t>
            </w:r>
          </w:p>
        </w:tc>
        <w:tc>
          <w:tcPr>
            <w:tcW w:w="781" w:type="pct"/>
            <w:vAlign w:val="center"/>
          </w:tcPr>
          <w:p w14:paraId="67299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9.53%</w:t>
            </w:r>
          </w:p>
        </w:tc>
        <w:tc>
          <w:tcPr>
            <w:tcW w:w="906" w:type="pct"/>
            <w:vAlign w:val="center"/>
          </w:tcPr>
          <w:p w14:paraId="42ABABF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0.73%</w:t>
            </w:r>
          </w:p>
        </w:tc>
        <w:tc>
          <w:tcPr>
            <w:tcW w:w="787" w:type="pct"/>
            <w:vAlign w:val="center"/>
          </w:tcPr>
          <w:p w14:paraId="4EF03B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8.80%</w:t>
            </w:r>
          </w:p>
        </w:tc>
      </w:tr>
      <w:tr w:rsidR="003F2129" w:rsidRPr="00DA3766" w14:paraId="4CBDF023" w14:textId="77777777" w:rsidTr="00DA3766">
        <w:trPr>
          <w:trHeight w:val="397"/>
          <w:jc w:val="center"/>
        </w:trPr>
        <w:tc>
          <w:tcPr>
            <w:tcW w:w="979" w:type="pct"/>
            <w:vAlign w:val="center"/>
          </w:tcPr>
          <w:p w14:paraId="094730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lastRenderedPageBreak/>
              <w:t>智慧医疗</w:t>
            </w:r>
          </w:p>
        </w:tc>
        <w:tc>
          <w:tcPr>
            <w:tcW w:w="779" w:type="pct"/>
            <w:vAlign w:val="center"/>
          </w:tcPr>
          <w:p w14:paraId="0B20C1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8.41%</w:t>
            </w:r>
          </w:p>
        </w:tc>
        <w:tc>
          <w:tcPr>
            <w:tcW w:w="769" w:type="pct"/>
            <w:vAlign w:val="center"/>
          </w:tcPr>
          <w:p w14:paraId="02A40D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-3.03%</w:t>
            </w:r>
          </w:p>
        </w:tc>
        <w:tc>
          <w:tcPr>
            <w:tcW w:w="781" w:type="pct"/>
            <w:vAlign w:val="center"/>
          </w:tcPr>
          <w:p w14:paraId="6AB7E37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11.44%</w:t>
            </w:r>
          </w:p>
        </w:tc>
        <w:tc>
          <w:tcPr>
            <w:tcW w:w="906" w:type="pct"/>
            <w:vAlign w:val="center"/>
          </w:tcPr>
          <w:p w14:paraId="2B9F25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-2.95%</w:t>
            </w:r>
          </w:p>
        </w:tc>
        <w:tc>
          <w:tcPr>
            <w:tcW w:w="787" w:type="pct"/>
            <w:vAlign w:val="center"/>
          </w:tcPr>
          <w:p w14:paraId="137A0F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14.39%</w:t>
            </w:r>
          </w:p>
        </w:tc>
      </w:tr>
      <w:tr w:rsidR="003F2129" w:rsidRPr="00DA3766" w14:paraId="5F6EBA6B" w14:textId="77777777" w:rsidTr="00DA3766">
        <w:trPr>
          <w:trHeight w:val="397"/>
          <w:jc w:val="center"/>
        </w:trPr>
        <w:tc>
          <w:tcPr>
            <w:tcW w:w="979" w:type="pct"/>
            <w:vAlign w:val="center"/>
          </w:tcPr>
          <w:p w14:paraId="2DB24A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其他行业</w:t>
            </w:r>
          </w:p>
        </w:tc>
        <w:tc>
          <w:tcPr>
            <w:tcW w:w="779" w:type="pct"/>
            <w:vAlign w:val="center"/>
          </w:tcPr>
          <w:p w14:paraId="2BDE1E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26.03%</w:t>
            </w:r>
          </w:p>
        </w:tc>
        <w:tc>
          <w:tcPr>
            <w:tcW w:w="769" w:type="pct"/>
            <w:vAlign w:val="center"/>
          </w:tcPr>
          <w:p w14:paraId="0332B1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-7.85%</w:t>
            </w:r>
          </w:p>
        </w:tc>
        <w:tc>
          <w:tcPr>
            <w:tcW w:w="781" w:type="pct"/>
            <w:vAlign w:val="center"/>
          </w:tcPr>
          <w:p w14:paraId="4AD56B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33.89%</w:t>
            </w:r>
          </w:p>
        </w:tc>
        <w:tc>
          <w:tcPr>
            <w:tcW w:w="906" w:type="pct"/>
            <w:vAlign w:val="center"/>
          </w:tcPr>
          <w:p w14:paraId="7887B4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-0.83%</w:t>
            </w:r>
          </w:p>
        </w:tc>
        <w:tc>
          <w:tcPr>
            <w:tcW w:w="787" w:type="pct"/>
            <w:vAlign w:val="center"/>
          </w:tcPr>
          <w:p w14:paraId="0932082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34.72%</w:t>
            </w:r>
          </w:p>
        </w:tc>
      </w:tr>
      <w:tr w:rsidR="003F2129" w:rsidRPr="00DA3766" w14:paraId="712D3511" w14:textId="77777777" w:rsidTr="00DA3766">
        <w:trPr>
          <w:trHeight w:val="397"/>
          <w:jc w:val="center"/>
        </w:trPr>
        <w:tc>
          <w:tcPr>
            <w:tcW w:w="979" w:type="pct"/>
            <w:vAlign w:val="center"/>
          </w:tcPr>
          <w:p w14:paraId="35F292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轨道交通</w:t>
            </w:r>
          </w:p>
        </w:tc>
        <w:tc>
          <w:tcPr>
            <w:tcW w:w="779" w:type="pct"/>
            <w:vAlign w:val="center"/>
          </w:tcPr>
          <w:p w14:paraId="35E3A8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19.59%</w:t>
            </w:r>
          </w:p>
        </w:tc>
        <w:tc>
          <w:tcPr>
            <w:tcW w:w="769" w:type="pct"/>
            <w:vAlign w:val="center"/>
          </w:tcPr>
          <w:p w14:paraId="79CBF0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14:paraId="1FD973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14:paraId="742720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87" w:type="pct"/>
            <w:vAlign w:val="center"/>
          </w:tcPr>
          <w:p w14:paraId="1C07C5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F2129" w:rsidRPr="00DA3766" w14:paraId="229C7ECE" w14:textId="77777777" w:rsidTr="00DA3766">
        <w:trPr>
          <w:trHeight w:val="397"/>
          <w:jc w:val="center"/>
        </w:trPr>
        <w:tc>
          <w:tcPr>
            <w:tcW w:w="979" w:type="pct"/>
            <w:vAlign w:val="center"/>
          </w:tcPr>
          <w:p w14:paraId="6E59CA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电力新能源</w:t>
            </w:r>
          </w:p>
        </w:tc>
        <w:tc>
          <w:tcPr>
            <w:tcW w:w="779" w:type="pct"/>
            <w:vAlign w:val="center"/>
          </w:tcPr>
          <w:p w14:paraId="05C9F85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35.89%</w:t>
            </w:r>
          </w:p>
        </w:tc>
        <w:tc>
          <w:tcPr>
            <w:tcW w:w="769" w:type="pct"/>
            <w:vAlign w:val="center"/>
          </w:tcPr>
          <w:p w14:paraId="304884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14:paraId="690E63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14:paraId="680A49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87" w:type="pct"/>
            <w:vAlign w:val="center"/>
          </w:tcPr>
          <w:p w14:paraId="6D9FB2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F2129" w:rsidRPr="00DA3766" w14:paraId="02EBB51C" w14:textId="77777777" w:rsidTr="00DA3766">
        <w:trPr>
          <w:trHeight w:val="397"/>
          <w:jc w:val="center"/>
        </w:trPr>
        <w:tc>
          <w:tcPr>
            <w:tcW w:w="979" w:type="pct"/>
            <w:vAlign w:val="center"/>
          </w:tcPr>
          <w:p w14:paraId="68B96E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lang w:bidi="ar"/>
                <w14:ligatures w14:val="standardContextual"/>
              </w:rPr>
              <w:t>综合毛利率</w:t>
            </w:r>
          </w:p>
        </w:tc>
        <w:tc>
          <w:tcPr>
            <w:tcW w:w="779" w:type="pct"/>
            <w:vAlign w:val="center"/>
          </w:tcPr>
          <w:p w14:paraId="2CC520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13.18%</w:t>
            </w:r>
          </w:p>
        </w:tc>
        <w:tc>
          <w:tcPr>
            <w:tcW w:w="769" w:type="pct"/>
            <w:vAlign w:val="center"/>
          </w:tcPr>
          <w:p w14:paraId="218EBB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-7.06%</w:t>
            </w:r>
          </w:p>
        </w:tc>
        <w:tc>
          <w:tcPr>
            <w:tcW w:w="781" w:type="pct"/>
            <w:vAlign w:val="center"/>
          </w:tcPr>
          <w:p w14:paraId="7BC5F0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w:t>
            </w:r>
          </w:p>
        </w:tc>
        <w:tc>
          <w:tcPr>
            <w:tcW w:w="906" w:type="pct"/>
            <w:vAlign w:val="center"/>
          </w:tcPr>
          <w:p w14:paraId="73A33F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-2.29%</w:t>
            </w:r>
          </w:p>
        </w:tc>
        <w:tc>
          <w:tcPr>
            <w:tcW w:w="787" w:type="pct"/>
            <w:vAlign w:val="center"/>
          </w:tcPr>
          <w:p w14:paraId="58D1C7D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22.53%</w:t>
            </w:r>
          </w:p>
        </w:tc>
      </w:tr>
    </w:tbl>
    <w:p w14:paraId="278FA347" w14:textId="27EBD35C"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年度，上市公司综合毛利率分别为</w:t>
      </w:r>
      <w:r w:rsidRPr="00DA3766">
        <w:rPr>
          <w:rFonts w:ascii="Times New Roman" w:hAnsi="Times New Roman" w:cs="Times New Roman"/>
        </w:rPr>
        <w:t>22.53%</w:t>
      </w:r>
      <w:r w:rsidRPr="00DA3766">
        <w:rPr>
          <w:rFonts w:ascii="Times New Roman" w:hAnsi="Times New Roman" w:cs="Times New Roman"/>
        </w:rPr>
        <w:t>、</w:t>
      </w:r>
      <w:r w:rsidRPr="00DA3766">
        <w:rPr>
          <w:rFonts w:ascii="Times New Roman" w:hAnsi="Times New Roman" w:cs="Times New Roman"/>
        </w:rPr>
        <w:t>20.24%</w:t>
      </w:r>
      <w:r w:rsidRPr="00DA3766">
        <w:rPr>
          <w:rFonts w:ascii="Times New Roman" w:hAnsi="Times New Roman" w:cs="Times New Roman"/>
        </w:rPr>
        <w:t>、</w:t>
      </w:r>
      <w:r w:rsidRPr="00DA3766">
        <w:rPr>
          <w:rFonts w:ascii="Times New Roman" w:hAnsi="Times New Roman" w:cs="Times New Roman"/>
        </w:rPr>
        <w:t>13.18%</w:t>
      </w:r>
      <w:r w:rsidRPr="00DA3766">
        <w:rPr>
          <w:rFonts w:ascii="Times New Roman" w:hAnsi="Times New Roman" w:cs="Times New Roman"/>
        </w:rPr>
        <w:t>，其中，</w:t>
      </w:r>
      <w:r w:rsidRPr="00DA3766">
        <w:rPr>
          <w:rFonts w:ascii="Times New Roman" w:hAnsi="Times New Roman" w:cs="Times New Roman"/>
        </w:rPr>
        <w:t>2023</w:t>
      </w:r>
      <w:r w:rsidRPr="00DA3766">
        <w:rPr>
          <w:rFonts w:ascii="Times New Roman" w:hAnsi="Times New Roman" w:cs="Times New Roman"/>
        </w:rPr>
        <w:t>年上市公司综合毛利率相较于</w:t>
      </w:r>
      <w:r w:rsidRPr="00DA3766">
        <w:rPr>
          <w:rFonts w:ascii="Times New Roman" w:hAnsi="Times New Roman" w:cs="Times New Roman"/>
        </w:rPr>
        <w:t>2022</w:t>
      </w:r>
      <w:r w:rsidRPr="00DA3766">
        <w:rPr>
          <w:rFonts w:ascii="Times New Roman" w:hAnsi="Times New Roman" w:cs="Times New Roman"/>
        </w:rPr>
        <w:t>年下降</w:t>
      </w:r>
      <w:r w:rsidRPr="00DA3766">
        <w:rPr>
          <w:rFonts w:ascii="Times New Roman" w:hAnsi="Times New Roman" w:cs="Times New Roman"/>
        </w:rPr>
        <w:t>2.29%</w:t>
      </w:r>
      <w:r w:rsidRPr="00DA3766">
        <w:rPr>
          <w:rFonts w:ascii="Times New Roman" w:hAnsi="Times New Roman" w:cs="Times New Roman"/>
        </w:rPr>
        <w:t>，主要系智慧政务业务受到</w:t>
      </w:r>
      <w:r w:rsidR="00F508B8" w:rsidRPr="00DA3766">
        <w:rPr>
          <w:rFonts w:ascii="Times New Roman" w:hAnsi="Times New Roman" w:cs="Times New Roman"/>
        </w:rPr>
        <w:t>地方客户</w:t>
      </w:r>
      <w:r w:rsidRPr="00DA3766">
        <w:rPr>
          <w:rFonts w:ascii="Times New Roman" w:hAnsi="Times New Roman" w:cs="Times New Roman"/>
        </w:rPr>
        <w:t>财政资金紧张</w:t>
      </w:r>
      <w:r w:rsidR="00F508B8" w:rsidRPr="00DA3766">
        <w:rPr>
          <w:rFonts w:ascii="Times New Roman" w:hAnsi="Times New Roman" w:cs="Times New Roman"/>
        </w:rPr>
        <w:t>及行业竞争加剧的</w:t>
      </w:r>
      <w:r w:rsidRPr="00DA3766">
        <w:rPr>
          <w:rFonts w:ascii="Times New Roman" w:hAnsi="Times New Roman" w:cs="Times New Roman"/>
        </w:rPr>
        <w:t>影响，毛利率下降</w:t>
      </w:r>
      <w:r w:rsidRPr="00DA3766">
        <w:rPr>
          <w:rFonts w:ascii="Times New Roman" w:hAnsi="Times New Roman" w:cs="Times New Roman"/>
        </w:rPr>
        <w:t>6.50%</w:t>
      </w:r>
      <w:r w:rsidRPr="00DA3766">
        <w:rPr>
          <w:rFonts w:ascii="Times New Roman" w:hAnsi="Times New Roman" w:cs="Times New Roman"/>
        </w:rPr>
        <w:t>所致。</w:t>
      </w:r>
    </w:p>
    <w:p w14:paraId="4C77A5CC" w14:textId="4744C541"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年，上市公司综合毛利率相较于</w:t>
      </w:r>
      <w:r w:rsidRPr="00DA3766">
        <w:rPr>
          <w:rFonts w:ascii="Times New Roman" w:hAnsi="Times New Roman" w:cs="Times New Roman"/>
        </w:rPr>
        <w:t>2023</w:t>
      </w:r>
      <w:r w:rsidRPr="00DA3766">
        <w:rPr>
          <w:rFonts w:ascii="Times New Roman" w:hAnsi="Times New Roman" w:cs="Times New Roman"/>
        </w:rPr>
        <w:t>年下降</w:t>
      </w:r>
      <w:r w:rsidRPr="00DA3766">
        <w:rPr>
          <w:rFonts w:ascii="Times New Roman" w:hAnsi="Times New Roman" w:cs="Times New Roman"/>
        </w:rPr>
        <w:t>7.06%</w:t>
      </w:r>
      <w:r w:rsidRPr="00DA3766">
        <w:rPr>
          <w:rFonts w:ascii="Times New Roman" w:hAnsi="Times New Roman" w:cs="Times New Roman"/>
        </w:rPr>
        <w:t>，主要系</w:t>
      </w:r>
      <w:r w:rsidR="00F508B8" w:rsidRPr="00DA3766">
        <w:rPr>
          <w:rFonts w:ascii="Times New Roman" w:hAnsi="Times New Roman" w:cs="Times New Roman"/>
        </w:rPr>
        <w:t>受客户财政资金压力进一步加大</w:t>
      </w:r>
      <w:r w:rsidRPr="00DA3766">
        <w:rPr>
          <w:rFonts w:ascii="Times New Roman" w:hAnsi="Times New Roman" w:cs="Times New Roman"/>
        </w:rPr>
        <w:t>，智慧城市业务毛利率下降，其中智慧政务下降较为显著，带动</w:t>
      </w:r>
      <w:r w:rsidRPr="00DA3766">
        <w:rPr>
          <w:rFonts w:ascii="Times New Roman" w:hAnsi="Times New Roman" w:cs="Times New Roman"/>
        </w:rPr>
        <w:t>2024</w:t>
      </w:r>
      <w:r w:rsidRPr="00DA3766">
        <w:rPr>
          <w:rFonts w:ascii="Times New Roman" w:hAnsi="Times New Roman" w:cs="Times New Roman"/>
        </w:rPr>
        <w:t>年综合毛利率下降，下降趋势主要受行业特性影响，对比可比公司近两期毛利率趋势变动情况，上市公司趋势与可比公司相同，变动幅度略高于行业平均数，详见下表：</w:t>
      </w:r>
    </w:p>
    <w:p w14:paraId="25206D23"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446"/>
        <w:gridCol w:w="1181"/>
        <w:gridCol w:w="1277"/>
        <w:gridCol w:w="1180"/>
        <w:gridCol w:w="1133"/>
        <w:gridCol w:w="1180"/>
        <w:gridCol w:w="1131"/>
      </w:tblGrid>
      <w:tr w:rsidR="003F2129" w:rsidRPr="00DA3766" w14:paraId="7706E9C2" w14:textId="77777777" w:rsidTr="00DA3766">
        <w:trPr>
          <w:trHeight w:val="397"/>
          <w:tblHeader/>
          <w:jc w:val="center"/>
        </w:trPr>
        <w:tc>
          <w:tcPr>
            <w:tcW w:w="847" w:type="pct"/>
            <w:vMerge w:val="restart"/>
            <w:shd w:val="solid" w:color="FFFFFF" w:fill="FFFFFF"/>
            <w:vAlign w:val="center"/>
          </w:tcPr>
          <w:p w14:paraId="68078C0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公司名称</w:t>
            </w:r>
          </w:p>
        </w:tc>
        <w:tc>
          <w:tcPr>
            <w:tcW w:w="1441" w:type="pct"/>
            <w:gridSpan w:val="2"/>
            <w:shd w:val="solid" w:color="FFFFFF" w:fill="FFFFFF"/>
            <w:vAlign w:val="center"/>
          </w:tcPr>
          <w:p w14:paraId="0493470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2024</w:t>
            </w:r>
            <w:r w:rsidRPr="00DA3766">
              <w:rPr>
                <w:rFonts w:ascii="Times New Roman" w:hAnsi="Times New Roman" w:cs="Times New Roman"/>
                <w:b/>
                <w:color w:val="000000"/>
                <w:kern w:val="2"/>
                <w:sz w:val="21"/>
                <w:szCs w:val="21"/>
                <w14:ligatures w14:val="standardContextual"/>
              </w:rPr>
              <w:t>年度</w:t>
            </w:r>
          </w:p>
        </w:tc>
        <w:tc>
          <w:tcPr>
            <w:tcW w:w="1356" w:type="pct"/>
            <w:gridSpan w:val="2"/>
            <w:shd w:val="solid" w:color="FFFFFF" w:fill="FFFFFF"/>
            <w:vAlign w:val="center"/>
          </w:tcPr>
          <w:p w14:paraId="2119902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2023</w:t>
            </w:r>
            <w:r w:rsidRPr="00DA3766">
              <w:rPr>
                <w:rFonts w:ascii="Times New Roman" w:hAnsi="Times New Roman" w:cs="Times New Roman"/>
                <w:b/>
                <w:color w:val="000000"/>
                <w:kern w:val="2"/>
                <w:sz w:val="21"/>
                <w:szCs w:val="21"/>
                <w14:ligatures w14:val="standardContextual"/>
              </w:rPr>
              <w:t>年度</w:t>
            </w:r>
          </w:p>
        </w:tc>
        <w:tc>
          <w:tcPr>
            <w:tcW w:w="1355" w:type="pct"/>
            <w:gridSpan w:val="2"/>
            <w:shd w:val="solid" w:color="FFFFFF" w:fill="FFFFFF"/>
            <w:vAlign w:val="center"/>
          </w:tcPr>
          <w:p w14:paraId="6CBBAD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2022</w:t>
            </w:r>
            <w:r w:rsidRPr="00DA3766">
              <w:rPr>
                <w:rFonts w:ascii="Times New Roman" w:hAnsi="Times New Roman" w:cs="Times New Roman"/>
                <w:b/>
                <w:color w:val="000000"/>
                <w:kern w:val="2"/>
                <w:sz w:val="21"/>
                <w:szCs w:val="21"/>
                <w14:ligatures w14:val="standardContextual"/>
              </w:rPr>
              <w:t>年</w:t>
            </w:r>
          </w:p>
        </w:tc>
      </w:tr>
      <w:tr w:rsidR="003F2129" w:rsidRPr="00DA3766" w14:paraId="10D8D34B" w14:textId="77777777" w:rsidTr="00DA3766">
        <w:trPr>
          <w:trHeight w:val="397"/>
          <w:tblHeader/>
          <w:jc w:val="center"/>
        </w:trPr>
        <w:tc>
          <w:tcPr>
            <w:tcW w:w="847" w:type="pct"/>
            <w:vMerge/>
            <w:shd w:val="solid" w:color="FFFFFF" w:fill="FFFFFF"/>
            <w:vAlign w:val="center"/>
          </w:tcPr>
          <w:p w14:paraId="5F42AD7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p>
        </w:tc>
        <w:tc>
          <w:tcPr>
            <w:tcW w:w="692" w:type="pct"/>
            <w:shd w:val="solid" w:color="FFFFFF" w:fill="FFFFFF"/>
            <w:vAlign w:val="center"/>
          </w:tcPr>
          <w:p w14:paraId="1C0671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749" w:type="pct"/>
            <w:shd w:val="solid" w:color="FFFFFF" w:fill="FFFFFF"/>
            <w:vAlign w:val="center"/>
          </w:tcPr>
          <w:p w14:paraId="3E3ED93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14:paraId="0C20905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664" w:type="pct"/>
            <w:shd w:val="solid" w:color="FFFFFF" w:fill="FFFFFF"/>
            <w:vAlign w:val="center"/>
          </w:tcPr>
          <w:p w14:paraId="584D2BC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14:paraId="2395153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663" w:type="pct"/>
            <w:shd w:val="solid" w:color="FFFFFF" w:fill="FFFFFF"/>
            <w:vAlign w:val="center"/>
          </w:tcPr>
          <w:p w14:paraId="295A862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r>
      <w:tr w:rsidR="003F2129" w:rsidRPr="00DA3766" w14:paraId="54F60D82" w14:textId="77777777" w:rsidTr="00DA3766">
        <w:trPr>
          <w:trHeight w:val="397"/>
          <w:jc w:val="center"/>
        </w:trPr>
        <w:tc>
          <w:tcPr>
            <w:tcW w:w="847" w:type="pct"/>
            <w:shd w:val="solid" w:color="FFFFFF" w:fill="FFFFFF"/>
            <w:vAlign w:val="center"/>
          </w:tcPr>
          <w:p w14:paraId="692EB1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信息发展</w:t>
            </w:r>
          </w:p>
        </w:tc>
        <w:tc>
          <w:tcPr>
            <w:tcW w:w="692" w:type="pct"/>
            <w:shd w:val="solid" w:color="FFFFFF" w:fill="FFFFFF"/>
            <w:vAlign w:val="center"/>
          </w:tcPr>
          <w:p w14:paraId="3F5399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17.16%</w:t>
            </w:r>
          </w:p>
        </w:tc>
        <w:tc>
          <w:tcPr>
            <w:tcW w:w="749" w:type="pct"/>
            <w:shd w:val="solid" w:color="FFFFFF" w:fill="FFFFFF"/>
            <w:vAlign w:val="center"/>
          </w:tcPr>
          <w:p w14:paraId="053F4E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-2.38%</w:t>
            </w:r>
          </w:p>
        </w:tc>
        <w:tc>
          <w:tcPr>
            <w:tcW w:w="692" w:type="pct"/>
            <w:shd w:val="solid" w:color="FFFFFF" w:fill="FFFFFF"/>
            <w:vAlign w:val="center"/>
          </w:tcPr>
          <w:p w14:paraId="68C08F5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19.55%</w:t>
            </w:r>
          </w:p>
        </w:tc>
        <w:tc>
          <w:tcPr>
            <w:tcW w:w="664" w:type="pct"/>
            <w:shd w:val="solid" w:color="FFFFFF" w:fill="FFFFFF"/>
            <w:vAlign w:val="center"/>
          </w:tcPr>
          <w:p w14:paraId="3E487C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-5.77%</w:t>
            </w:r>
          </w:p>
        </w:tc>
        <w:tc>
          <w:tcPr>
            <w:tcW w:w="692" w:type="pct"/>
            <w:shd w:val="solid" w:color="FFFFFF" w:fill="FFFFFF"/>
            <w:vAlign w:val="center"/>
          </w:tcPr>
          <w:p w14:paraId="7DDF66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25.32%</w:t>
            </w:r>
          </w:p>
        </w:tc>
        <w:tc>
          <w:tcPr>
            <w:tcW w:w="663" w:type="pct"/>
            <w:shd w:val="solid" w:color="FFFFFF" w:fill="FFFFFF"/>
            <w:vAlign w:val="center"/>
          </w:tcPr>
          <w:p w14:paraId="7E671D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0.65%</w:t>
            </w:r>
          </w:p>
        </w:tc>
      </w:tr>
      <w:tr w:rsidR="003F2129" w:rsidRPr="00DA3766" w14:paraId="2609B58C" w14:textId="77777777" w:rsidTr="00DA3766">
        <w:trPr>
          <w:trHeight w:val="397"/>
          <w:jc w:val="center"/>
        </w:trPr>
        <w:tc>
          <w:tcPr>
            <w:tcW w:w="847" w:type="pct"/>
            <w:shd w:val="solid" w:color="FFFFFF" w:fill="FFFFFF"/>
            <w:vAlign w:val="center"/>
          </w:tcPr>
          <w:p w14:paraId="7E7120A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佳发教育</w:t>
            </w:r>
          </w:p>
        </w:tc>
        <w:tc>
          <w:tcPr>
            <w:tcW w:w="692" w:type="pct"/>
            <w:shd w:val="solid" w:color="FFFFFF" w:fill="FFFFFF"/>
            <w:vAlign w:val="center"/>
          </w:tcPr>
          <w:p w14:paraId="54FE53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51.43%</w:t>
            </w:r>
          </w:p>
        </w:tc>
        <w:tc>
          <w:tcPr>
            <w:tcW w:w="749" w:type="pct"/>
            <w:shd w:val="solid" w:color="FFFFFF" w:fill="FFFFFF"/>
            <w:vAlign w:val="center"/>
          </w:tcPr>
          <w:p w14:paraId="3BE0BA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-0.32%</w:t>
            </w:r>
          </w:p>
        </w:tc>
        <w:tc>
          <w:tcPr>
            <w:tcW w:w="692" w:type="pct"/>
            <w:shd w:val="solid" w:color="FFFFFF" w:fill="FFFFFF"/>
            <w:vAlign w:val="center"/>
          </w:tcPr>
          <w:p w14:paraId="37563BF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51.75%</w:t>
            </w:r>
          </w:p>
        </w:tc>
        <w:tc>
          <w:tcPr>
            <w:tcW w:w="664" w:type="pct"/>
            <w:shd w:val="solid" w:color="FFFFFF" w:fill="FFFFFF"/>
            <w:vAlign w:val="center"/>
          </w:tcPr>
          <w:p w14:paraId="024718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-2.06%</w:t>
            </w:r>
          </w:p>
        </w:tc>
        <w:tc>
          <w:tcPr>
            <w:tcW w:w="692" w:type="pct"/>
            <w:shd w:val="solid" w:color="FFFFFF" w:fill="FFFFFF"/>
            <w:vAlign w:val="center"/>
          </w:tcPr>
          <w:p w14:paraId="7C91E7F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53.81%</w:t>
            </w:r>
          </w:p>
        </w:tc>
        <w:tc>
          <w:tcPr>
            <w:tcW w:w="663" w:type="pct"/>
            <w:shd w:val="solid" w:color="FFFFFF" w:fill="FFFFFF"/>
            <w:vAlign w:val="center"/>
          </w:tcPr>
          <w:p w14:paraId="047C0C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-3.84%</w:t>
            </w:r>
          </w:p>
        </w:tc>
      </w:tr>
      <w:tr w:rsidR="003F2129" w:rsidRPr="00DA3766" w14:paraId="7D6B6156" w14:textId="77777777" w:rsidTr="00DA3766">
        <w:trPr>
          <w:trHeight w:val="397"/>
          <w:jc w:val="center"/>
        </w:trPr>
        <w:tc>
          <w:tcPr>
            <w:tcW w:w="847" w:type="pct"/>
            <w:shd w:val="solid" w:color="FFFFFF" w:fill="FFFFFF"/>
            <w:vAlign w:val="center"/>
          </w:tcPr>
          <w:p w14:paraId="5D868B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开普云</w:t>
            </w:r>
          </w:p>
        </w:tc>
        <w:tc>
          <w:tcPr>
            <w:tcW w:w="692" w:type="pct"/>
            <w:shd w:val="solid" w:color="FFFFFF" w:fill="FFFFFF"/>
            <w:vAlign w:val="center"/>
          </w:tcPr>
          <w:p w14:paraId="0DA5B7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37.51%</w:t>
            </w:r>
          </w:p>
        </w:tc>
        <w:tc>
          <w:tcPr>
            <w:tcW w:w="749" w:type="pct"/>
            <w:shd w:val="solid" w:color="FFFFFF" w:fill="FFFFFF"/>
            <w:vAlign w:val="center"/>
          </w:tcPr>
          <w:p w14:paraId="297066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-5.29%</w:t>
            </w:r>
          </w:p>
        </w:tc>
        <w:tc>
          <w:tcPr>
            <w:tcW w:w="692" w:type="pct"/>
            <w:shd w:val="solid" w:color="FFFFFF" w:fill="FFFFFF"/>
            <w:vAlign w:val="center"/>
          </w:tcPr>
          <w:p w14:paraId="580CB4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42.80%</w:t>
            </w:r>
          </w:p>
        </w:tc>
        <w:tc>
          <w:tcPr>
            <w:tcW w:w="664" w:type="pct"/>
            <w:shd w:val="solid" w:color="FFFFFF" w:fill="FFFFFF"/>
            <w:vAlign w:val="center"/>
          </w:tcPr>
          <w:p w14:paraId="7A7DF80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-0.74%</w:t>
            </w:r>
          </w:p>
        </w:tc>
        <w:tc>
          <w:tcPr>
            <w:tcW w:w="692" w:type="pct"/>
            <w:shd w:val="solid" w:color="FFFFFF" w:fill="FFFFFF"/>
            <w:vAlign w:val="center"/>
          </w:tcPr>
          <w:p w14:paraId="4DA0B75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43.54%</w:t>
            </w:r>
          </w:p>
        </w:tc>
        <w:tc>
          <w:tcPr>
            <w:tcW w:w="663" w:type="pct"/>
            <w:shd w:val="solid" w:color="FFFFFF" w:fill="FFFFFF"/>
            <w:vAlign w:val="center"/>
          </w:tcPr>
          <w:p w14:paraId="29A6C1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-1.18%</w:t>
            </w:r>
          </w:p>
        </w:tc>
      </w:tr>
      <w:tr w:rsidR="003F2129" w:rsidRPr="00DA3766" w14:paraId="121D99D8" w14:textId="77777777" w:rsidTr="00DA3766">
        <w:trPr>
          <w:trHeight w:val="397"/>
          <w:jc w:val="center"/>
        </w:trPr>
        <w:tc>
          <w:tcPr>
            <w:tcW w:w="847" w:type="pct"/>
            <w:shd w:val="solid" w:color="FFFFFF" w:fill="FFFFFF"/>
            <w:vAlign w:val="center"/>
          </w:tcPr>
          <w:p w14:paraId="1B822D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杰创智能</w:t>
            </w:r>
          </w:p>
        </w:tc>
        <w:tc>
          <w:tcPr>
            <w:tcW w:w="692" w:type="pct"/>
            <w:shd w:val="solid" w:color="FFFFFF" w:fill="FFFFFF"/>
            <w:vAlign w:val="center"/>
          </w:tcPr>
          <w:p w14:paraId="6C0C312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15.34%</w:t>
            </w:r>
          </w:p>
        </w:tc>
        <w:tc>
          <w:tcPr>
            <w:tcW w:w="749" w:type="pct"/>
            <w:shd w:val="solid" w:color="FFFFFF" w:fill="FFFFFF"/>
            <w:vAlign w:val="center"/>
          </w:tcPr>
          <w:p w14:paraId="2AC761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-3.99%</w:t>
            </w:r>
          </w:p>
        </w:tc>
        <w:tc>
          <w:tcPr>
            <w:tcW w:w="692" w:type="pct"/>
            <w:shd w:val="solid" w:color="FFFFFF" w:fill="FFFFFF"/>
            <w:vAlign w:val="center"/>
          </w:tcPr>
          <w:p w14:paraId="3DFA9A3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19.33%</w:t>
            </w:r>
          </w:p>
        </w:tc>
        <w:tc>
          <w:tcPr>
            <w:tcW w:w="664" w:type="pct"/>
            <w:shd w:val="solid" w:color="FFFFFF" w:fill="FFFFFF"/>
            <w:vAlign w:val="center"/>
          </w:tcPr>
          <w:p w14:paraId="51F9FEB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-7.05%</w:t>
            </w:r>
          </w:p>
        </w:tc>
        <w:tc>
          <w:tcPr>
            <w:tcW w:w="692" w:type="pct"/>
            <w:shd w:val="solid" w:color="FFFFFF" w:fill="FFFFFF"/>
            <w:vAlign w:val="center"/>
          </w:tcPr>
          <w:p w14:paraId="7EACFC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26.37%</w:t>
            </w:r>
          </w:p>
        </w:tc>
        <w:tc>
          <w:tcPr>
            <w:tcW w:w="663" w:type="pct"/>
            <w:shd w:val="solid" w:color="FFFFFF" w:fill="FFFFFF"/>
            <w:vAlign w:val="center"/>
          </w:tcPr>
          <w:p w14:paraId="4D4CB0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-1.47%</w:t>
            </w:r>
          </w:p>
        </w:tc>
      </w:tr>
      <w:tr w:rsidR="003F2129" w:rsidRPr="00DA3766" w14:paraId="10640CA5" w14:textId="77777777" w:rsidTr="00DA3766">
        <w:trPr>
          <w:trHeight w:val="397"/>
          <w:jc w:val="center"/>
        </w:trPr>
        <w:tc>
          <w:tcPr>
            <w:tcW w:w="847" w:type="pct"/>
            <w:shd w:val="solid" w:color="FFFFFF" w:fill="FFFFFF"/>
            <w:vAlign w:val="center"/>
          </w:tcPr>
          <w:p w14:paraId="14A3A2A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宏景科技</w:t>
            </w:r>
          </w:p>
        </w:tc>
        <w:tc>
          <w:tcPr>
            <w:tcW w:w="692" w:type="pct"/>
            <w:shd w:val="solid" w:color="FFFFFF" w:fill="FFFFFF"/>
            <w:vAlign w:val="center"/>
          </w:tcPr>
          <w:p w14:paraId="64A48A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12.23%</w:t>
            </w:r>
          </w:p>
        </w:tc>
        <w:tc>
          <w:tcPr>
            <w:tcW w:w="749" w:type="pct"/>
            <w:shd w:val="solid" w:color="FFFFFF" w:fill="FFFFFF"/>
            <w:vAlign w:val="center"/>
          </w:tcPr>
          <w:p w14:paraId="1773B7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-11.56%</w:t>
            </w:r>
          </w:p>
        </w:tc>
        <w:tc>
          <w:tcPr>
            <w:tcW w:w="692" w:type="pct"/>
            <w:shd w:val="solid" w:color="FFFFFF" w:fill="FFFFFF"/>
            <w:vAlign w:val="center"/>
          </w:tcPr>
          <w:p w14:paraId="4D44B2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23.79%</w:t>
            </w:r>
          </w:p>
        </w:tc>
        <w:tc>
          <w:tcPr>
            <w:tcW w:w="664" w:type="pct"/>
            <w:shd w:val="solid" w:color="FFFFFF" w:fill="FFFFFF"/>
            <w:vAlign w:val="center"/>
          </w:tcPr>
          <w:p w14:paraId="5F8B04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-3.81%</w:t>
            </w:r>
          </w:p>
        </w:tc>
        <w:tc>
          <w:tcPr>
            <w:tcW w:w="692" w:type="pct"/>
            <w:shd w:val="solid" w:color="FFFFFF" w:fill="FFFFFF"/>
            <w:vAlign w:val="center"/>
          </w:tcPr>
          <w:p w14:paraId="732E55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27.60%</w:t>
            </w:r>
          </w:p>
        </w:tc>
        <w:tc>
          <w:tcPr>
            <w:tcW w:w="663" w:type="pct"/>
            <w:shd w:val="solid" w:color="FFFFFF" w:fill="FFFFFF"/>
            <w:vAlign w:val="center"/>
          </w:tcPr>
          <w:p w14:paraId="538E2D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-0.38%</w:t>
            </w:r>
          </w:p>
        </w:tc>
      </w:tr>
      <w:tr w:rsidR="003F2129" w:rsidRPr="00DA3766" w14:paraId="62473C7D" w14:textId="77777777" w:rsidTr="00DA3766">
        <w:trPr>
          <w:trHeight w:val="397"/>
          <w:jc w:val="center"/>
        </w:trPr>
        <w:tc>
          <w:tcPr>
            <w:tcW w:w="847" w:type="pct"/>
            <w:shd w:val="solid" w:color="FFFFFF" w:fill="FFFFFF"/>
            <w:vAlign w:val="center"/>
          </w:tcPr>
          <w:p w14:paraId="6945C8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恒锋信息</w:t>
            </w:r>
          </w:p>
        </w:tc>
        <w:tc>
          <w:tcPr>
            <w:tcW w:w="692" w:type="pct"/>
            <w:shd w:val="solid" w:color="FFFFFF" w:fill="FFFFFF"/>
            <w:vAlign w:val="center"/>
          </w:tcPr>
          <w:p w14:paraId="351C01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18.64%</w:t>
            </w:r>
          </w:p>
        </w:tc>
        <w:tc>
          <w:tcPr>
            <w:tcW w:w="749" w:type="pct"/>
            <w:shd w:val="solid" w:color="FFFFFF" w:fill="FFFFFF"/>
            <w:vAlign w:val="center"/>
          </w:tcPr>
          <w:p w14:paraId="0E7BA8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-7.15%</w:t>
            </w:r>
          </w:p>
        </w:tc>
        <w:tc>
          <w:tcPr>
            <w:tcW w:w="692" w:type="pct"/>
            <w:shd w:val="solid" w:color="FFFFFF" w:fill="FFFFFF"/>
            <w:vAlign w:val="center"/>
          </w:tcPr>
          <w:p w14:paraId="39056F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25.79%</w:t>
            </w:r>
          </w:p>
        </w:tc>
        <w:tc>
          <w:tcPr>
            <w:tcW w:w="664" w:type="pct"/>
            <w:shd w:val="solid" w:color="FFFFFF" w:fill="FFFFFF"/>
            <w:vAlign w:val="center"/>
          </w:tcPr>
          <w:p w14:paraId="20897E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0.21%</w:t>
            </w:r>
          </w:p>
        </w:tc>
        <w:tc>
          <w:tcPr>
            <w:tcW w:w="692" w:type="pct"/>
            <w:shd w:val="solid" w:color="FFFFFF" w:fill="FFFFFF"/>
            <w:vAlign w:val="center"/>
          </w:tcPr>
          <w:p w14:paraId="55D18FA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25.58%</w:t>
            </w:r>
          </w:p>
        </w:tc>
        <w:tc>
          <w:tcPr>
            <w:tcW w:w="663" w:type="pct"/>
            <w:shd w:val="solid" w:color="FFFFFF" w:fill="FFFFFF"/>
            <w:vAlign w:val="center"/>
          </w:tcPr>
          <w:p w14:paraId="6380E1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2.04%</w:t>
            </w:r>
          </w:p>
        </w:tc>
      </w:tr>
      <w:tr w:rsidR="003F2129" w:rsidRPr="00DA3766" w14:paraId="46185D34" w14:textId="77777777" w:rsidTr="00DA3766">
        <w:trPr>
          <w:trHeight w:val="397"/>
          <w:jc w:val="center"/>
        </w:trPr>
        <w:tc>
          <w:tcPr>
            <w:tcW w:w="847" w:type="pct"/>
            <w:shd w:val="solid" w:color="FFFFFF" w:fill="FFFFFF"/>
            <w:vAlign w:val="center"/>
          </w:tcPr>
          <w:p w14:paraId="61E876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浪潮软件</w:t>
            </w:r>
          </w:p>
        </w:tc>
        <w:tc>
          <w:tcPr>
            <w:tcW w:w="692" w:type="pct"/>
            <w:shd w:val="solid" w:color="FFFFFF" w:fill="FFFFFF"/>
            <w:vAlign w:val="center"/>
          </w:tcPr>
          <w:p w14:paraId="2E09A1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39.15%</w:t>
            </w:r>
          </w:p>
        </w:tc>
        <w:tc>
          <w:tcPr>
            <w:tcW w:w="749" w:type="pct"/>
            <w:shd w:val="solid" w:color="FFFFFF" w:fill="FFFFFF"/>
            <w:vAlign w:val="center"/>
          </w:tcPr>
          <w:p w14:paraId="42928F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4.71%</w:t>
            </w:r>
          </w:p>
        </w:tc>
        <w:tc>
          <w:tcPr>
            <w:tcW w:w="692" w:type="pct"/>
            <w:shd w:val="solid" w:color="FFFFFF" w:fill="FFFFFF"/>
            <w:vAlign w:val="center"/>
          </w:tcPr>
          <w:p w14:paraId="0B9C8A6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34.44%</w:t>
            </w:r>
          </w:p>
        </w:tc>
        <w:tc>
          <w:tcPr>
            <w:tcW w:w="664" w:type="pct"/>
            <w:shd w:val="solid" w:color="FFFFFF" w:fill="FFFFFF"/>
            <w:vAlign w:val="center"/>
          </w:tcPr>
          <w:p w14:paraId="0F772B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3.07%</w:t>
            </w:r>
          </w:p>
        </w:tc>
        <w:tc>
          <w:tcPr>
            <w:tcW w:w="692" w:type="pct"/>
            <w:shd w:val="solid" w:color="FFFFFF" w:fill="FFFFFF"/>
            <w:vAlign w:val="center"/>
          </w:tcPr>
          <w:p w14:paraId="69DBE8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31.37%</w:t>
            </w:r>
          </w:p>
        </w:tc>
        <w:tc>
          <w:tcPr>
            <w:tcW w:w="663" w:type="pct"/>
            <w:shd w:val="solid" w:color="FFFFFF" w:fill="FFFFFF"/>
            <w:vAlign w:val="center"/>
          </w:tcPr>
          <w:p w14:paraId="3465F2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-2.66%</w:t>
            </w:r>
          </w:p>
        </w:tc>
      </w:tr>
      <w:tr w:rsidR="003F2129" w:rsidRPr="00DA3766" w14:paraId="23F08497" w14:textId="77777777" w:rsidTr="00DA3766">
        <w:trPr>
          <w:trHeight w:val="397"/>
          <w:jc w:val="center"/>
        </w:trPr>
        <w:tc>
          <w:tcPr>
            <w:tcW w:w="847" w:type="pct"/>
            <w:shd w:val="solid" w:color="FFFFFF" w:fill="FFFFFF"/>
            <w:vAlign w:val="center"/>
          </w:tcPr>
          <w:p w14:paraId="2FBC5F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平均值</w:t>
            </w:r>
          </w:p>
        </w:tc>
        <w:tc>
          <w:tcPr>
            <w:tcW w:w="692" w:type="pct"/>
            <w:shd w:val="solid" w:color="FFFFFF" w:fill="FFFFFF"/>
            <w:vAlign w:val="center"/>
          </w:tcPr>
          <w:p w14:paraId="689FA9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27.35%</w:t>
            </w:r>
          </w:p>
        </w:tc>
        <w:tc>
          <w:tcPr>
            <w:tcW w:w="749" w:type="pct"/>
            <w:shd w:val="solid" w:color="FFFFFF" w:fill="FFFFFF"/>
            <w:vAlign w:val="center"/>
          </w:tcPr>
          <w:p w14:paraId="5038EEC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-3.71%</w:t>
            </w:r>
          </w:p>
        </w:tc>
        <w:tc>
          <w:tcPr>
            <w:tcW w:w="692" w:type="pct"/>
            <w:shd w:val="solid" w:color="FFFFFF" w:fill="FFFFFF"/>
            <w:vAlign w:val="center"/>
          </w:tcPr>
          <w:p w14:paraId="332E011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31.06%</w:t>
            </w:r>
          </w:p>
        </w:tc>
        <w:tc>
          <w:tcPr>
            <w:tcW w:w="664" w:type="pct"/>
            <w:shd w:val="solid" w:color="FFFFFF" w:fill="FFFFFF"/>
            <w:vAlign w:val="center"/>
          </w:tcPr>
          <w:p w14:paraId="06EDC32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-2.31%</w:t>
            </w:r>
          </w:p>
        </w:tc>
        <w:tc>
          <w:tcPr>
            <w:tcW w:w="692" w:type="pct"/>
            <w:shd w:val="solid" w:color="FFFFFF" w:fill="FFFFFF"/>
            <w:vAlign w:val="center"/>
          </w:tcPr>
          <w:p w14:paraId="6A646E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33.37%</w:t>
            </w:r>
          </w:p>
        </w:tc>
        <w:tc>
          <w:tcPr>
            <w:tcW w:w="663" w:type="pct"/>
            <w:shd w:val="solid" w:color="FFFFFF" w:fill="FFFFFF"/>
            <w:vAlign w:val="center"/>
          </w:tcPr>
          <w:p w14:paraId="29E3D1B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-0.98%</w:t>
            </w:r>
          </w:p>
        </w:tc>
      </w:tr>
      <w:tr w:rsidR="003F2129" w:rsidRPr="00DA3766" w14:paraId="6350CA67" w14:textId="77777777" w:rsidTr="00DA3766">
        <w:trPr>
          <w:trHeight w:val="397"/>
          <w:jc w:val="center"/>
        </w:trPr>
        <w:tc>
          <w:tcPr>
            <w:tcW w:w="847" w:type="pct"/>
            <w:shd w:val="solid" w:color="FFFFFF" w:fill="FFFFFF"/>
            <w:vAlign w:val="center"/>
          </w:tcPr>
          <w:p w14:paraId="5D1B50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中位数</w:t>
            </w:r>
          </w:p>
        </w:tc>
        <w:tc>
          <w:tcPr>
            <w:tcW w:w="692" w:type="pct"/>
            <w:shd w:val="solid" w:color="FFFFFF" w:fill="FFFFFF"/>
            <w:vAlign w:val="center"/>
          </w:tcPr>
          <w:p w14:paraId="7BDAC9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18.64%</w:t>
            </w:r>
          </w:p>
        </w:tc>
        <w:tc>
          <w:tcPr>
            <w:tcW w:w="749" w:type="pct"/>
            <w:shd w:val="solid" w:color="FFFFFF" w:fill="FFFFFF"/>
            <w:vAlign w:val="center"/>
          </w:tcPr>
          <w:p w14:paraId="1366B3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-7.15%</w:t>
            </w:r>
          </w:p>
        </w:tc>
        <w:tc>
          <w:tcPr>
            <w:tcW w:w="692" w:type="pct"/>
            <w:shd w:val="solid" w:color="FFFFFF" w:fill="FFFFFF"/>
            <w:vAlign w:val="center"/>
          </w:tcPr>
          <w:p w14:paraId="65FB522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25.79%</w:t>
            </w:r>
          </w:p>
        </w:tc>
        <w:tc>
          <w:tcPr>
            <w:tcW w:w="664" w:type="pct"/>
            <w:shd w:val="solid" w:color="FFFFFF" w:fill="FFFFFF"/>
            <w:vAlign w:val="center"/>
          </w:tcPr>
          <w:p w14:paraId="758B36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-1.81%</w:t>
            </w:r>
          </w:p>
        </w:tc>
        <w:tc>
          <w:tcPr>
            <w:tcW w:w="692" w:type="pct"/>
            <w:shd w:val="solid" w:color="FFFFFF" w:fill="FFFFFF"/>
            <w:vAlign w:val="center"/>
          </w:tcPr>
          <w:p w14:paraId="78A7430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27.60%</w:t>
            </w:r>
          </w:p>
        </w:tc>
        <w:tc>
          <w:tcPr>
            <w:tcW w:w="663" w:type="pct"/>
            <w:shd w:val="solid" w:color="FFFFFF" w:fill="FFFFFF"/>
            <w:vAlign w:val="center"/>
          </w:tcPr>
          <w:p w14:paraId="43C478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-0.38%</w:t>
            </w:r>
          </w:p>
        </w:tc>
      </w:tr>
      <w:tr w:rsidR="003F2129" w:rsidRPr="00DA3766" w14:paraId="7DBFD9D7" w14:textId="77777777" w:rsidTr="00DA3766">
        <w:trPr>
          <w:trHeight w:val="397"/>
          <w:jc w:val="center"/>
        </w:trPr>
        <w:tc>
          <w:tcPr>
            <w:tcW w:w="847" w:type="pct"/>
            <w:shd w:val="solid" w:color="FFFFFF" w:fill="FFFFFF"/>
            <w:vAlign w:val="center"/>
          </w:tcPr>
          <w:p w14:paraId="2D71B8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天亿马</w:t>
            </w:r>
          </w:p>
        </w:tc>
        <w:tc>
          <w:tcPr>
            <w:tcW w:w="692" w:type="pct"/>
            <w:shd w:val="solid" w:color="FFFFFF" w:fill="FFFFFF"/>
            <w:vAlign w:val="center"/>
          </w:tcPr>
          <w:p w14:paraId="7ECC1D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13.18%</w:t>
            </w:r>
          </w:p>
        </w:tc>
        <w:tc>
          <w:tcPr>
            <w:tcW w:w="749" w:type="pct"/>
            <w:shd w:val="solid" w:color="FFFFFF" w:fill="FFFFFF"/>
            <w:vAlign w:val="center"/>
          </w:tcPr>
          <w:p w14:paraId="778A9B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-7.06%</w:t>
            </w:r>
          </w:p>
        </w:tc>
        <w:tc>
          <w:tcPr>
            <w:tcW w:w="692" w:type="pct"/>
            <w:shd w:val="solid" w:color="FFFFFF" w:fill="FFFFFF"/>
            <w:vAlign w:val="center"/>
          </w:tcPr>
          <w:p w14:paraId="1B8BD8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20.24%</w:t>
            </w:r>
          </w:p>
        </w:tc>
        <w:tc>
          <w:tcPr>
            <w:tcW w:w="664" w:type="pct"/>
            <w:shd w:val="solid" w:color="FFFFFF" w:fill="FFFFFF"/>
            <w:vAlign w:val="center"/>
          </w:tcPr>
          <w:p w14:paraId="5F06B3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-2.29%</w:t>
            </w:r>
          </w:p>
        </w:tc>
        <w:tc>
          <w:tcPr>
            <w:tcW w:w="692" w:type="pct"/>
            <w:shd w:val="solid" w:color="FFFFFF" w:fill="FFFFFF"/>
            <w:vAlign w:val="center"/>
          </w:tcPr>
          <w:p w14:paraId="1F14FA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22.53%</w:t>
            </w:r>
          </w:p>
        </w:tc>
        <w:tc>
          <w:tcPr>
            <w:tcW w:w="663" w:type="pct"/>
            <w:shd w:val="solid" w:color="FFFFFF" w:fill="FFFFFF"/>
            <w:vAlign w:val="center"/>
          </w:tcPr>
          <w:p w14:paraId="02E747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-2.66%</w:t>
            </w:r>
          </w:p>
        </w:tc>
      </w:tr>
    </w:tbl>
    <w:p w14:paraId="4414FF8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kern w:val="2"/>
          <w14:ligatures w14:val="standardContextual"/>
        </w:rPr>
        <w:t>根据上市公司与可比公司毛利率及其变动趋势，上市公司毛利率变动与同行业变动趋势一致，毛利率水平在可比公司毛利率变动范围内。</w:t>
      </w:r>
    </w:p>
    <w:p w14:paraId="749B902B" w14:textId="77777777" w:rsidR="003F2129" w:rsidRPr="00DA3766" w:rsidRDefault="003F2129" w:rsidP="007F36AF">
      <w:pPr>
        <w:keepNext/>
        <w:widowControl w:val="0"/>
        <w:snapToGrid w:val="0"/>
        <w:spacing w:before="120" w:after="120"/>
        <w:ind w:firstLine="482"/>
        <w:jc w:val="both"/>
        <w:outlineLvl w:val="3"/>
        <w:rPr>
          <w:rFonts w:ascii="Times New Roman" w:hAnsi="Times New Roman" w:cs="Times New Roman"/>
          <w:b/>
          <w:kern w:val="2"/>
          <w:szCs w:val="21"/>
        </w:rPr>
      </w:pPr>
      <w:r w:rsidRPr="00DA3766">
        <w:rPr>
          <w:rFonts w:ascii="Times New Roman" w:hAnsi="Times New Roman" w:cs="Times New Roman"/>
          <w:b/>
          <w:kern w:val="2"/>
          <w:szCs w:val="21"/>
        </w:rPr>
        <w:lastRenderedPageBreak/>
        <w:t>3</w:t>
      </w:r>
      <w:r w:rsidRPr="00DA3766">
        <w:rPr>
          <w:rFonts w:ascii="Times New Roman" w:hAnsi="Times New Roman" w:cs="Times New Roman"/>
          <w:b/>
          <w:kern w:val="2"/>
          <w:szCs w:val="21"/>
        </w:rPr>
        <w:t>、净利润变动分析</w:t>
      </w:r>
    </w:p>
    <w:p w14:paraId="0EF6AF52" w14:textId="3450289A"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年度，上市公司归母净利润分别为</w:t>
      </w:r>
      <w:r w:rsidR="00CA695C" w:rsidRPr="00DA3766">
        <w:rPr>
          <w:rFonts w:ascii="Times New Roman" w:hAnsi="Times New Roman" w:cs="Times New Roman"/>
        </w:rPr>
        <w:t>3,956.27</w:t>
      </w:r>
      <w:r w:rsidR="00CA695C" w:rsidRPr="00DA3766">
        <w:rPr>
          <w:rFonts w:ascii="Times New Roman" w:hAnsi="Times New Roman" w:cs="Times New Roman"/>
        </w:rPr>
        <w:t>万元、</w:t>
      </w:r>
      <w:r w:rsidR="00CA695C" w:rsidRPr="00DA3766">
        <w:rPr>
          <w:rFonts w:ascii="Times New Roman" w:hAnsi="Times New Roman" w:cs="Times New Roman"/>
        </w:rPr>
        <w:t>638.90</w:t>
      </w:r>
      <w:r w:rsidR="00CA695C" w:rsidRPr="00DA3766">
        <w:rPr>
          <w:rFonts w:ascii="Times New Roman" w:hAnsi="Times New Roman" w:cs="Times New Roman"/>
        </w:rPr>
        <w:t>万元、</w:t>
      </w:r>
      <w:r w:rsidR="008002AE" w:rsidRPr="00DA3766">
        <w:rPr>
          <w:rFonts w:ascii="Times New Roman" w:hAnsi="Times New Roman" w:cs="Times New Roman"/>
        </w:rPr>
        <w:t>-</w:t>
      </w:r>
      <w:r w:rsidR="00CA695C" w:rsidRPr="00DA3766">
        <w:rPr>
          <w:rFonts w:ascii="Times New Roman" w:hAnsi="Times New Roman" w:cs="Times New Roman"/>
        </w:rPr>
        <w:t>4,955.28</w:t>
      </w:r>
      <w:r w:rsidRPr="00DA3766">
        <w:rPr>
          <w:rFonts w:ascii="Times New Roman" w:hAnsi="Times New Roman" w:cs="Times New Roman"/>
        </w:rPr>
        <w:t>万元，呈现下滑趋势。其中，</w:t>
      </w:r>
      <w:r w:rsidRPr="00DA3766">
        <w:rPr>
          <w:rFonts w:ascii="Times New Roman" w:hAnsi="Times New Roman" w:cs="Times New Roman"/>
        </w:rPr>
        <w:t>2023</w:t>
      </w:r>
      <w:r w:rsidRPr="00DA3766">
        <w:rPr>
          <w:rFonts w:ascii="Times New Roman" w:hAnsi="Times New Roman" w:cs="Times New Roman"/>
        </w:rPr>
        <w:t>年度，上市公司扣非归母净利润下滑的主要原因如下：</w:t>
      </w:r>
    </w:p>
    <w:p w14:paraId="28B08D45"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）营业收入及综合毛利率下滑</w:t>
      </w:r>
    </w:p>
    <w:p w14:paraId="1828578D"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年度，上市公司主要面向的智慧政务市场需求不足，行业竞争加剧，上市公司当年营业收入同比减少</w:t>
      </w:r>
      <w:r w:rsidRPr="00DA3766">
        <w:rPr>
          <w:rFonts w:ascii="Times New Roman" w:hAnsi="Times New Roman" w:cs="Times New Roman"/>
        </w:rPr>
        <w:t>2,920.77</w:t>
      </w:r>
      <w:r w:rsidRPr="00DA3766">
        <w:rPr>
          <w:rFonts w:ascii="Times New Roman" w:hAnsi="Times New Roman" w:cs="Times New Roman"/>
        </w:rPr>
        <w:t>万元，综合毛利率有所下降，其中智慧政务板块毛利率同比降低</w:t>
      </w:r>
      <w:r w:rsidRPr="00DA3766">
        <w:rPr>
          <w:rFonts w:ascii="Times New Roman" w:hAnsi="Times New Roman" w:cs="Times New Roman"/>
        </w:rPr>
        <w:t>6.50%</w:t>
      </w:r>
      <w:r w:rsidRPr="00DA3766">
        <w:rPr>
          <w:rFonts w:ascii="Times New Roman" w:hAnsi="Times New Roman" w:cs="Times New Roman"/>
        </w:rPr>
        <w:t>。</w:t>
      </w:r>
    </w:p>
    <w:p w14:paraId="5EB37AA3"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）期间费用增加</w:t>
      </w:r>
    </w:p>
    <w:p w14:paraId="2674A4D2"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年度，上市公司期间费用同比增加</w:t>
      </w:r>
      <w:r w:rsidRPr="00DA3766">
        <w:rPr>
          <w:rFonts w:ascii="Times New Roman" w:hAnsi="Times New Roman" w:cs="Times New Roman"/>
        </w:rPr>
        <w:t>470.00</w:t>
      </w:r>
      <w:r w:rsidRPr="00DA3766">
        <w:rPr>
          <w:rFonts w:ascii="Times New Roman" w:hAnsi="Times New Roman" w:cs="Times New Roman"/>
        </w:rPr>
        <w:t>万元，主要原因系上市公司实施股权激励，对服务期内授予的股权相应计提费用</w:t>
      </w:r>
      <w:r w:rsidRPr="00DA3766">
        <w:rPr>
          <w:rFonts w:ascii="Times New Roman" w:hAnsi="Times New Roman" w:cs="Times New Roman"/>
        </w:rPr>
        <w:t>516.56</w:t>
      </w:r>
      <w:r w:rsidRPr="00DA3766">
        <w:rPr>
          <w:rFonts w:ascii="Times New Roman" w:hAnsi="Times New Roman" w:cs="Times New Roman"/>
        </w:rPr>
        <w:t>万元。</w:t>
      </w:r>
    </w:p>
    <w:p w14:paraId="63E3CB7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）信用减值损失增加</w:t>
      </w:r>
    </w:p>
    <w:p w14:paraId="3500FFB3"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上市公司最终客户主要为机关、企事业单位，对外付款时需履行较严格的付款审批流程，付款周期较长，导致各年末应收账款余额较大且呈增长趋势，且长账龄应收账款占比逐年递增。受客户财政资金不足影响，</w:t>
      </w:r>
      <w:r w:rsidRPr="00DA3766">
        <w:rPr>
          <w:rFonts w:ascii="Times New Roman" w:hAnsi="Times New Roman" w:cs="Times New Roman"/>
        </w:rPr>
        <w:t>2023</w:t>
      </w:r>
      <w:r w:rsidRPr="00DA3766">
        <w:rPr>
          <w:rFonts w:ascii="Times New Roman" w:hAnsi="Times New Roman" w:cs="Times New Roman"/>
        </w:rPr>
        <w:t>年末上市公司应收账款余额较大；基于谨慎性原则，上市公司充分计提信用减值损失，</w:t>
      </w:r>
      <w:r w:rsidRPr="00DA3766">
        <w:rPr>
          <w:rFonts w:ascii="Times New Roman" w:hAnsi="Times New Roman" w:cs="Times New Roman"/>
        </w:rPr>
        <w:t>2023</w:t>
      </w:r>
      <w:r w:rsidRPr="00DA3766">
        <w:rPr>
          <w:rFonts w:ascii="Times New Roman" w:hAnsi="Times New Roman" w:cs="Times New Roman"/>
        </w:rPr>
        <w:t>年度信用减值损失同比增加</w:t>
      </w:r>
      <w:r w:rsidRPr="00DA3766">
        <w:rPr>
          <w:rFonts w:ascii="Times New Roman" w:hAnsi="Times New Roman" w:cs="Times New Roman"/>
        </w:rPr>
        <w:t>1,027.46</w:t>
      </w:r>
      <w:r w:rsidRPr="00DA3766">
        <w:rPr>
          <w:rFonts w:ascii="Times New Roman" w:hAnsi="Times New Roman" w:cs="Times New Roman"/>
        </w:rPr>
        <w:t>万元，财务数据影响较大。</w:t>
      </w:r>
    </w:p>
    <w:p w14:paraId="025E58B6"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年度，上市公司净利润下滑的主要原因如下：</w:t>
      </w:r>
    </w:p>
    <w:p w14:paraId="787DFA0F"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）营业收入下滑，综合毛利率下降</w:t>
      </w:r>
    </w:p>
    <w:p w14:paraId="13EEF748"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年度，公司因前述原因营业收入同比减少</w:t>
      </w:r>
      <w:r w:rsidRPr="00DA3766">
        <w:rPr>
          <w:rFonts w:ascii="Times New Roman" w:hAnsi="Times New Roman" w:cs="Times New Roman"/>
          <w:kern w:val="2"/>
          <w14:ligatures w14:val="standardContextual"/>
        </w:rPr>
        <w:t>18,637.68</w:t>
      </w:r>
      <w:r w:rsidRPr="00DA3766">
        <w:rPr>
          <w:rFonts w:ascii="Times New Roman" w:hAnsi="Times New Roman" w:cs="Times New Roman"/>
          <w:kern w:val="2"/>
          <w14:ligatures w14:val="standardContextual"/>
        </w:rPr>
        <w:t>万元，进而导致销售毛利同比减少</w:t>
      </w:r>
      <w:r w:rsidRPr="00DA3766">
        <w:rPr>
          <w:rFonts w:ascii="Times New Roman" w:hAnsi="Times New Roman" w:cs="Times New Roman"/>
          <w:kern w:val="2"/>
          <w14:ligatures w14:val="standardContextual"/>
        </w:rPr>
        <w:t>5,350.66</w:t>
      </w:r>
      <w:r w:rsidRPr="00DA3766">
        <w:rPr>
          <w:rFonts w:ascii="Times New Roman" w:hAnsi="Times New Roman" w:cs="Times New Roman"/>
          <w:kern w:val="2"/>
          <w14:ligatures w14:val="standardContextual"/>
        </w:rPr>
        <w:t>万元。受客户资金预算收紧的影响，信息化建设项目招投标进度放缓，部分项目无法按既定计划完工验收，影响报告期的收入确认。</w:t>
      </w:r>
    </w:p>
    <w:p w14:paraId="519149D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）应收账款回款不及预期</w:t>
      </w:r>
    </w:p>
    <w:p w14:paraId="4DCB92C7"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报告期末应收账款虽然扭转持续上涨的势头，但销售商品、提供劳务收到的现金较同期减少</w:t>
      </w:r>
      <w:r w:rsidRPr="00DA3766">
        <w:rPr>
          <w:rFonts w:ascii="Times New Roman" w:hAnsi="Times New Roman" w:cs="Times New Roman"/>
          <w:kern w:val="2"/>
          <w14:ligatures w14:val="standardContextual"/>
        </w:rPr>
        <w:t>15,068.57</w:t>
      </w:r>
      <w:r w:rsidRPr="00DA3766">
        <w:rPr>
          <w:rFonts w:ascii="Times New Roman" w:hAnsi="Times New Roman" w:cs="Times New Roman"/>
          <w:kern w:val="2"/>
          <w14:ligatures w14:val="standardContextual"/>
        </w:rPr>
        <w:t>万元。历史项目的回款仍然缓慢。基于谨慎性原则，公司按照会计准则计提信用减值损失</w:t>
      </w:r>
      <w:r w:rsidRPr="00DA3766">
        <w:rPr>
          <w:rFonts w:ascii="Times New Roman" w:hAnsi="Times New Roman" w:cs="Times New Roman"/>
          <w:kern w:val="2"/>
          <w14:ligatures w14:val="standardContextual"/>
        </w:rPr>
        <w:t>2,146.17</w:t>
      </w:r>
      <w:r w:rsidRPr="00DA3766">
        <w:rPr>
          <w:rFonts w:ascii="Times New Roman" w:hAnsi="Times New Roman" w:cs="Times New Roman"/>
          <w:kern w:val="2"/>
          <w14:ligatures w14:val="standardContextual"/>
        </w:rPr>
        <w:t>万元，导致了亏损进一步扩大。</w:t>
      </w:r>
    </w:p>
    <w:p w14:paraId="15CAC0E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）子公司相关商誉存在减值迹象</w:t>
      </w:r>
    </w:p>
    <w:p w14:paraId="1E57F567"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报告期末，公司对子公司深圳市互联精英信息技术有限公司（以下简称</w:t>
      </w:r>
      <w:r w:rsidRPr="00DA3766">
        <w:rPr>
          <w:rFonts w:cs="Times New Roman"/>
          <w:kern w:val="2"/>
          <w14:ligatures w14:val="standardContextual"/>
        </w:rPr>
        <w:t>“</w:t>
      </w:r>
      <w:r w:rsidRPr="00DA3766">
        <w:rPr>
          <w:rFonts w:ascii="Times New Roman" w:hAnsi="Times New Roman" w:cs="Times New Roman"/>
          <w:kern w:val="2"/>
          <w14:ligatures w14:val="standardContextual"/>
        </w:rPr>
        <w:t>互联精英</w:t>
      </w:r>
      <w:r w:rsidRPr="00DA3766">
        <w:rPr>
          <w:rFonts w:cs="Times New Roman"/>
          <w:kern w:val="2"/>
          <w14:ligatures w14:val="standardContextual"/>
        </w:rPr>
        <w:t>”</w:t>
      </w:r>
      <w:r w:rsidRPr="00DA3766">
        <w:rPr>
          <w:rFonts w:ascii="Times New Roman" w:hAnsi="Times New Roman" w:cs="Times New Roman"/>
          <w:kern w:val="2"/>
          <w14:ligatures w14:val="standardContextual"/>
        </w:rPr>
        <w:t>）、广图粤科（广州）科技有限公司（以下简称</w:t>
      </w:r>
      <w:r w:rsidRPr="00DA3766">
        <w:rPr>
          <w:rFonts w:cs="Times New Roman"/>
          <w:kern w:val="2"/>
          <w14:ligatures w14:val="standardContextual"/>
        </w:rPr>
        <w:t>“</w:t>
      </w:r>
      <w:r w:rsidRPr="00DA3766">
        <w:rPr>
          <w:rFonts w:ascii="Times New Roman" w:hAnsi="Times New Roman" w:cs="Times New Roman"/>
          <w:kern w:val="2"/>
          <w14:ligatures w14:val="standardContextual"/>
        </w:rPr>
        <w:t>广图粤科</w:t>
      </w:r>
      <w:r w:rsidRPr="00DA3766">
        <w:rPr>
          <w:rFonts w:cs="Times New Roman"/>
          <w:kern w:val="2"/>
          <w14:ligatures w14:val="standardContextual"/>
        </w:rPr>
        <w:t>”</w:t>
      </w:r>
      <w:r w:rsidRPr="00DA3766">
        <w:rPr>
          <w:rFonts w:ascii="Times New Roman" w:hAnsi="Times New Roman" w:cs="Times New Roman"/>
          <w:kern w:val="2"/>
          <w14:ligatures w14:val="standardContextual"/>
        </w:rPr>
        <w:t>）等并购标的公司期末商誉进行减值测试，评估商誉的可收回金额，并确定与互联精英及广图粤科业务相关的商誉已发生减值，并计提减值准备</w:t>
      </w:r>
      <w:r w:rsidRPr="00DA3766">
        <w:rPr>
          <w:rFonts w:ascii="Times New Roman" w:hAnsi="Times New Roman" w:cs="Times New Roman"/>
          <w:kern w:val="2"/>
          <w14:ligatures w14:val="standardContextual"/>
        </w:rPr>
        <w:t>292.15</w:t>
      </w:r>
      <w:r w:rsidRPr="00DA3766">
        <w:rPr>
          <w:rFonts w:ascii="Times New Roman" w:hAnsi="Times New Roman" w:cs="Times New Roman"/>
          <w:kern w:val="2"/>
          <w14:ligatures w14:val="standardContextual"/>
        </w:rPr>
        <w:t>万元。</w:t>
      </w:r>
    </w:p>
    <w:p w14:paraId="2F6E37D3" w14:textId="02327B8F"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年度，上市公司与同行业可比公司归母净利润变动情况如下：</w:t>
      </w:r>
    </w:p>
    <w:p w14:paraId="32607777" w14:textId="77777777" w:rsidR="003F2129" w:rsidRPr="00DA3766" w:rsidRDefault="003F2129" w:rsidP="007F36AF">
      <w:pPr>
        <w:pStyle w:val="009"/>
      </w:pPr>
      <w:r w:rsidRPr="00DA3766">
        <w:t>单位：万元</w:t>
      </w:r>
    </w:p>
    <w:tbl>
      <w:tblPr>
        <w:tblW w:w="525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198"/>
        <w:gridCol w:w="1422"/>
        <w:gridCol w:w="1309"/>
        <w:gridCol w:w="1309"/>
        <w:gridCol w:w="1312"/>
        <w:gridCol w:w="1255"/>
        <w:gridCol w:w="1160"/>
      </w:tblGrid>
      <w:tr w:rsidR="003F2129" w:rsidRPr="00DA3766" w14:paraId="504742B2" w14:textId="77777777" w:rsidTr="00DA3766">
        <w:trPr>
          <w:trHeight w:val="397"/>
          <w:tblHeader/>
          <w:jc w:val="center"/>
        </w:trPr>
        <w:tc>
          <w:tcPr>
            <w:tcW w:w="668" w:type="pct"/>
            <w:vMerge w:val="restart"/>
            <w:shd w:val="solid" w:color="FFFFFF" w:fill="FFFFFF"/>
            <w:vAlign w:val="center"/>
          </w:tcPr>
          <w:p w14:paraId="39D3D397"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公司名称</w:t>
            </w:r>
          </w:p>
        </w:tc>
        <w:tc>
          <w:tcPr>
            <w:tcW w:w="1523" w:type="pct"/>
            <w:gridSpan w:val="2"/>
            <w:shd w:val="solid" w:color="FFFFFF" w:fill="FFFFFF"/>
            <w:vAlign w:val="center"/>
          </w:tcPr>
          <w:p w14:paraId="0E692D0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462" w:type="pct"/>
            <w:gridSpan w:val="2"/>
            <w:shd w:val="solid" w:color="FFFFFF" w:fill="FFFFFF"/>
            <w:vAlign w:val="center"/>
          </w:tcPr>
          <w:p w14:paraId="73F087C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1348" w:type="pct"/>
            <w:gridSpan w:val="2"/>
            <w:shd w:val="solid" w:color="FFFFFF" w:fill="FFFFFF"/>
            <w:vAlign w:val="center"/>
          </w:tcPr>
          <w:p w14:paraId="6D96E11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w:t>
            </w:r>
          </w:p>
        </w:tc>
      </w:tr>
      <w:tr w:rsidR="003F2129" w:rsidRPr="00DA3766" w14:paraId="3B962BFC" w14:textId="77777777" w:rsidTr="00DA3766">
        <w:trPr>
          <w:trHeight w:val="397"/>
          <w:tblHeader/>
          <w:jc w:val="center"/>
        </w:trPr>
        <w:tc>
          <w:tcPr>
            <w:tcW w:w="668" w:type="pct"/>
            <w:vMerge/>
            <w:shd w:val="solid" w:color="FFFFFF" w:fill="FFFFFF"/>
            <w:vAlign w:val="center"/>
          </w:tcPr>
          <w:p w14:paraId="58D677C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93" w:type="pct"/>
            <w:shd w:val="solid" w:color="FFFFFF" w:fill="FFFFFF"/>
            <w:vAlign w:val="center"/>
          </w:tcPr>
          <w:p w14:paraId="36BF358A"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730" w:type="pct"/>
            <w:shd w:val="solid" w:color="FFFFFF" w:fill="FFFFFF"/>
            <w:vAlign w:val="center"/>
          </w:tcPr>
          <w:p w14:paraId="6075B3D7"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c>
          <w:tcPr>
            <w:tcW w:w="730" w:type="pct"/>
            <w:shd w:val="solid" w:color="FFFFFF" w:fill="FFFFFF"/>
            <w:vAlign w:val="center"/>
          </w:tcPr>
          <w:p w14:paraId="1E812E9A"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732" w:type="pct"/>
            <w:shd w:val="solid" w:color="FFFFFF" w:fill="FFFFFF"/>
            <w:vAlign w:val="center"/>
          </w:tcPr>
          <w:p w14:paraId="5CE58836"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c>
          <w:tcPr>
            <w:tcW w:w="700" w:type="pct"/>
            <w:shd w:val="solid" w:color="FFFFFF" w:fill="FFFFFF"/>
            <w:vAlign w:val="center"/>
          </w:tcPr>
          <w:p w14:paraId="6CA75748"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648" w:type="pct"/>
            <w:shd w:val="solid" w:color="FFFFFF" w:fill="FFFFFF"/>
            <w:vAlign w:val="center"/>
          </w:tcPr>
          <w:p w14:paraId="6ACC52ED"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r>
      <w:tr w:rsidR="00547DE2" w:rsidRPr="00DA3766" w14:paraId="7A44885D" w14:textId="77777777" w:rsidTr="00DA3766">
        <w:trPr>
          <w:trHeight w:val="397"/>
          <w:jc w:val="center"/>
        </w:trPr>
        <w:tc>
          <w:tcPr>
            <w:tcW w:w="668" w:type="pct"/>
            <w:shd w:val="solid" w:color="FFFFFF" w:fill="FFFFFF"/>
            <w:vAlign w:val="center"/>
          </w:tcPr>
          <w:p w14:paraId="0B222CF4" w14:textId="56FC5AAE"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信息发展</w:t>
            </w:r>
          </w:p>
        </w:tc>
        <w:tc>
          <w:tcPr>
            <w:tcW w:w="793" w:type="pct"/>
            <w:shd w:val="solid" w:color="FFFFFF" w:fill="FFFFFF"/>
            <w:vAlign w:val="center"/>
          </w:tcPr>
          <w:p w14:paraId="39234E47" w14:textId="23447F9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-11,768.41</w:t>
            </w:r>
          </w:p>
        </w:tc>
        <w:tc>
          <w:tcPr>
            <w:tcW w:w="730" w:type="pct"/>
            <w:shd w:val="solid" w:color="FFFFFF" w:fill="FFFFFF"/>
            <w:vAlign w:val="center"/>
          </w:tcPr>
          <w:p w14:paraId="1A7ED821" w14:textId="7FDE886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0.3635</w:t>
            </w:r>
          </w:p>
        </w:tc>
        <w:tc>
          <w:tcPr>
            <w:tcW w:w="730" w:type="pct"/>
            <w:shd w:val="solid" w:color="FFFFFF" w:fill="FFFFFF"/>
            <w:vAlign w:val="center"/>
          </w:tcPr>
          <w:p w14:paraId="0F3637C4" w14:textId="15DF8E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-18,488.35</w:t>
            </w:r>
          </w:p>
        </w:tc>
        <w:tc>
          <w:tcPr>
            <w:tcW w:w="732" w:type="pct"/>
            <w:shd w:val="solid" w:color="FFFFFF" w:fill="FFFFFF"/>
            <w:vAlign w:val="center"/>
          </w:tcPr>
          <w:p w14:paraId="2E062283" w14:textId="76B1FD4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-0.1597</w:t>
            </w:r>
          </w:p>
        </w:tc>
        <w:tc>
          <w:tcPr>
            <w:tcW w:w="700" w:type="pct"/>
            <w:shd w:val="solid" w:color="FFFFFF" w:fill="FFFFFF"/>
            <w:vAlign w:val="center"/>
          </w:tcPr>
          <w:p w14:paraId="3C66B9EE" w14:textId="3C7860F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-15,942.33</w:t>
            </w:r>
          </w:p>
        </w:tc>
        <w:tc>
          <w:tcPr>
            <w:tcW w:w="648" w:type="pct"/>
            <w:shd w:val="solid" w:color="FFFFFF" w:fill="FFFFFF"/>
            <w:vAlign w:val="center"/>
          </w:tcPr>
          <w:p w14:paraId="4BF7BE18" w14:textId="772A12A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-97.99%</w:t>
            </w:r>
          </w:p>
        </w:tc>
      </w:tr>
      <w:tr w:rsidR="00547DE2" w:rsidRPr="00DA3766" w14:paraId="026A5403" w14:textId="77777777" w:rsidTr="00DA3766">
        <w:trPr>
          <w:trHeight w:val="397"/>
          <w:jc w:val="center"/>
        </w:trPr>
        <w:tc>
          <w:tcPr>
            <w:tcW w:w="668" w:type="pct"/>
            <w:shd w:val="solid" w:color="FFFFFF" w:fill="FFFFFF"/>
            <w:vAlign w:val="center"/>
          </w:tcPr>
          <w:p w14:paraId="32305C56" w14:textId="241B6F7C"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佳发教育</w:t>
            </w:r>
          </w:p>
        </w:tc>
        <w:tc>
          <w:tcPr>
            <w:tcW w:w="793" w:type="pct"/>
            <w:shd w:val="solid" w:color="FFFFFF" w:fill="FFFFFF"/>
            <w:vAlign w:val="center"/>
          </w:tcPr>
          <w:p w14:paraId="04530F29" w14:textId="712BE14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3,638.74</w:t>
            </w:r>
          </w:p>
        </w:tc>
        <w:tc>
          <w:tcPr>
            <w:tcW w:w="730" w:type="pct"/>
            <w:shd w:val="solid" w:color="FFFFFF" w:fill="FFFFFF"/>
            <w:vAlign w:val="center"/>
          </w:tcPr>
          <w:p w14:paraId="0179490D" w14:textId="083A97D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-72.23%</w:t>
            </w:r>
          </w:p>
        </w:tc>
        <w:tc>
          <w:tcPr>
            <w:tcW w:w="730" w:type="pct"/>
            <w:shd w:val="solid" w:color="FFFFFF" w:fill="FFFFFF"/>
            <w:vAlign w:val="center"/>
          </w:tcPr>
          <w:p w14:paraId="24F43132" w14:textId="3B6E57E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13,103.80</w:t>
            </w:r>
          </w:p>
        </w:tc>
        <w:tc>
          <w:tcPr>
            <w:tcW w:w="732" w:type="pct"/>
            <w:shd w:val="solid" w:color="FFFFFF" w:fill="FFFFFF"/>
            <w:vAlign w:val="center"/>
          </w:tcPr>
          <w:p w14:paraId="47100ADB" w14:textId="30EA637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90.05%</w:t>
            </w:r>
          </w:p>
        </w:tc>
        <w:tc>
          <w:tcPr>
            <w:tcW w:w="700" w:type="pct"/>
            <w:shd w:val="solid" w:color="FFFFFF" w:fill="FFFFFF"/>
            <w:vAlign w:val="center"/>
          </w:tcPr>
          <w:p w14:paraId="4D7D41AC" w14:textId="1330181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6,895.07</w:t>
            </w:r>
          </w:p>
        </w:tc>
        <w:tc>
          <w:tcPr>
            <w:tcW w:w="648" w:type="pct"/>
            <w:shd w:val="solid" w:color="FFFFFF" w:fill="FFFFFF"/>
            <w:vAlign w:val="center"/>
          </w:tcPr>
          <w:p w14:paraId="594D3801" w14:textId="3A99EEB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-16.56%</w:t>
            </w:r>
          </w:p>
        </w:tc>
      </w:tr>
      <w:tr w:rsidR="00547DE2" w:rsidRPr="00DA3766" w14:paraId="04E9BFE1" w14:textId="77777777" w:rsidTr="00DA3766">
        <w:trPr>
          <w:trHeight w:val="397"/>
          <w:jc w:val="center"/>
        </w:trPr>
        <w:tc>
          <w:tcPr>
            <w:tcW w:w="668" w:type="pct"/>
            <w:shd w:val="solid" w:color="FFFFFF" w:fill="FFFFFF"/>
            <w:vAlign w:val="center"/>
          </w:tcPr>
          <w:p w14:paraId="44259BCE" w14:textId="3E683B8C"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开普云</w:t>
            </w:r>
          </w:p>
        </w:tc>
        <w:tc>
          <w:tcPr>
            <w:tcW w:w="793" w:type="pct"/>
            <w:shd w:val="solid" w:color="FFFFFF" w:fill="FFFFFF"/>
            <w:vAlign w:val="center"/>
          </w:tcPr>
          <w:p w14:paraId="71D707D3" w14:textId="3719AB10"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2,058.68</w:t>
            </w:r>
          </w:p>
        </w:tc>
        <w:tc>
          <w:tcPr>
            <w:tcW w:w="730" w:type="pct"/>
            <w:shd w:val="solid" w:color="FFFFFF" w:fill="FFFFFF"/>
            <w:vAlign w:val="center"/>
          </w:tcPr>
          <w:p w14:paraId="61542043" w14:textId="75884D9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-49.98%</w:t>
            </w:r>
          </w:p>
        </w:tc>
        <w:tc>
          <w:tcPr>
            <w:tcW w:w="730" w:type="pct"/>
            <w:shd w:val="solid" w:color="FFFFFF" w:fill="FFFFFF"/>
            <w:vAlign w:val="center"/>
          </w:tcPr>
          <w:p w14:paraId="736698DB" w14:textId="6EC443D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4,115.38</w:t>
            </w:r>
          </w:p>
        </w:tc>
        <w:tc>
          <w:tcPr>
            <w:tcW w:w="732" w:type="pct"/>
            <w:shd w:val="solid" w:color="FFFFFF" w:fill="FFFFFF"/>
            <w:vAlign w:val="center"/>
          </w:tcPr>
          <w:p w14:paraId="420306B0" w14:textId="29DE8C5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-58.02%</w:t>
            </w:r>
          </w:p>
        </w:tc>
        <w:tc>
          <w:tcPr>
            <w:tcW w:w="700" w:type="pct"/>
            <w:shd w:val="solid" w:color="FFFFFF" w:fill="FFFFFF"/>
            <w:vAlign w:val="center"/>
          </w:tcPr>
          <w:p w14:paraId="092474F8" w14:textId="7A6AECA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9,802.99</w:t>
            </w:r>
          </w:p>
        </w:tc>
        <w:tc>
          <w:tcPr>
            <w:tcW w:w="648" w:type="pct"/>
            <w:shd w:val="solid" w:color="FFFFFF" w:fill="FFFFFF"/>
            <w:vAlign w:val="center"/>
          </w:tcPr>
          <w:p w14:paraId="56A7F834" w14:textId="77C0664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61.09%</w:t>
            </w:r>
          </w:p>
        </w:tc>
      </w:tr>
      <w:tr w:rsidR="00547DE2" w:rsidRPr="00DA3766" w14:paraId="7D88F189" w14:textId="77777777" w:rsidTr="00DA3766">
        <w:trPr>
          <w:trHeight w:val="397"/>
          <w:jc w:val="center"/>
        </w:trPr>
        <w:tc>
          <w:tcPr>
            <w:tcW w:w="668" w:type="pct"/>
            <w:shd w:val="solid" w:color="FFFFFF" w:fill="FFFFFF"/>
            <w:vAlign w:val="center"/>
          </w:tcPr>
          <w:p w14:paraId="1672DE2D" w14:textId="2B2185F8"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杰创智能</w:t>
            </w:r>
          </w:p>
        </w:tc>
        <w:tc>
          <w:tcPr>
            <w:tcW w:w="793" w:type="pct"/>
            <w:shd w:val="solid" w:color="FFFFFF" w:fill="FFFFFF"/>
            <w:vAlign w:val="center"/>
          </w:tcPr>
          <w:p w14:paraId="4FC22A1B" w14:textId="73051422"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-7,997.69</w:t>
            </w:r>
          </w:p>
        </w:tc>
        <w:tc>
          <w:tcPr>
            <w:tcW w:w="730" w:type="pct"/>
            <w:shd w:val="solid" w:color="FFFFFF" w:fill="FFFFFF"/>
            <w:vAlign w:val="center"/>
          </w:tcPr>
          <w:p w14:paraId="66D62BC4" w14:textId="3E4ABDC6"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-1308.05%</w:t>
            </w:r>
          </w:p>
        </w:tc>
        <w:tc>
          <w:tcPr>
            <w:tcW w:w="730" w:type="pct"/>
            <w:shd w:val="solid" w:color="FFFFFF" w:fill="FFFFFF"/>
            <w:vAlign w:val="center"/>
          </w:tcPr>
          <w:p w14:paraId="4159F5DD" w14:textId="24E2645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662.03</w:t>
            </w:r>
          </w:p>
        </w:tc>
        <w:tc>
          <w:tcPr>
            <w:tcW w:w="732" w:type="pct"/>
            <w:shd w:val="solid" w:color="FFFFFF" w:fill="FFFFFF"/>
            <w:vAlign w:val="center"/>
          </w:tcPr>
          <w:p w14:paraId="3339FC33" w14:textId="646F37C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-88.23%</w:t>
            </w:r>
          </w:p>
        </w:tc>
        <w:tc>
          <w:tcPr>
            <w:tcW w:w="700" w:type="pct"/>
            <w:shd w:val="solid" w:color="FFFFFF" w:fill="FFFFFF"/>
            <w:vAlign w:val="center"/>
          </w:tcPr>
          <w:p w14:paraId="528CECFE" w14:textId="1C3077E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5,623.79</w:t>
            </w:r>
          </w:p>
        </w:tc>
        <w:tc>
          <w:tcPr>
            <w:tcW w:w="648" w:type="pct"/>
            <w:shd w:val="solid" w:color="FFFFFF" w:fill="FFFFFF"/>
            <w:vAlign w:val="center"/>
          </w:tcPr>
          <w:p w14:paraId="036CBC85" w14:textId="446E0F1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-46.52%</w:t>
            </w:r>
          </w:p>
        </w:tc>
      </w:tr>
      <w:tr w:rsidR="00547DE2" w:rsidRPr="00DA3766" w14:paraId="6FCFCB2F" w14:textId="77777777" w:rsidTr="00DA3766">
        <w:trPr>
          <w:trHeight w:val="397"/>
          <w:jc w:val="center"/>
        </w:trPr>
        <w:tc>
          <w:tcPr>
            <w:tcW w:w="668" w:type="pct"/>
            <w:shd w:val="solid" w:color="FFFFFF" w:fill="FFFFFF"/>
            <w:vAlign w:val="center"/>
          </w:tcPr>
          <w:p w14:paraId="09A70FF5" w14:textId="4D4667C8"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宏景科技</w:t>
            </w:r>
          </w:p>
        </w:tc>
        <w:tc>
          <w:tcPr>
            <w:tcW w:w="793" w:type="pct"/>
            <w:shd w:val="solid" w:color="FFFFFF" w:fill="FFFFFF"/>
            <w:vAlign w:val="center"/>
          </w:tcPr>
          <w:p w14:paraId="691BCECB" w14:textId="0A73F2D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-7,569.17</w:t>
            </w:r>
          </w:p>
        </w:tc>
        <w:tc>
          <w:tcPr>
            <w:tcW w:w="730" w:type="pct"/>
            <w:shd w:val="solid" w:color="FFFFFF" w:fill="FFFFFF"/>
            <w:vAlign w:val="center"/>
          </w:tcPr>
          <w:p w14:paraId="6AD922B3" w14:textId="56EC431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-279.29%</w:t>
            </w:r>
          </w:p>
        </w:tc>
        <w:tc>
          <w:tcPr>
            <w:tcW w:w="730" w:type="pct"/>
            <w:shd w:val="solid" w:color="FFFFFF" w:fill="FFFFFF"/>
            <w:vAlign w:val="center"/>
          </w:tcPr>
          <w:p w14:paraId="27152EE1" w14:textId="1D38F95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4,221.76</w:t>
            </w:r>
          </w:p>
        </w:tc>
        <w:tc>
          <w:tcPr>
            <w:tcW w:w="732" w:type="pct"/>
            <w:shd w:val="solid" w:color="FFFFFF" w:fill="FFFFFF"/>
            <w:vAlign w:val="center"/>
          </w:tcPr>
          <w:p w14:paraId="72B43F55" w14:textId="371768C2"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-33.08%</w:t>
            </w:r>
          </w:p>
        </w:tc>
        <w:tc>
          <w:tcPr>
            <w:tcW w:w="700" w:type="pct"/>
            <w:shd w:val="solid" w:color="FFFFFF" w:fill="FFFFFF"/>
            <w:vAlign w:val="center"/>
          </w:tcPr>
          <w:p w14:paraId="07EE98AB" w14:textId="2DC2CF3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6,308.42</w:t>
            </w:r>
          </w:p>
        </w:tc>
        <w:tc>
          <w:tcPr>
            <w:tcW w:w="648" w:type="pct"/>
            <w:shd w:val="solid" w:color="FFFFFF" w:fill="FFFFFF"/>
            <w:vAlign w:val="center"/>
          </w:tcPr>
          <w:p w14:paraId="6763841A" w14:textId="54562FA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-28.43%</w:t>
            </w:r>
          </w:p>
        </w:tc>
      </w:tr>
      <w:tr w:rsidR="00547DE2" w:rsidRPr="00DA3766" w14:paraId="01283700" w14:textId="77777777" w:rsidTr="00DA3766">
        <w:trPr>
          <w:trHeight w:val="397"/>
          <w:jc w:val="center"/>
        </w:trPr>
        <w:tc>
          <w:tcPr>
            <w:tcW w:w="668" w:type="pct"/>
            <w:shd w:val="solid" w:color="FFFFFF" w:fill="FFFFFF"/>
            <w:vAlign w:val="center"/>
          </w:tcPr>
          <w:p w14:paraId="11B2BFF1" w14:textId="096F1F7E"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恒锋信息</w:t>
            </w:r>
          </w:p>
        </w:tc>
        <w:tc>
          <w:tcPr>
            <w:tcW w:w="793" w:type="pct"/>
            <w:shd w:val="solid" w:color="FFFFFF" w:fill="FFFFFF"/>
            <w:vAlign w:val="center"/>
          </w:tcPr>
          <w:p w14:paraId="117A2964" w14:textId="2593F21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-8,680.49</w:t>
            </w:r>
          </w:p>
        </w:tc>
        <w:tc>
          <w:tcPr>
            <w:tcW w:w="730" w:type="pct"/>
            <w:shd w:val="solid" w:color="FFFFFF" w:fill="FFFFFF"/>
            <w:vAlign w:val="center"/>
          </w:tcPr>
          <w:p w14:paraId="16929495" w14:textId="3B2B85C4"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-614.25%</w:t>
            </w:r>
          </w:p>
        </w:tc>
        <w:tc>
          <w:tcPr>
            <w:tcW w:w="730" w:type="pct"/>
            <w:shd w:val="solid" w:color="FFFFFF" w:fill="FFFFFF"/>
            <w:vAlign w:val="center"/>
          </w:tcPr>
          <w:p w14:paraId="105AD4E6" w14:textId="37BBC51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1,687.97</w:t>
            </w:r>
          </w:p>
        </w:tc>
        <w:tc>
          <w:tcPr>
            <w:tcW w:w="732" w:type="pct"/>
            <w:shd w:val="solid" w:color="FFFFFF" w:fill="FFFFFF"/>
            <w:vAlign w:val="center"/>
          </w:tcPr>
          <w:p w14:paraId="07A63AF3" w14:textId="0BF03F6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-57.05%</w:t>
            </w:r>
          </w:p>
        </w:tc>
        <w:tc>
          <w:tcPr>
            <w:tcW w:w="700" w:type="pct"/>
            <w:shd w:val="solid" w:color="FFFFFF" w:fill="FFFFFF"/>
            <w:vAlign w:val="center"/>
          </w:tcPr>
          <w:p w14:paraId="0F302305" w14:textId="39849736"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3,931.41</w:t>
            </w:r>
          </w:p>
        </w:tc>
        <w:tc>
          <w:tcPr>
            <w:tcW w:w="648" w:type="pct"/>
            <w:shd w:val="solid" w:color="FFFFFF" w:fill="FFFFFF"/>
            <w:vAlign w:val="center"/>
          </w:tcPr>
          <w:p w14:paraId="44BC26C5" w14:textId="10A10A9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-16.43%</w:t>
            </w:r>
          </w:p>
        </w:tc>
      </w:tr>
      <w:tr w:rsidR="00547DE2" w:rsidRPr="00DA3766" w14:paraId="7AC552D1" w14:textId="77777777" w:rsidTr="00DA3766">
        <w:trPr>
          <w:trHeight w:val="397"/>
          <w:jc w:val="center"/>
        </w:trPr>
        <w:tc>
          <w:tcPr>
            <w:tcW w:w="668" w:type="pct"/>
            <w:shd w:val="solid" w:color="FFFFFF" w:fill="FFFFFF"/>
            <w:vAlign w:val="center"/>
          </w:tcPr>
          <w:p w14:paraId="7ED2AFE5" w14:textId="0D20C6EF"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浪潮软件</w:t>
            </w:r>
          </w:p>
        </w:tc>
        <w:tc>
          <w:tcPr>
            <w:tcW w:w="793" w:type="pct"/>
            <w:shd w:val="solid" w:color="FFFFFF" w:fill="FFFFFF"/>
            <w:vAlign w:val="center"/>
          </w:tcPr>
          <w:p w14:paraId="73B2ED89" w14:textId="2EA9D1A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1,362.73</w:t>
            </w:r>
          </w:p>
        </w:tc>
        <w:tc>
          <w:tcPr>
            <w:tcW w:w="730" w:type="pct"/>
            <w:shd w:val="solid" w:color="FFFFFF" w:fill="FFFFFF"/>
            <w:vAlign w:val="center"/>
          </w:tcPr>
          <w:p w14:paraId="324F8433" w14:textId="6CF4463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-85.02%</w:t>
            </w:r>
          </w:p>
        </w:tc>
        <w:tc>
          <w:tcPr>
            <w:tcW w:w="730" w:type="pct"/>
            <w:shd w:val="solid" w:color="FFFFFF" w:fill="FFFFFF"/>
            <w:vAlign w:val="center"/>
          </w:tcPr>
          <w:p w14:paraId="2F8F73DE" w14:textId="43DBCD4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9,098.87</w:t>
            </w:r>
          </w:p>
        </w:tc>
        <w:tc>
          <w:tcPr>
            <w:tcW w:w="732" w:type="pct"/>
            <w:shd w:val="solid" w:color="FFFFFF" w:fill="FFFFFF"/>
            <w:vAlign w:val="center"/>
          </w:tcPr>
          <w:p w14:paraId="2D5CCF3C" w14:textId="35CEC06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42.65%</w:t>
            </w:r>
          </w:p>
        </w:tc>
        <w:tc>
          <w:tcPr>
            <w:tcW w:w="700" w:type="pct"/>
            <w:shd w:val="solid" w:color="FFFFFF" w:fill="FFFFFF"/>
            <w:vAlign w:val="center"/>
          </w:tcPr>
          <w:p w14:paraId="5C87047E" w14:textId="625E003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6,378.26</w:t>
            </w:r>
          </w:p>
        </w:tc>
        <w:tc>
          <w:tcPr>
            <w:tcW w:w="648" w:type="pct"/>
            <w:shd w:val="solid" w:color="FFFFFF" w:fill="FFFFFF"/>
            <w:vAlign w:val="center"/>
          </w:tcPr>
          <w:p w14:paraId="42C42B7E" w14:textId="23ECB46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51.39%</w:t>
            </w:r>
          </w:p>
        </w:tc>
      </w:tr>
      <w:tr w:rsidR="00547DE2" w:rsidRPr="00DA3766" w14:paraId="0504A168" w14:textId="77777777" w:rsidTr="00DA3766">
        <w:trPr>
          <w:trHeight w:val="397"/>
          <w:jc w:val="center"/>
        </w:trPr>
        <w:tc>
          <w:tcPr>
            <w:tcW w:w="668" w:type="pct"/>
            <w:shd w:val="solid" w:color="FFFFFF" w:fill="FFFFFF"/>
            <w:vAlign w:val="center"/>
          </w:tcPr>
          <w:p w14:paraId="7F071827" w14:textId="4AD29130"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平均值</w:t>
            </w:r>
          </w:p>
        </w:tc>
        <w:tc>
          <w:tcPr>
            <w:tcW w:w="793" w:type="pct"/>
            <w:shd w:val="solid" w:color="FFFFFF" w:fill="FFFFFF"/>
            <w:vAlign w:val="center"/>
          </w:tcPr>
          <w:p w14:paraId="4E3696AA" w14:textId="4B3A3FE0"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-4,136.51</w:t>
            </w:r>
          </w:p>
        </w:tc>
        <w:tc>
          <w:tcPr>
            <w:tcW w:w="730" w:type="pct"/>
            <w:shd w:val="solid" w:color="FFFFFF" w:fill="FFFFFF"/>
            <w:vAlign w:val="center"/>
          </w:tcPr>
          <w:p w14:paraId="1F3ED366" w14:textId="5053971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-301.06%</w:t>
            </w:r>
          </w:p>
        </w:tc>
        <w:tc>
          <w:tcPr>
            <w:tcW w:w="730" w:type="pct"/>
            <w:shd w:val="solid" w:color="FFFFFF" w:fill="FFFFFF"/>
            <w:vAlign w:val="center"/>
          </w:tcPr>
          <w:p w14:paraId="4840A926" w14:textId="14B159A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2,057.35</w:t>
            </w:r>
          </w:p>
        </w:tc>
        <w:tc>
          <w:tcPr>
            <w:tcW w:w="732" w:type="pct"/>
            <w:shd w:val="solid" w:color="FFFFFF" w:fill="FFFFFF"/>
            <w:vAlign w:val="center"/>
          </w:tcPr>
          <w:p w14:paraId="73A60060" w14:textId="4EB7801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-37.38%</w:t>
            </w:r>
          </w:p>
        </w:tc>
        <w:tc>
          <w:tcPr>
            <w:tcW w:w="700" w:type="pct"/>
            <w:shd w:val="solid" w:color="FFFFFF" w:fill="FFFFFF"/>
            <w:vAlign w:val="center"/>
          </w:tcPr>
          <w:p w14:paraId="42696074" w14:textId="72CA31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3,285.37</w:t>
            </w:r>
          </w:p>
        </w:tc>
        <w:tc>
          <w:tcPr>
            <w:tcW w:w="648" w:type="pct"/>
            <w:shd w:val="solid" w:color="FFFFFF" w:fill="FFFFFF"/>
            <w:vAlign w:val="center"/>
          </w:tcPr>
          <w:p w14:paraId="5FA62C76" w14:textId="7EEFE98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-33.43%</w:t>
            </w:r>
          </w:p>
        </w:tc>
      </w:tr>
      <w:tr w:rsidR="00547DE2" w:rsidRPr="00DA3766" w14:paraId="66C3BED3" w14:textId="77777777" w:rsidTr="00DA3766">
        <w:trPr>
          <w:trHeight w:val="397"/>
          <w:jc w:val="center"/>
        </w:trPr>
        <w:tc>
          <w:tcPr>
            <w:tcW w:w="668" w:type="pct"/>
            <w:shd w:val="solid" w:color="FFFFFF" w:fill="FFFFFF"/>
            <w:vAlign w:val="center"/>
          </w:tcPr>
          <w:p w14:paraId="1DB0D3E5" w14:textId="54DF91F9"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中位数</w:t>
            </w:r>
          </w:p>
        </w:tc>
        <w:tc>
          <w:tcPr>
            <w:tcW w:w="793" w:type="pct"/>
            <w:shd w:val="solid" w:color="FFFFFF" w:fill="FFFFFF"/>
            <w:vAlign w:val="center"/>
          </w:tcPr>
          <w:p w14:paraId="23BDCC1D" w14:textId="51E7DA54"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-7,569.17</w:t>
            </w:r>
          </w:p>
        </w:tc>
        <w:tc>
          <w:tcPr>
            <w:tcW w:w="730" w:type="pct"/>
            <w:shd w:val="solid" w:color="FFFFFF" w:fill="FFFFFF"/>
            <w:vAlign w:val="center"/>
          </w:tcPr>
          <w:p w14:paraId="434C38CC" w14:textId="52D225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-283.92%</w:t>
            </w:r>
          </w:p>
        </w:tc>
        <w:tc>
          <w:tcPr>
            <w:tcW w:w="730" w:type="pct"/>
            <w:shd w:val="solid" w:color="FFFFFF" w:fill="FFFFFF"/>
            <w:vAlign w:val="center"/>
          </w:tcPr>
          <w:p w14:paraId="5E2BAFCB" w14:textId="46AFA9D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4,115.38</w:t>
            </w:r>
          </w:p>
        </w:tc>
        <w:tc>
          <w:tcPr>
            <w:tcW w:w="732" w:type="pct"/>
            <w:shd w:val="solid" w:color="FFFFFF" w:fill="FFFFFF"/>
            <w:vAlign w:val="center"/>
          </w:tcPr>
          <w:p w14:paraId="4D03D5BD" w14:textId="137A929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-34.76%</w:t>
            </w:r>
          </w:p>
        </w:tc>
        <w:tc>
          <w:tcPr>
            <w:tcW w:w="700" w:type="pct"/>
            <w:shd w:val="solid" w:color="FFFFFF" w:fill="FFFFFF"/>
            <w:vAlign w:val="center"/>
          </w:tcPr>
          <w:p w14:paraId="272B8915" w14:textId="5C13C1C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6,308.42</w:t>
            </w:r>
          </w:p>
        </w:tc>
        <w:tc>
          <w:tcPr>
            <w:tcW w:w="648" w:type="pct"/>
            <w:shd w:val="solid" w:color="FFFFFF" w:fill="FFFFFF"/>
            <w:vAlign w:val="center"/>
          </w:tcPr>
          <w:p w14:paraId="4C36A0CD" w14:textId="752FCFA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3.66%</w:t>
            </w:r>
          </w:p>
        </w:tc>
      </w:tr>
      <w:tr w:rsidR="00547DE2" w:rsidRPr="00DA3766" w14:paraId="3FFB50F9" w14:textId="77777777" w:rsidTr="00DA3766">
        <w:trPr>
          <w:trHeight w:val="397"/>
          <w:jc w:val="center"/>
        </w:trPr>
        <w:tc>
          <w:tcPr>
            <w:tcW w:w="668" w:type="pct"/>
            <w:shd w:val="solid" w:color="FFFFFF" w:fill="FFFFFF"/>
            <w:vAlign w:val="center"/>
          </w:tcPr>
          <w:p w14:paraId="7E7C8322" w14:textId="463F0154"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天亿马</w:t>
            </w:r>
          </w:p>
        </w:tc>
        <w:tc>
          <w:tcPr>
            <w:tcW w:w="793" w:type="pct"/>
            <w:shd w:val="solid" w:color="FFFFFF" w:fill="FFFFFF"/>
            <w:vAlign w:val="center"/>
          </w:tcPr>
          <w:p w14:paraId="09BFB16E" w14:textId="7CFE926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-4,955.28</w:t>
            </w:r>
          </w:p>
        </w:tc>
        <w:tc>
          <w:tcPr>
            <w:tcW w:w="730" w:type="pct"/>
            <w:shd w:val="solid" w:color="FFFFFF" w:fill="FFFFFF"/>
            <w:vAlign w:val="center"/>
          </w:tcPr>
          <w:p w14:paraId="1A068907" w14:textId="25FE98C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-875.60%</w:t>
            </w:r>
          </w:p>
        </w:tc>
        <w:tc>
          <w:tcPr>
            <w:tcW w:w="730" w:type="pct"/>
            <w:shd w:val="solid" w:color="FFFFFF" w:fill="FFFFFF"/>
            <w:vAlign w:val="center"/>
          </w:tcPr>
          <w:p w14:paraId="07C390A3" w14:textId="4D42D3A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638.90</w:t>
            </w:r>
          </w:p>
        </w:tc>
        <w:tc>
          <w:tcPr>
            <w:tcW w:w="732" w:type="pct"/>
            <w:shd w:val="solid" w:color="FFFFFF" w:fill="FFFFFF"/>
            <w:vAlign w:val="center"/>
          </w:tcPr>
          <w:p w14:paraId="74906E71" w14:textId="0596173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-83.85%</w:t>
            </w:r>
          </w:p>
        </w:tc>
        <w:tc>
          <w:tcPr>
            <w:tcW w:w="700" w:type="pct"/>
            <w:shd w:val="solid" w:color="FFFFFF" w:fill="FFFFFF"/>
            <w:vAlign w:val="center"/>
          </w:tcPr>
          <w:p w14:paraId="63E9CBDA" w14:textId="17BE98E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3,956.27</w:t>
            </w:r>
          </w:p>
        </w:tc>
        <w:tc>
          <w:tcPr>
            <w:tcW w:w="648" w:type="pct"/>
            <w:shd w:val="solid" w:color="FFFFFF" w:fill="FFFFFF"/>
            <w:vAlign w:val="center"/>
          </w:tcPr>
          <w:p w14:paraId="1B3E4C21" w14:textId="7DF33D1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-28.92%</w:t>
            </w:r>
          </w:p>
        </w:tc>
      </w:tr>
    </w:tbl>
    <w:p w14:paraId="275E4922" w14:textId="10E783DA"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根据上市公司与可比公司扣非归母净利润变动比例及其变动趋势，上市公司变动趋势与可比公司相同</w:t>
      </w:r>
      <w:r w:rsidR="00652B49" w:rsidRPr="00DA3766">
        <w:rPr>
          <w:rFonts w:ascii="Times New Roman" w:hAnsi="Times New Roman" w:cs="Times New Roman"/>
          <w:kern w:val="2"/>
          <w14:ligatures w14:val="standardContextual"/>
        </w:rPr>
        <w:t>，净利润变动范围在可比公司变动范围内</w:t>
      </w:r>
      <w:r w:rsidRPr="00DA3766">
        <w:rPr>
          <w:rFonts w:ascii="Times New Roman" w:hAnsi="Times New Roman" w:cs="Times New Roman"/>
          <w:kern w:val="2"/>
          <w14:ligatures w14:val="standardContextual"/>
        </w:rPr>
        <w:t>，不存在显著差异。</w:t>
      </w:r>
    </w:p>
    <w:p w14:paraId="67286DAC"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综上，受行业周期、政府财政压力、市场竞争加剧等因素影响，上市公司最近两年营业收入、毛利率、净利润持续下滑乃至亏损具有合理性，与同行业可比公司变动趋势一致。</w:t>
      </w:r>
    </w:p>
    <w:p w14:paraId="150454E6"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kern w:val="2"/>
          <w14:ligatures w14:val="standardContextual"/>
        </w:rPr>
      </w:pPr>
      <w:r w:rsidRPr="00DA3766">
        <w:rPr>
          <w:rFonts w:ascii="Times New Roman" w:hAnsi="Times New Roman" w:cs="Times New Roman"/>
          <w:b/>
          <w:kern w:val="2"/>
          <w14:ligatures w14:val="standardContextual"/>
        </w:rPr>
        <w:t>4</w:t>
      </w:r>
      <w:r w:rsidRPr="00DA3766">
        <w:rPr>
          <w:rFonts w:ascii="Times New Roman" w:hAnsi="Times New Roman" w:cs="Times New Roman"/>
          <w:b/>
          <w:kern w:val="2"/>
          <w14:ligatures w14:val="standardContextual"/>
        </w:rPr>
        <w:t>、业绩下滑风险</w:t>
      </w:r>
    </w:p>
    <w:p w14:paraId="6239C73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）在手订单情况</w:t>
      </w:r>
    </w:p>
    <w:p w14:paraId="5D9D0DC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在手订单情况参见本问题回复之</w:t>
      </w:r>
      <w:r w:rsidRPr="00DA3766">
        <w:rPr>
          <w:rFonts w:cs="Times New Roman"/>
          <w:kern w:val="2"/>
          <w14:ligatures w14:val="standardContextual"/>
        </w:rPr>
        <w:t>“</w:t>
      </w:r>
      <w:r w:rsidRPr="00DA3766">
        <w:rPr>
          <w:rFonts w:ascii="Times New Roman" w:hAnsi="Times New Roman" w:cs="Times New Roman"/>
          <w:kern w:val="2"/>
          <w14:ligatures w14:val="standardContextual"/>
        </w:rPr>
        <w:t>问题</w:t>
      </w:r>
      <w:r w:rsidRPr="00DA3766">
        <w:rPr>
          <w:rFonts w:ascii="Times New Roman" w:hAnsi="Times New Roman" w:cs="Times New Roman"/>
          <w:kern w:val="2"/>
          <w14:ligatures w14:val="standardContextual"/>
        </w:rPr>
        <w:t>10</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一、结合上市公司所处行</w:t>
      </w:r>
      <w:r w:rsidRPr="00DA3766">
        <w:rPr>
          <w:rFonts w:ascii="Times New Roman" w:hAnsi="Times New Roman" w:cs="Times New Roman"/>
          <w:kern w:val="2"/>
          <w14:ligatures w14:val="standardContextual"/>
        </w:rPr>
        <w:lastRenderedPageBreak/>
        <w:t>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（一）上市公司所处行业的发展趋势、市场空间、竞争情况</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、业务获取及开展情况</w:t>
      </w:r>
      <w:r w:rsidRPr="00DA3766">
        <w:rPr>
          <w:rFonts w:cs="Times New Roman"/>
          <w:kern w:val="2"/>
          <w14:ligatures w14:val="standardContextual"/>
        </w:rPr>
        <w:t>”</w:t>
      </w:r>
      <w:r w:rsidRPr="00DA3766">
        <w:rPr>
          <w:rFonts w:ascii="Times New Roman" w:hAnsi="Times New Roman" w:cs="Times New Roman"/>
          <w:kern w:val="2"/>
          <w14:ligatures w14:val="standardContextual"/>
        </w:rPr>
        <w:t>。</w:t>
      </w:r>
    </w:p>
    <w:p w14:paraId="6D277CD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）上市公司在保持和巩固现有业务领域优势同时，顺利开拓新业务领域</w:t>
      </w:r>
    </w:p>
    <w:p w14:paraId="1EED1841"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年，上市公司在继续巩固政务、教育、医疗等领域优势的同时，进一步开拓了智慧轨道交通、智慧企业、智慧能源业务、数据要素和算力服务领域，相关业务在</w:t>
      </w:r>
      <w:r w:rsidRPr="00DA3766">
        <w:rPr>
          <w:rFonts w:ascii="Times New Roman" w:hAnsi="Times New Roman" w:cs="Times New Roman"/>
        </w:rPr>
        <w:t>2025</w:t>
      </w:r>
      <w:r w:rsidRPr="00DA3766">
        <w:rPr>
          <w:rFonts w:ascii="Times New Roman" w:hAnsi="Times New Roman" w:cs="Times New Roman"/>
        </w:rPr>
        <w:t>年上半年实现收入</w:t>
      </w:r>
      <w:r w:rsidRPr="00DA3766">
        <w:rPr>
          <w:rFonts w:ascii="Times New Roman" w:hAnsi="Times New Roman" w:cs="Times New Roman"/>
        </w:rPr>
        <w:t>773.38</w:t>
      </w:r>
      <w:r w:rsidRPr="00DA3766">
        <w:rPr>
          <w:rFonts w:ascii="Times New Roman" w:hAnsi="Times New Roman" w:cs="Times New Roman"/>
        </w:rPr>
        <w:t>万元、</w:t>
      </w:r>
      <w:r w:rsidRPr="00DA3766">
        <w:rPr>
          <w:rFonts w:ascii="Times New Roman" w:hAnsi="Times New Roman" w:cs="Times New Roman"/>
        </w:rPr>
        <w:t>4,345.21</w:t>
      </w:r>
      <w:r w:rsidRPr="00DA3766">
        <w:rPr>
          <w:rFonts w:ascii="Times New Roman" w:hAnsi="Times New Roman" w:cs="Times New Roman"/>
        </w:rPr>
        <w:t>万元、</w:t>
      </w:r>
      <w:r w:rsidRPr="00DA3766">
        <w:rPr>
          <w:rFonts w:ascii="Times New Roman" w:hAnsi="Times New Roman" w:cs="Times New Roman"/>
        </w:rPr>
        <w:t>874.29</w:t>
      </w:r>
      <w:r w:rsidRPr="00DA3766">
        <w:rPr>
          <w:rFonts w:ascii="Times New Roman" w:hAnsi="Times New Roman" w:cs="Times New Roman"/>
        </w:rPr>
        <w:t>万元、</w:t>
      </w:r>
      <w:r w:rsidRPr="00DA3766">
        <w:rPr>
          <w:rFonts w:ascii="Times New Roman" w:hAnsi="Times New Roman" w:cs="Times New Roman"/>
        </w:rPr>
        <w:t>3,007.53</w:t>
      </w:r>
      <w:r w:rsidRPr="00DA3766">
        <w:rPr>
          <w:rFonts w:ascii="Times New Roman" w:hAnsi="Times New Roman" w:cs="Times New Roman"/>
        </w:rPr>
        <w:t>万元。具体情况如下：</w:t>
      </w:r>
    </w:p>
    <w:p w14:paraId="08C8287E" w14:textId="77777777" w:rsidR="003F2129" w:rsidRPr="00DA3766" w:rsidRDefault="003F2129" w:rsidP="007F36AF">
      <w:pPr>
        <w:pStyle w:val="009"/>
      </w:pPr>
      <w:r w:rsidRPr="00DA3766">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200"/>
        <w:gridCol w:w="1581"/>
        <w:gridCol w:w="1579"/>
        <w:gridCol w:w="1579"/>
        <w:gridCol w:w="1577"/>
      </w:tblGrid>
      <w:tr w:rsidR="003F2129" w:rsidRPr="00DA3766" w14:paraId="759F7786" w14:textId="77777777" w:rsidTr="00DA3766">
        <w:trPr>
          <w:trHeight w:val="397"/>
          <w:tblHeader/>
          <w:jc w:val="center"/>
        </w:trPr>
        <w:tc>
          <w:tcPr>
            <w:tcW w:w="1292" w:type="pct"/>
            <w:vMerge w:val="restart"/>
            <w:shd w:val="solid" w:color="FFFFFF" w:fill="FFFFFF"/>
            <w:vAlign w:val="center"/>
          </w:tcPr>
          <w:p w14:paraId="01C62A1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项目</w:t>
            </w:r>
          </w:p>
        </w:tc>
        <w:tc>
          <w:tcPr>
            <w:tcW w:w="1854" w:type="pct"/>
            <w:gridSpan w:val="2"/>
            <w:shd w:val="solid" w:color="FFFFFF" w:fill="FFFFFF"/>
            <w:vAlign w:val="center"/>
          </w:tcPr>
          <w:p w14:paraId="2A487BC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2025</w:t>
            </w:r>
            <w:r w:rsidRPr="00DA3766">
              <w:rPr>
                <w:rFonts w:ascii="Times New Roman" w:hAnsi="Times New Roman" w:cs="Times New Roman"/>
                <w:b/>
                <w:sz w:val="21"/>
              </w:rPr>
              <w:t>年</w:t>
            </w:r>
            <w:r w:rsidRPr="00DA3766">
              <w:rPr>
                <w:rFonts w:ascii="Times New Roman" w:hAnsi="Times New Roman" w:cs="Times New Roman"/>
                <w:b/>
                <w:sz w:val="21"/>
              </w:rPr>
              <w:t>1-6</w:t>
            </w:r>
            <w:r w:rsidRPr="00DA3766">
              <w:rPr>
                <w:rFonts w:ascii="Times New Roman" w:hAnsi="Times New Roman" w:cs="Times New Roman"/>
                <w:b/>
                <w:sz w:val="21"/>
              </w:rPr>
              <w:t>月</w:t>
            </w:r>
          </w:p>
        </w:tc>
        <w:tc>
          <w:tcPr>
            <w:tcW w:w="1854" w:type="pct"/>
            <w:gridSpan w:val="2"/>
            <w:shd w:val="solid" w:color="FFFFFF" w:fill="FFFFFF"/>
            <w:vAlign w:val="center"/>
          </w:tcPr>
          <w:p w14:paraId="39C27F6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2024</w:t>
            </w:r>
            <w:r w:rsidRPr="00DA3766">
              <w:rPr>
                <w:rFonts w:ascii="Times New Roman" w:hAnsi="Times New Roman" w:cs="Times New Roman"/>
                <w:b/>
                <w:sz w:val="21"/>
              </w:rPr>
              <w:t>年度</w:t>
            </w:r>
          </w:p>
        </w:tc>
      </w:tr>
      <w:tr w:rsidR="003F2129" w:rsidRPr="00DA3766" w14:paraId="71BE7570" w14:textId="77777777" w:rsidTr="00DA3766">
        <w:trPr>
          <w:trHeight w:val="397"/>
          <w:tblHeader/>
          <w:jc w:val="center"/>
        </w:trPr>
        <w:tc>
          <w:tcPr>
            <w:tcW w:w="1292" w:type="pct"/>
            <w:vMerge/>
            <w:shd w:val="solid" w:color="FFFFFF" w:fill="FFFFFF"/>
            <w:vAlign w:val="center"/>
          </w:tcPr>
          <w:p w14:paraId="01B9445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p>
        </w:tc>
        <w:tc>
          <w:tcPr>
            <w:tcW w:w="928" w:type="pct"/>
            <w:shd w:val="solid" w:color="FFFFFF" w:fill="FFFFFF"/>
            <w:vAlign w:val="center"/>
          </w:tcPr>
          <w:p w14:paraId="3B7FB6C4"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销售收入</w:t>
            </w:r>
          </w:p>
        </w:tc>
        <w:tc>
          <w:tcPr>
            <w:tcW w:w="927" w:type="pct"/>
            <w:shd w:val="solid" w:color="FFFFFF" w:fill="FFFFFF"/>
            <w:vAlign w:val="center"/>
          </w:tcPr>
          <w:p w14:paraId="2D934C08"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销售占比</w:t>
            </w:r>
          </w:p>
        </w:tc>
        <w:tc>
          <w:tcPr>
            <w:tcW w:w="927" w:type="pct"/>
            <w:shd w:val="solid" w:color="FFFFFF" w:fill="FFFFFF"/>
            <w:vAlign w:val="center"/>
          </w:tcPr>
          <w:p w14:paraId="06D89CB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销售收入</w:t>
            </w:r>
          </w:p>
        </w:tc>
        <w:tc>
          <w:tcPr>
            <w:tcW w:w="927" w:type="pct"/>
            <w:shd w:val="solid" w:color="FFFFFF" w:fill="FFFFFF"/>
            <w:vAlign w:val="center"/>
          </w:tcPr>
          <w:p w14:paraId="3EFFADE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销售占比</w:t>
            </w:r>
          </w:p>
        </w:tc>
      </w:tr>
      <w:tr w:rsidR="003F2129" w:rsidRPr="00DA3766" w14:paraId="0A4C3E57" w14:textId="77777777" w:rsidTr="00DA3766">
        <w:trPr>
          <w:trHeight w:val="397"/>
          <w:jc w:val="center"/>
        </w:trPr>
        <w:tc>
          <w:tcPr>
            <w:tcW w:w="1292" w:type="pct"/>
            <w:shd w:val="solid" w:color="FFFFFF" w:fill="FFFFFF"/>
            <w:vAlign w:val="center"/>
          </w:tcPr>
          <w:p w14:paraId="32AC4EB0"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智慧政务</w:t>
            </w:r>
          </w:p>
        </w:tc>
        <w:tc>
          <w:tcPr>
            <w:tcW w:w="928" w:type="pct"/>
            <w:shd w:val="solid" w:color="FFFFFF" w:fill="FFFFFF"/>
            <w:vAlign w:val="center"/>
          </w:tcPr>
          <w:p w14:paraId="1753794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2,786.17</w:t>
            </w:r>
          </w:p>
        </w:tc>
        <w:tc>
          <w:tcPr>
            <w:tcW w:w="927" w:type="pct"/>
            <w:shd w:val="solid" w:color="FFFFFF" w:fill="FFFFFF"/>
            <w:vAlign w:val="center"/>
          </w:tcPr>
          <w:p w14:paraId="78613DC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19.13%</w:t>
            </w:r>
          </w:p>
        </w:tc>
        <w:tc>
          <w:tcPr>
            <w:tcW w:w="927" w:type="pct"/>
            <w:shd w:val="solid" w:color="FFFFFF" w:fill="FFFFFF"/>
            <w:vAlign w:val="center"/>
          </w:tcPr>
          <w:p w14:paraId="458B43E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4,757.97</w:t>
            </w:r>
          </w:p>
        </w:tc>
        <w:tc>
          <w:tcPr>
            <w:tcW w:w="927" w:type="pct"/>
            <w:shd w:val="solid" w:color="FFFFFF" w:fill="FFFFFF"/>
            <w:vAlign w:val="center"/>
          </w:tcPr>
          <w:p w14:paraId="0AB985B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21.28%</w:t>
            </w:r>
          </w:p>
        </w:tc>
      </w:tr>
      <w:tr w:rsidR="003F2129" w:rsidRPr="00DA3766" w14:paraId="396E879D" w14:textId="77777777" w:rsidTr="00DA3766">
        <w:trPr>
          <w:trHeight w:val="397"/>
          <w:jc w:val="center"/>
        </w:trPr>
        <w:tc>
          <w:tcPr>
            <w:tcW w:w="1292" w:type="pct"/>
            <w:shd w:val="solid" w:color="FFFFFF" w:fill="FFFFFF"/>
            <w:vAlign w:val="center"/>
          </w:tcPr>
          <w:p w14:paraId="2A00363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智慧教育</w:t>
            </w:r>
          </w:p>
        </w:tc>
        <w:tc>
          <w:tcPr>
            <w:tcW w:w="928" w:type="pct"/>
            <w:shd w:val="solid" w:color="FFFFFF" w:fill="FFFFFF"/>
            <w:vAlign w:val="center"/>
          </w:tcPr>
          <w:p w14:paraId="652BE48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2,079.00</w:t>
            </w:r>
          </w:p>
        </w:tc>
        <w:tc>
          <w:tcPr>
            <w:tcW w:w="927" w:type="pct"/>
            <w:shd w:val="solid" w:color="FFFFFF" w:fill="FFFFFF"/>
            <w:vAlign w:val="center"/>
          </w:tcPr>
          <w:p w14:paraId="5FEB942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14.28%</w:t>
            </w:r>
          </w:p>
        </w:tc>
        <w:tc>
          <w:tcPr>
            <w:tcW w:w="927" w:type="pct"/>
            <w:shd w:val="solid" w:color="FFFFFF" w:fill="FFFFFF"/>
            <w:vAlign w:val="center"/>
          </w:tcPr>
          <w:p w14:paraId="6BA0102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8,119.49</w:t>
            </w:r>
          </w:p>
        </w:tc>
        <w:tc>
          <w:tcPr>
            <w:tcW w:w="927" w:type="pct"/>
            <w:shd w:val="solid" w:color="FFFFFF" w:fill="FFFFFF"/>
            <w:vAlign w:val="center"/>
          </w:tcPr>
          <w:p w14:paraId="7697D25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36.31%</w:t>
            </w:r>
          </w:p>
        </w:tc>
      </w:tr>
      <w:tr w:rsidR="003F2129" w:rsidRPr="00DA3766" w14:paraId="73853060" w14:textId="77777777" w:rsidTr="00DA3766">
        <w:trPr>
          <w:trHeight w:val="397"/>
          <w:jc w:val="center"/>
        </w:trPr>
        <w:tc>
          <w:tcPr>
            <w:tcW w:w="1292" w:type="pct"/>
            <w:shd w:val="solid" w:color="FFFFFF" w:fill="FFFFFF"/>
            <w:vAlign w:val="center"/>
          </w:tcPr>
          <w:p w14:paraId="60556AAC"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智慧企业</w:t>
            </w:r>
          </w:p>
        </w:tc>
        <w:tc>
          <w:tcPr>
            <w:tcW w:w="928" w:type="pct"/>
            <w:shd w:val="solid" w:color="FFFFFF" w:fill="FFFFFF"/>
            <w:vAlign w:val="center"/>
          </w:tcPr>
          <w:p w14:paraId="47EA441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4,345.21</w:t>
            </w:r>
          </w:p>
        </w:tc>
        <w:tc>
          <w:tcPr>
            <w:tcW w:w="927" w:type="pct"/>
            <w:shd w:val="solid" w:color="FFFFFF" w:fill="FFFFFF"/>
            <w:vAlign w:val="center"/>
          </w:tcPr>
          <w:p w14:paraId="0144018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29.84%</w:t>
            </w:r>
          </w:p>
        </w:tc>
        <w:tc>
          <w:tcPr>
            <w:tcW w:w="927" w:type="pct"/>
            <w:shd w:val="solid" w:color="FFFFFF" w:fill="FFFFFF"/>
            <w:vAlign w:val="center"/>
          </w:tcPr>
          <w:p w14:paraId="28FA53B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4,338.66</w:t>
            </w:r>
          </w:p>
        </w:tc>
        <w:tc>
          <w:tcPr>
            <w:tcW w:w="927" w:type="pct"/>
            <w:shd w:val="solid" w:color="FFFFFF" w:fill="FFFFFF"/>
            <w:vAlign w:val="center"/>
          </w:tcPr>
          <w:p w14:paraId="266B0A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19.40%</w:t>
            </w:r>
          </w:p>
        </w:tc>
      </w:tr>
      <w:tr w:rsidR="003F2129" w:rsidRPr="00DA3766" w14:paraId="36E35049" w14:textId="77777777" w:rsidTr="00DA3766">
        <w:trPr>
          <w:trHeight w:val="397"/>
          <w:jc w:val="center"/>
        </w:trPr>
        <w:tc>
          <w:tcPr>
            <w:tcW w:w="1292" w:type="pct"/>
            <w:shd w:val="solid" w:color="FFFFFF" w:fill="FFFFFF"/>
            <w:vAlign w:val="center"/>
          </w:tcPr>
          <w:p w14:paraId="579DCACC"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算力服务</w:t>
            </w:r>
          </w:p>
        </w:tc>
        <w:tc>
          <w:tcPr>
            <w:tcW w:w="928" w:type="pct"/>
            <w:shd w:val="solid" w:color="FFFFFF" w:fill="FFFFFF"/>
            <w:vAlign w:val="center"/>
          </w:tcPr>
          <w:p w14:paraId="5B79D65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3,007.53</w:t>
            </w:r>
          </w:p>
        </w:tc>
        <w:tc>
          <w:tcPr>
            <w:tcW w:w="927" w:type="pct"/>
            <w:shd w:val="solid" w:color="FFFFFF" w:fill="FFFFFF"/>
            <w:vAlign w:val="center"/>
          </w:tcPr>
          <w:p w14:paraId="6C20A676"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20.65%</w:t>
            </w:r>
          </w:p>
        </w:tc>
        <w:tc>
          <w:tcPr>
            <w:tcW w:w="927" w:type="pct"/>
            <w:shd w:val="solid" w:color="FFFFFF" w:fill="FFFFFF"/>
            <w:vAlign w:val="center"/>
          </w:tcPr>
          <w:p w14:paraId="3B9EFB6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w:t>
            </w:r>
          </w:p>
        </w:tc>
        <w:tc>
          <w:tcPr>
            <w:tcW w:w="927" w:type="pct"/>
            <w:shd w:val="solid" w:color="FFFFFF" w:fill="FFFFFF"/>
            <w:vAlign w:val="center"/>
          </w:tcPr>
          <w:p w14:paraId="5D20302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w:t>
            </w:r>
          </w:p>
        </w:tc>
      </w:tr>
      <w:tr w:rsidR="003F2129" w:rsidRPr="00DA3766" w14:paraId="6EE50A1D" w14:textId="77777777" w:rsidTr="00DA3766">
        <w:trPr>
          <w:trHeight w:val="397"/>
          <w:jc w:val="center"/>
        </w:trPr>
        <w:tc>
          <w:tcPr>
            <w:tcW w:w="1292" w:type="pct"/>
            <w:shd w:val="solid" w:color="FFFFFF" w:fill="FFFFFF"/>
            <w:vAlign w:val="center"/>
          </w:tcPr>
          <w:p w14:paraId="498BC26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新能源电力</w:t>
            </w:r>
          </w:p>
        </w:tc>
        <w:tc>
          <w:tcPr>
            <w:tcW w:w="928" w:type="pct"/>
            <w:shd w:val="solid" w:color="FFFFFF" w:fill="FFFFFF"/>
            <w:vAlign w:val="center"/>
          </w:tcPr>
          <w:p w14:paraId="11ACF6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874.29</w:t>
            </w:r>
          </w:p>
        </w:tc>
        <w:tc>
          <w:tcPr>
            <w:tcW w:w="927" w:type="pct"/>
            <w:shd w:val="solid" w:color="FFFFFF" w:fill="FFFFFF"/>
            <w:vAlign w:val="center"/>
          </w:tcPr>
          <w:p w14:paraId="33788E1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6.00%</w:t>
            </w:r>
          </w:p>
        </w:tc>
        <w:tc>
          <w:tcPr>
            <w:tcW w:w="927" w:type="pct"/>
            <w:shd w:val="solid" w:color="FFFFFF" w:fill="FFFFFF"/>
            <w:vAlign w:val="center"/>
          </w:tcPr>
          <w:p w14:paraId="32F01E8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64.34</w:t>
            </w:r>
          </w:p>
        </w:tc>
        <w:tc>
          <w:tcPr>
            <w:tcW w:w="927" w:type="pct"/>
            <w:shd w:val="solid" w:color="FFFFFF" w:fill="FFFFFF"/>
            <w:vAlign w:val="center"/>
          </w:tcPr>
          <w:p w14:paraId="40CF61B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0.29%</w:t>
            </w:r>
          </w:p>
        </w:tc>
      </w:tr>
      <w:tr w:rsidR="003F2129" w:rsidRPr="00DA3766" w14:paraId="31E3A87E" w14:textId="77777777" w:rsidTr="00DA3766">
        <w:trPr>
          <w:trHeight w:val="397"/>
          <w:jc w:val="center"/>
        </w:trPr>
        <w:tc>
          <w:tcPr>
            <w:tcW w:w="1292" w:type="pct"/>
            <w:shd w:val="solid" w:color="FFFFFF" w:fill="FFFFFF"/>
            <w:vAlign w:val="center"/>
          </w:tcPr>
          <w:p w14:paraId="63C1E9C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轨道交通</w:t>
            </w:r>
          </w:p>
        </w:tc>
        <w:tc>
          <w:tcPr>
            <w:tcW w:w="928" w:type="pct"/>
            <w:shd w:val="solid" w:color="FFFFFF" w:fill="FFFFFF"/>
            <w:vAlign w:val="center"/>
          </w:tcPr>
          <w:p w14:paraId="213353A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773.38</w:t>
            </w:r>
          </w:p>
        </w:tc>
        <w:tc>
          <w:tcPr>
            <w:tcW w:w="927" w:type="pct"/>
            <w:shd w:val="solid" w:color="FFFFFF" w:fill="FFFFFF"/>
            <w:vAlign w:val="center"/>
          </w:tcPr>
          <w:p w14:paraId="491C58D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5.31%</w:t>
            </w:r>
          </w:p>
        </w:tc>
        <w:tc>
          <w:tcPr>
            <w:tcW w:w="927" w:type="pct"/>
            <w:shd w:val="solid" w:color="FFFFFF" w:fill="FFFFFF"/>
            <w:vAlign w:val="center"/>
          </w:tcPr>
          <w:p w14:paraId="5F89655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2,342.73</w:t>
            </w:r>
          </w:p>
        </w:tc>
        <w:tc>
          <w:tcPr>
            <w:tcW w:w="927" w:type="pct"/>
            <w:shd w:val="solid" w:color="FFFFFF" w:fill="FFFFFF"/>
            <w:vAlign w:val="center"/>
          </w:tcPr>
          <w:p w14:paraId="35023CC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10.47%</w:t>
            </w:r>
          </w:p>
        </w:tc>
      </w:tr>
      <w:tr w:rsidR="003F2129" w:rsidRPr="00DA3766" w14:paraId="017756FA" w14:textId="77777777" w:rsidTr="00DA3766">
        <w:trPr>
          <w:trHeight w:val="397"/>
          <w:jc w:val="center"/>
        </w:trPr>
        <w:tc>
          <w:tcPr>
            <w:tcW w:w="1292" w:type="pct"/>
            <w:shd w:val="solid" w:color="FFFFFF" w:fill="FFFFFF"/>
            <w:vAlign w:val="center"/>
          </w:tcPr>
          <w:p w14:paraId="05C3B4B5"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智慧医疗</w:t>
            </w:r>
          </w:p>
        </w:tc>
        <w:tc>
          <w:tcPr>
            <w:tcW w:w="928" w:type="pct"/>
            <w:shd w:val="solid" w:color="FFFFFF" w:fill="FFFFFF"/>
            <w:vAlign w:val="center"/>
          </w:tcPr>
          <w:p w14:paraId="3FF8297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693.48</w:t>
            </w:r>
          </w:p>
        </w:tc>
        <w:tc>
          <w:tcPr>
            <w:tcW w:w="927" w:type="pct"/>
            <w:shd w:val="solid" w:color="FFFFFF" w:fill="FFFFFF"/>
            <w:vAlign w:val="center"/>
          </w:tcPr>
          <w:p w14:paraId="2E5ABBE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4.76%</w:t>
            </w:r>
          </w:p>
        </w:tc>
        <w:tc>
          <w:tcPr>
            <w:tcW w:w="927" w:type="pct"/>
            <w:shd w:val="solid" w:color="FFFFFF" w:fill="FFFFFF"/>
            <w:vAlign w:val="center"/>
          </w:tcPr>
          <w:p w14:paraId="69E75D5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2,591.71</w:t>
            </w:r>
          </w:p>
        </w:tc>
        <w:tc>
          <w:tcPr>
            <w:tcW w:w="927" w:type="pct"/>
            <w:shd w:val="solid" w:color="FFFFFF" w:fill="FFFFFF"/>
            <w:vAlign w:val="center"/>
          </w:tcPr>
          <w:p w14:paraId="6BF3C27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11.59%</w:t>
            </w:r>
          </w:p>
        </w:tc>
      </w:tr>
      <w:tr w:rsidR="003F2129" w:rsidRPr="00DA3766" w14:paraId="42012BD6" w14:textId="77777777" w:rsidTr="00DA3766">
        <w:trPr>
          <w:trHeight w:val="397"/>
          <w:jc w:val="center"/>
        </w:trPr>
        <w:tc>
          <w:tcPr>
            <w:tcW w:w="1292" w:type="pct"/>
            <w:shd w:val="solid" w:color="FFFFFF" w:fill="FFFFFF"/>
            <w:vAlign w:val="center"/>
          </w:tcPr>
          <w:p w14:paraId="5A5053EA"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其他业务收入</w:t>
            </w:r>
          </w:p>
        </w:tc>
        <w:tc>
          <w:tcPr>
            <w:tcW w:w="928" w:type="pct"/>
            <w:shd w:val="solid" w:color="FFFFFF" w:fill="FFFFFF"/>
            <w:vAlign w:val="center"/>
          </w:tcPr>
          <w:p w14:paraId="56B0207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3.90</w:t>
            </w:r>
          </w:p>
        </w:tc>
        <w:tc>
          <w:tcPr>
            <w:tcW w:w="927" w:type="pct"/>
            <w:shd w:val="solid" w:color="FFFFFF" w:fill="FFFFFF"/>
            <w:vAlign w:val="center"/>
          </w:tcPr>
          <w:p w14:paraId="3DDA15C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0.03%</w:t>
            </w:r>
          </w:p>
        </w:tc>
        <w:tc>
          <w:tcPr>
            <w:tcW w:w="927" w:type="pct"/>
            <w:shd w:val="solid" w:color="FFFFFF" w:fill="FFFFFF"/>
            <w:vAlign w:val="center"/>
          </w:tcPr>
          <w:p w14:paraId="72813A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148.40</w:t>
            </w:r>
          </w:p>
        </w:tc>
        <w:tc>
          <w:tcPr>
            <w:tcW w:w="927" w:type="pct"/>
            <w:shd w:val="solid" w:color="FFFFFF" w:fill="FFFFFF"/>
            <w:vAlign w:val="center"/>
          </w:tcPr>
          <w:p w14:paraId="62A07DA6"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0.66%</w:t>
            </w:r>
          </w:p>
        </w:tc>
      </w:tr>
      <w:tr w:rsidR="003F2129" w:rsidRPr="00DA3766" w14:paraId="0E1D98C7" w14:textId="77777777" w:rsidTr="00DA3766">
        <w:trPr>
          <w:trHeight w:val="397"/>
          <w:jc w:val="center"/>
        </w:trPr>
        <w:tc>
          <w:tcPr>
            <w:tcW w:w="1292" w:type="pct"/>
            <w:shd w:val="solid" w:color="FFFFFF" w:fill="FFFFFF"/>
            <w:vAlign w:val="center"/>
          </w:tcPr>
          <w:p w14:paraId="41FB851D" w14:textId="77777777" w:rsidR="003F2129" w:rsidRPr="00DA3766" w:rsidRDefault="003F2129" w:rsidP="00DA3766">
            <w:pPr>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合计</w:t>
            </w:r>
          </w:p>
        </w:tc>
        <w:tc>
          <w:tcPr>
            <w:tcW w:w="928" w:type="pct"/>
            <w:shd w:val="solid" w:color="FFFFFF" w:fill="FFFFFF"/>
            <w:vAlign w:val="center"/>
          </w:tcPr>
          <w:p w14:paraId="692E713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14,562.95</w:t>
            </w:r>
          </w:p>
        </w:tc>
        <w:tc>
          <w:tcPr>
            <w:tcW w:w="927" w:type="pct"/>
            <w:shd w:val="solid" w:color="FFFFFF" w:fill="FFFFFF"/>
            <w:vAlign w:val="center"/>
          </w:tcPr>
          <w:p w14:paraId="35BB2AD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100</w:t>
            </w:r>
            <w:r w:rsidRPr="00DA3766">
              <w:rPr>
                <w:rFonts w:ascii="Times New Roman" w:hAnsi="Times New Roman" w:cs="Times New Roman"/>
                <w:b/>
                <w:sz w:val="21"/>
                <w:szCs w:val="21"/>
              </w:rPr>
              <w:t>.00</w:t>
            </w:r>
            <w:r w:rsidRPr="00DA3766">
              <w:rPr>
                <w:rFonts w:ascii="Times New Roman" w:hAnsi="Times New Roman" w:cs="Times New Roman"/>
                <w:b/>
                <w:sz w:val="21"/>
              </w:rPr>
              <w:t>%</w:t>
            </w:r>
          </w:p>
        </w:tc>
        <w:tc>
          <w:tcPr>
            <w:tcW w:w="927" w:type="pct"/>
            <w:shd w:val="solid" w:color="FFFFFF" w:fill="FFFFFF"/>
            <w:vAlign w:val="center"/>
          </w:tcPr>
          <w:p w14:paraId="686779B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22,363.30</w:t>
            </w:r>
          </w:p>
        </w:tc>
        <w:tc>
          <w:tcPr>
            <w:tcW w:w="927" w:type="pct"/>
            <w:shd w:val="solid" w:color="FFFFFF" w:fill="FFFFFF"/>
            <w:vAlign w:val="center"/>
          </w:tcPr>
          <w:p w14:paraId="64B4FB6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100</w:t>
            </w:r>
            <w:r w:rsidRPr="00DA3766">
              <w:rPr>
                <w:rFonts w:ascii="Times New Roman" w:hAnsi="Times New Roman" w:cs="Times New Roman"/>
                <w:b/>
                <w:sz w:val="21"/>
                <w:szCs w:val="21"/>
              </w:rPr>
              <w:t>.00</w:t>
            </w:r>
            <w:r w:rsidRPr="00DA3766">
              <w:rPr>
                <w:rFonts w:ascii="Times New Roman" w:hAnsi="Times New Roman" w:cs="Times New Roman"/>
                <w:b/>
                <w:sz w:val="21"/>
              </w:rPr>
              <w:t>%</w:t>
            </w:r>
          </w:p>
        </w:tc>
      </w:tr>
    </w:tbl>
    <w:p w14:paraId="207AD586"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t>①</w:t>
      </w:r>
      <w:r w:rsidRPr="00DA3766">
        <w:rPr>
          <w:rFonts w:ascii="Times New Roman" w:hAnsi="Times New Roman" w:cs="Times New Roman"/>
        </w:rPr>
        <w:t>在智慧轨道交通方面，控股子公司广图粤科为智能电网及轨道交通智能供电智能运维的专家级技术供应商及核心服务商，报告期内持续中标广深铁路、衡阳供电段、广州供电段等重大项目。</w:t>
      </w:r>
    </w:p>
    <w:p w14:paraId="235E373E"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t>②</w:t>
      </w:r>
      <w:r w:rsidRPr="00DA3766">
        <w:rPr>
          <w:rFonts w:ascii="Times New Roman" w:hAnsi="Times New Roman" w:cs="Times New Roman"/>
        </w:rPr>
        <w:t>在智慧企业方面，上市公司凭借信息技术领域的深厚实力和创新能力，中标南方电网</w:t>
      </w:r>
      <w:r w:rsidRPr="00DA3766">
        <w:rPr>
          <w:rFonts w:cs="Times New Roman"/>
        </w:rPr>
        <w:t>“</w:t>
      </w:r>
      <w:r w:rsidRPr="00DA3766">
        <w:rPr>
          <w:rFonts w:ascii="Times New Roman" w:hAnsi="Times New Roman" w:cs="Times New Roman"/>
        </w:rPr>
        <w:t>信息化项目</w:t>
      </w:r>
      <w:r w:rsidRPr="00DA3766">
        <w:rPr>
          <w:rFonts w:cs="Times New Roman"/>
        </w:rPr>
        <w:t>”“</w:t>
      </w:r>
      <w:r w:rsidRPr="00DA3766">
        <w:rPr>
          <w:rFonts w:ascii="Times New Roman" w:hAnsi="Times New Roman" w:cs="Times New Roman"/>
        </w:rPr>
        <w:t>业务财务融合</w:t>
      </w:r>
      <w:r w:rsidRPr="00DA3766">
        <w:rPr>
          <w:rFonts w:cs="Times New Roman"/>
        </w:rPr>
        <w:t>”</w:t>
      </w:r>
      <w:r w:rsidRPr="00DA3766">
        <w:rPr>
          <w:rFonts w:ascii="Times New Roman" w:hAnsi="Times New Roman" w:cs="Times New Roman"/>
        </w:rPr>
        <w:t>等项目，成功入选汕头市中小企业数字化转型城市试点数字化牵引单位。</w:t>
      </w:r>
    </w:p>
    <w:p w14:paraId="707A1CE3" w14:textId="77777777" w:rsidR="003F2129" w:rsidRPr="00DA3766" w:rsidRDefault="003F2129" w:rsidP="003F2129">
      <w:pPr>
        <w:snapToGrid w:val="0"/>
        <w:spacing w:before="120" w:afterLines="0" w:after="0"/>
        <w:ind w:firstLine="480"/>
        <w:jc w:val="both"/>
        <w:rPr>
          <w:rFonts w:ascii="Times New Roman" w:hAnsi="Times New Roman" w:cs="Times New Roman"/>
          <w:color w:val="0000FF"/>
        </w:rPr>
      </w:pPr>
      <w:r w:rsidRPr="00DA3766">
        <w:rPr>
          <w:rFonts w:hint="eastAsia"/>
        </w:rPr>
        <w:t>③</w:t>
      </w:r>
      <w:r w:rsidRPr="00DA3766">
        <w:rPr>
          <w:rFonts w:ascii="Times New Roman" w:hAnsi="Times New Roman" w:cs="Times New Roman"/>
        </w:rPr>
        <w:t>智慧能源方面，上市公司已顺利切入智慧能源业务，截至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日，已实现并网发电项目总计约</w:t>
      </w:r>
      <w:r w:rsidRPr="00DA3766">
        <w:rPr>
          <w:rFonts w:ascii="Times New Roman" w:hAnsi="Times New Roman" w:cs="Times New Roman"/>
        </w:rPr>
        <w:t>53MW</w:t>
      </w:r>
      <w:r w:rsidRPr="00DA3766">
        <w:rPr>
          <w:rFonts w:ascii="Times New Roman" w:hAnsi="Times New Roman" w:cs="Times New Roman"/>
        </w:rPr>
        <w:t>。</w:t>
      </w:r>
    </w:p>
    <w:p w14:paraId="17B328BA"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lastRenderedPageBreak/>
        <w:t>④</w:t>
      </w:r>
      <w:r w:rsidRPr="00DA3766">
        <w:rPr>
          <w:rFonts w:ascii="Times New Roman" w:hAnsi="Times New Roman" w:cs="Times New Roman"/>
        </w:rPr>
        <w:t>上市公司加速布局数据要素和算力服务领域：</w:t>
      </w:r>
      <w:r w:rsidRPr="00DA3766">
        <w:rPr>
          <w:rFonts w:ascii="Times New Roman" w:hAnsi="Times New Roman" w:cs="Times New Roman"/>
        </w:rPr>
        <w:t>A</w:t>
      </w:r>
      <w:r w:rsidRPr="00DA3766">
        <w:rPr>
          <w:rFonts w:ascii="Times New Roman" w:hAnsi="Times New Roman" w:cs="Times New Roman"/>
        </w:rPr>
        <w:t>、数据要素方面，公司完成具有广东省首批数据经纪人资质的翼启数据的战略并购，翼启数据已开发出</w:t>
      </w:r>
      <w:r w:rsidRPr="00DA3766">
        <w:rPr>
          <w:rFonts w:cs="Times New Roman"/>
        </w:rPr>
        <w:t>“</w:t>
      </w:r>
      <w:r w:rsidRPr="00DA3766">
        <w:rPr>
          <w:rFonts w:ascii="Times New Roman" w:hAnsi="Times New Roman" w:cs="Times New Roman"/>
        </w:rPr>
        <w:t>养殖户经营健康指数</w:t>
      </w:r>
      <w:r w:rsidRPr="00DA3766">
        <w:rPr>
          <w:rFonts w:cs="Times New Roman"/>
        </w:rPr>
        <w:t>”</w:t>
      </w:r>
      <w:r w:rsidRPr="00DA3766">
        <w:rPr>
          <w:rFonts w:ascii="Times New Roman" w:hAnsi="Times New Roman" w:cs="Times New Roman"/>
        </w:rPr>
        <w:t>等多个数据产品推向市场，正在构建数据治理、确权、交易全链条服务能力，未来将依托国家大力发展数据产业的政策东风，持续拓展数据要素业务。</w:t>
      </w:r>
      <w:r w:rsidRPr="00DA3766">
        <w:rPr>
          <w:rFonts w:ascii="Times New Roman" w:hAnsi="Times New Roman" w:cs="Times New Roman"/>
        </w:rPr>
        <w:t>B</w:t>
      </w:r>
      <w:r w:rsidRPr="00DA3766">
        <w:rPr>
          <w:rFonts w:ascii="Times New Roman" w:hAnsi="Times New Roman" w:cs="Times New Roman"/>
        </w:rPr>
        <w:t>、算力服务方面，公司投资建设了位于深圳的算力集群服务项目，项目总算力规模达</w:t>
      </w:r>
      <w:r w:rsidRPr="00DA3766">
        <w:rPr>
          <w:rFonts w:ascii="Times New Roman" w:hAnsi="Times New Roman" w:cs="Times New Roman"/>
        </w:rPr>
        <w:t>1000P@FP16</w:t>
      </w:r>
      <w:r w:rsidRPr="00DA3766">
        <w:rPr>
          <w:rFonts w:ascii="Times New Roman" w:hAnsi="Times New Roman" w:cs="Times New Roman"/>
        </w:rPr>
        <w:t>，为首个落地深圳的国内头部大模型算力底座。公司将以该项目为契机，结合公司核心技术、资源等持续打造具有竞争力的算力服务综合解决方案。</w:t>
      </w:r>
    </w:p>
    <w:p w14:paraId="4F2E2F9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）宏观政策环境持续改善，地方财政预算不足困境有望缓解</w:t>
      </w:r>
    </w:p>
    <w:p w14:paraId="39E40999"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宏观政策方面，国家实施更为积极的财政政策，前述行业不利因素有望得到改善。自</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11</w:t>
      </w:r>
      <w:r w:rsidRPr="00DA3766">
        <w:rPr>
          <w:rFonts w:ascii="Times New Roman" w:hAnsi="Times New Roman" w:cs="Times New Roman"/>
        </w:rPr>
        <w:t>月以来，全国人大常委会批准《国务院关于提请审议增加地方政府债务限额置换存量隐性债务的议案》，推出</w:t>
      </w:r>
      <w:r w:rsidRPr="00DA3766">
        <w:rPr>
          <w:rFonts w:cs="Times New Roman"/>
        </w:rPr>
        <w:t>“</w:t>
      </w:r>
      <w:r w:rsidRPr="00DA3766">
        <w:rPr>
          <w:rFonts w:ascii="Times New Roman" w:hAnsi="Times New Roman" w:cs="Times New Roman"/>
        </w:rPr>
        <w:t>6+4+2</w:t>
      </w:r>
      <w:r w:rsidRPr="00DA3766">
        <w:rPr>
          <w:rFonts w:cs="Times New Roman"/>
        </w:rPr>
        <w:t>”</w:t>
      </w:r>
      <w:r w:rsidRPr="00DA3766">
        <w:rPr>
          <w:rFonts w:ascii="Times New Roman" w:hAnsi="Times New Roman" w:cs="Times New Roman"/>
        </w:rPr>
        <w:t>化债方案。</w:t>
      </w:r>
      <w:r w:rsidRPr="00DA3766">
        <w:rPr>
          <w:rFonts w:ascii="Times New Roman" w:hAnsi="Times New Roman" w:cs="Times New Roman"/>
        </w:rPr>
        <w:t>2025</w:t>
      </w:r>
      <w:r w:rsidRPr="00DA3766">
        <w:rPr>
          <w:rFonts w:ascii="Times New Roman" w:hAnsi="Times New Roman" w:cs="Times New Roman"/>
        </w:rPr>
        <w:t>年，财政部明确将实施</w:t>
      </w:r>
      <w:r w:rsidRPr="00DA3766">
        <w:rPr>
          <w:rFonts w:cs="Times New Roman"/>
        </w:rPr>
        <w:t>“</w:t>
      </w:r>
      <w:r w:rsidRPr="00DA3766">
        <w:rPr>
          <w:rFonts w:ascii="Times New Roman" w:hAnsi="Times New Roman" w:cs="Times New Roman"/>
        </w:rPr>
        <w:t>更给力</w:t>
      </w:r>
      <w:r w:rsidRPr="00DA3766">
        <w:rPr>
          <w:rFonts w:cs="Times New Roman"/>
        </w:rPr>
        <w:t>”</w:t>
      </w:r>
      <w:r w:rsidRPr="00DA3766">
        <w:rPr>
          <w:rFonts w:ascii="Times New Roman" w:hAnsi="Times New Roman" w:cs="Times New Roman"/>
        </w:rPr>
        <w:t>的政策：扩大专项债规模、提高资本金比例；继续发行超长期特别国债；加大设备更新及消费品以旧换新支持。</w:t>
      </w:r>
    </w:p>
    <w:p w14:paraId="7C50FB56"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在以上政策的支持下，</w:t>
      </w:r>
      <w:r w:rsidRPr="00DA3766">
        <w:rPr>
          <w:rFonts w:ascii="Times New Roman" w:hAnsi="Times New Roman" w:cs="Times New Roman"/>
        </w:rPr>
        <w:t>2025</w:t>
      </w:r>
      <w:r w:rsidRPr="00DA3766">
        <w:rPr>
          <w:rFonts w:ascii="Times New Roman" w:hAnsi="Times New Roman" w:cs="Times New Roman"/>
        </w:rPr>
        <w:t>年有望走出地方财政预算不足的困境，也将促进地方信息化优质项目落地以及应收账款回款。</w:t>
      </w:r>
    </w:p>
    <w:p w14:paraId="49C6FA6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综上，上市公司在手订单充足，在继续巩固政务、教育、医疗等领域优势的同时，进一步开拓了智慧轨道交通、智慧企业、智慧能源业务、数据要素和算力服务领域。伴随积极财政政策推动，政企客户财务预算状况逐渐改善，公司业务开展情况也逐渐改善，因此，上市公司不存在业绩持续下滑的风险。</w:t>
      </w:r>
    </w:p>
    <w:p w14:paraId="7180BABF" w14:textId="77777777" w:rsidR="003F2129"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二、上市公司营业收入、净利润与现金流的勾稽关系，收入现金比、净现比的变化情况及原因，上市公司盈利质量是否恶化</w:t>
      </w:r>
    </w:p>
    <w:p w14:paraId="136BF273" w14:textId="77777777" w:rsidR="009952D3" w:rsidRPr="00DA3766" w:rsidRDefault="009952D3" w:rsidP="009952D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ED69B9">
        <w:rPr>
          <w:rFonts w:ascii="Times New Roman" w:hAnsi="Times New Roman" w:cs="Times New Roman" w:hint="eastAsia"/>
          <w:b/>
          <w:bCs/>
          <w:kern w:val="2"/>
          <w:szCs w:val="28"/>
        </w:rPr>
        <w:t>营业收入与现金流的勾稽关系以及收现比的变化情况及原因</w:t>
      </w:r>
    </w:p>
    <w:p w14:paraId="2F40D043" w14:textId="77777777" w:rsidR="009952D3" w:rsidRDefault="009952D3" w:rsidP="009952D3">
      <w:pPr>
        <w:spacing w:before="120" w:afterLines="0" w:after="0"/>
        <w:ind w:firstLine="480"/>
        <w:jc w:val="both"/>
        <w:rPr>
          <w:rFonts w:ascii="Times New Roman" w:hAnsi="Times New Roman" w:cs="Times New Roman"/>
          <w:kern w:val="2"/>
          <w:szCs w:val="23"/>
        </w:rPr>
      </w:pPr>
      <w:r w:rsidRPr="00ED69B9">
        <w:rPr>
          <w:rFonts w:ascii="Times New Roman" w:hAnsi="Times New Roman" w:cs="Times New Roman" w:hint="eastAsia"/>
          <w:kern w:val="2"/>
          <w:szCs w:val="23"/>
        </w:rPr>
        <w:t>公司客户主要为政府部门、事业单位及大中型国有企业，该等客户通常实行预算管理及集中采购制度，采购招标和项目实施主要安排在年中和下半年，项目验收和结算集中在年底且受政府资金预算影响。</w:t>
      </w:r>
      <w:r w:rsidRPr="00ED69B9">
        <w:rPr>
          <w:rFonts w:ascii="Times New Roman" w:hAnsi="Times New Roman" w:cs="Times New Roman" w:hint="eastAsia"/>
          <w:kern w:val="2"/>
          <w:szCs w:val="23"/>
        </w:rPr>
        <w:t>2022</w:t>
      </w:r>
      <w:r w:rsidRPr="00ED69B9">
        <w:rPr>
          <w:rFonts w:ascii="Times New Roman" w:hAnsi="Times New Roman" w:cs="Times New Roman" w:hint="eastAsia"/>
          <w:kern w:val="2"/>
          <w:szCs w:val="23"/>
        </w:rPr>
        <w:t>年以来，受客户资金预算不足影响，进而影响上市公司收入确认及资金回笼。而经营活动现金流入与公司收入确认及回款进度保持密切关联度，上市公司受财政预算不足影响而产生的未</w:t>
      </w:r>
      <w:r w:rsidRPr="00ED69B9">
        <w:rPr>
          <w:rFonts w:ascii="Times New Roman" w:hAnsi="Times New Roman" w:cs="Times New Roman" w:hint="eastAsia"/>
          <w:kern w:val="2"/>
          <w:szCs w:val="23"/>
        </w:rPr>
        <w:lastRenderedPageBreak/>
        <w:t>结项目已经发生现实成本支付及现金流支出，如设备采购、人工投入等支出，所以折射到现金流量表上即出现当期经营现金流入小于当期经营现金流出现象，最终导致经营活动产生的现金流净额倒挂情况，综上分析，该情况符合行业特性，同时为减少公司经营活动现金流对公司生产经营的影响，公司将进一步优化与客户及供应商的信用政策，改善公司现金流状况，且公司已从多家商业银行取得银行授信额度以满足营运资金需求和资本开支。</w:t>
      </w:r>
    </w:p>
    <w:p w14:paraId="648273CD" w14:textId="77777777" w:rsidR="009952D3" w:rsidRPr="00DA3766" w:rsidRDefault="009952D3" w:rsidP="009952D3">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年度，上市公司营业收入与销售商品、提供劳务收到的现金的匹配关系如下：</w:t>
      </w:r>
    </w:p>
    <w:p w14:paraId="7BA17B07" w14:textId="77777777" w:rsidR="009952D3" w:rsidRPr="00DA3766" w:rsidRDefault="009952D3" w:rsidP="009952D3">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9952D3" w:rsidRPr="00DA3766" w14:paraId="05BA6A03" w14:textId="77777777" w:rsidTr="009E0318">
        <w:trPr>
          <w:trHeight w:val="397"/>
          <w:tblHeader/>
          <w:jc w:val="center"/>
        </w:trPr>
        <w:tc>
          <w:tcPr>
            <w:tcW w:w="1250" w:type="pct"/>
            <w:vAlign w:val="center"/>
          </w:tcPr>
          <w:p w14:paraId="7CF9A989"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250" w:type="pct"/>
            <w:vAlign w:val="center"/>
          </w:tcPr>
          <w:p w14:paraId="10E9DF7D"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p>
        </w:tc>
        <w:tc>
          <w:tcPr>
            <w:tcW w:w="1250" w:type="pct"/>
            <w:vAlign w:val="center"/>
          </w:tcPr>
          <w:p w14:paraId="772F757B"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p>
        </w:tc>
        <w:tc>
          <w:tcPr>
            <w:tcW w:w="1250" w:type="pct"/>
            <w:vAlign w:val="center"/>
          </w:tcPr>
          <w:p w14:paraId="72BADCED"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p>
        </w:tc>
      </w:tr>
      <w:tr w:rsidR="009952D3" w:rsidRPr="00DA3766" w14:paraId="3BD75B85" w14:textId="77777777" w:rsidTr="009E0318">
        <w:trPr>
          <w:trHeight w:val="397"/>
          <w:jc w:val="center"/>
        </w:trPr>
        <w:tc>
          <w:tcPr>
            <w:tcW w:w="1250" w:type="pct"/>
            <w:vAlign w:val="center"/>
          </w:tcPr>
          <w:p w14:paraId="5B819695"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销售商品、提供劳务收到的现金</w:t>
            </w:r>
            <w:r w:rsidRPr="00DA3766">
              <w:rPr>
                <w:rFonts w:hint="eastAsia"/>
                <w:color w:val="000000"/>
                <w:kern w:val="2"/>
                <w:sz w:val="21"/>
                <w:szCs w:val="21"/>
              </w:rPr>
              <w:t>①</w:t>
            </w:r>
          </w:p>
        </w:tc>
        <w:tc>
          <w:tcPr>
            <w:tcW w:w="1250" w:type="pct"/>
            <w:vAlign w:val="center"/>
          </w:tcPr>
          <w:p w14:paraId="157AB36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31,500.28</w:t>
            </w:r>
          </w:p>
        </w:tc>
        <w:tc>
          <w:tcPr>
            <w:tcW w:w="1250" w:type="pct"/>
            <w:vAlign w:val="center"/>
          </w:tcPr>
          <w:p w14:paraId="1F40ADF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46,568.85</w:t>
            </w:r>
          </w:p>
        </w:tc>
        <w:tc>
          <w:tcPr>
            <w:tcW w:w="1250" w:type="pct"/>
            <w:vAlign w:val="center"/>
          </w:tcPr>
          <w:p w14:paraId="0F5E9DC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38,129.73</w:t>
            </w:r>
          </w:p>
        </w:tc>
      </w:tr>
      <w:tr w:rsidR="009952D3" w:rsidRPr="00DA3766" w14:paraId="2E6F0961" w14:textId="77777777" w:rsidTr="009E0318">
        <w:trPr>
          <w:trHeight w:val="397"/>
          <w:jc w:val="center"/>
        </w:trPr>
        <w:tc>
          <w:tcPr>
            <w:tcW w:w="1250" w:type="pct"/>
            <w:vAlign w:val="center"/>
          </w:tcPr>
          <w:p w14:paraId="4FDEC5B2"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营业收入</w:t>
            </w:r>
            <w:r w:rsidRPr="00DA3766">
              <w:rPr>
                <w:rFonts w:hint="eastAsia"/>
                <w:color w:val="000000"/>
                <w:kern w:val="2"/>
                <w:sz w:val="21"/>
                <w:szCs w:val="21"/>
              </w:rPr>
              <w:t>②</w:t>
            </w:r>
          </w:p>
        </w:tc>
        <w:tc>
          <w:tcPr>
            <w:tcW w:w="1250" w:type="pct"/>
            <w:vAlign w:val="center"/>
          </w:tcPr>
          <w:p w14:paraId="3053295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1250" w:type="pct"/>
            <w:vAlign w:val="center"/>
          </w:tcPr>
          <w:p w14:paraId="0165A2C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41,000.98</w:t>
            </w:r>
          </w:p>
        </w:tc>
        <w:tc>
          <w:tcPr>
            <w:tcW w:w="1250" w:type="pct"/>
            <w:vAlign w:val="center"/>
          </w:tcPr>
          <w:p w14:paraId="3321B02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43,921.75</w:t>
            </w:r>
          </w:p>
        </w:tc>
      </w:tr>
      <w:tr w:rsidR="009952D3" w:rsidRPr="00DA3766" w14:paraId="0FEC6087" w14:textId="77777777" w:rsidTr="009E0318">
        <w:trPr>
          <w:trHeight w:val="397"/>
          <w:jc w:val="center"/>
        </w:trPr>
        <w:tc>
          <w:tcPr>
            <w:tcW w:w="1250" w:type="pct"/>
            <w:vAlign w:val="center"/>
          </w:tcPr>
          <w:p w14:paraId="74C7AB55"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sidRPr="00DA3766">
              <w:rPr>
                <w:rFonts w:ascii="Times New Roman" w:hAnsi="Times New Roman" w:cs="Times New Roman"/>
                <w:bCs/>
                <w:color w:val="000000"/>
                <w:kern w:val="2"/>
                <w:sz w:val="21"/>
                <w:szCs w:val="21"/>
              </w:rPr>
              <w:t>收现比</w:t>
            </w:r>
            <w:r w:rsidRPr="00DA3766">
              <w:rPr>
                <w:rFonts w:hint="eastAsia"/>
                <w:bCs/>
                <w:color w:val="000000"/>
                <w:kern w:val="2"/>
                <w:sz w:val="21"/>
                <w:szCs w:val="21"/>
              </w:rPr>
              <w:t>③</w:t>
            </w:r>
            <w:r w:rsidRPr="00DA3766">
              <w:rPr>
                <w:rFonts w:ascii="Times New Roman" w:hAnsi="Times New Roman" w:cs="Times New Roman"/>
                <w:bCs/>
                <w:color w:val="000000"/>
                <w:kern w:val="2"/>
                <w:sz w:val="21"/>
                <w:szCs w:val="21"/>
              </w:rPr>
              <w:t>=</w:t>
            </w:r>
            <w:r w:rsidRPr="00DA3766">
              <w:rPr>
                <w:rFonts w:hint="eastAsia"/>
                <w:bCs/>
                <w:color w:val="000000"/>
                <w:kern w:val="2"/>
                <w:sz w:val="21"/>
                <w:szCs w:val="21"/>
              </w:rPr>
              <w:t>①</w:t>
            </w:r>
            <w:r w:rsidRPr="00DA3766">
              <w:rPr>
                <w:rFonts w:ascii="Times New Roman" w:hAnsi="Times New Roman" w:cs="Times New Roman"/>
                <w:bCs/>
                <w:color w:val="000000"/>
                <w:kern w:val="2"/>
                <w:sz w:val="21"/>
                <w:szCs w:val="21"/>
              </w:rPr>
              <w:t>/</w:t>
            </w:r>
            <w:r w:rsidRPr="00DA3766">
              <w:rPr>
                <w:rFonts w:hint="eastAsia"/>
                <w:bCs/>
                <w:color w:val="000000"/>
                <w:kern w:val="2"/>
                <w:sz w:val="21"/>
                <w:szCs w:val="21"/>
              </w:rPr>
              <w:t>②</w:t>
            </w:r>
          </w:p>
        </w:tc>
        <w:tc>
          <w:tcPr>
            <w:tcW w:w="1250" w:type="pct"/>
            <w:vAlign w:val="center"/>
          </w:tcPr>
          <w:p w14:paraId="2B04E35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140.86%</w:t>
            </w:r>
          </w:p>
        </w:tc>
        <w:tc>
          <w:tcPr>
            <w:tcW w:w="1250" w:type="pct"/>
            <w:vAlign w:val="center"/>
          </w:tcPr>
          <w:p w14:paraId="759146D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113.58%</w:t>
            </w:r>
          </w:p>
        </w:tc>
        <w:tc>
          <w:tcPr>
            <w:tcW w:w="1250" w:type="pct"/>
            <w:vAlign w:val="center"/>
          </w:tcPr>
          <w:p w14:paraId="615834B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86.81%</w:t>
            </w:r>
          </w:p>
        </w:tc>
      </w:tr>
    </w:tbl>
    <w:p w14:paraId="7A3FC60C" w14:textId="77777777" w:rsidR="009952D3" w:rsidRPr="00DA3766" w:rsidRDefault="009952D3" w:rsidP="009952D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年公司销售商品、提供劳务收到的现金低于营业收入。</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年公司加大应收款催收力度，评估项目资金风险，以项目实施过程促进回款，因此销售商品、提供劳务收到的现金高于营业收入，收现比达</w:t>
      </w:r>
      <w:r w:rsidRPr="00DA3766">
        <w:rPr>
          <w:rFonts w:ascii="Times New Roman" w:hAnsi="Times New Roman" w:cs="Times New Roman"/>
          <w:kern w:val="2"/>
          <w14:ligatures w14:val="standardContextual"/>
        </w:rPr>
        <w:t>113.58%</w:t>
      </w:r>
      <w:r w:rsidRPr="00DA3766">
        <w:rPr>
          <w:rFonts w:ascii="Times New Roman" w:hAnsi="Times New Roman" w:cs="Times New Roman"/>
          <w:kern w:val="2"/>
          <w14:ligatures w14:val="standardContextual"/>
        </w:rPr>
        <w:t>，同比增长</w:t>
      </w:r>
      <w:r w:rsidRPr="00DA3766">
        <w:rPr>
          <w:rFonts w:ascii="Times New Roman" w:hAnsi="Times New Roman" w:cs="Times New Roman"/>
          <w:kern w:val="2"/>
          <w14:ligatures w14:val="standardContextual"/>
        </w:rPr>
        <w:t>31.03%</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受客户资金预算不足影响，部分项目无法按既定计划完工验收，影响报告期的收入确认。同时上市公司加大对历年已验收项目的催款，通过省中小企业款项支付与处理平台、司法途径进行上报催收，两者共同影响下，</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年收现比达</w:t>
      </w:r>
      <w:r w:rsidRPr="00DA3766">
        <w:rPr>
          <w:rFonts w:ascii="Times New Roman" w:hAnsi="Times New Roman" w:cs="Times New Roman"/>
          <w:kern w:val="2"/>
          <w14:ligatures w14:val="standardContextual"/>
        </w:rPr>
        <w:t>140.86%</w:t>
      </w:r>
      <w:r w:rsidRPr="00DA3766">
        <w:rPr>
          <w:rFonts w:ascii="Times New Roman" w:hAnsi="Times New Roman" w:cs="Times New Roman"/>
          <w:kern w:val="2"/>
          <w14:ligatures w14:val="standardContextual"/>
        </w:rPr>
        <w:t>，同比增长</w:t>
      </w:r>
      <w:r w:rsidRPr="00DA3766">
        <w:rPr>
          <w:rFonts w:ascii="Times New Roman" w:hAnsi="Times New Roman" w:cs="Times New Roman"/>
          <w:kern w:val="2"/>
          <w14:ligatures w14:val="standardContextual"/>
        </w:rPr>
        <w:t>23.68%</w:t>
      </w:r>
      <w:r w:rsidRPr="00DA3766">
        <w:rPr>
          <w:rFonts w:ascii="Times New Roman" w:hAnsi="Times New Roman" w:cs="Times New Roman"/>
          <w:kern w:val="2"/>
          <w14:ligatures w14:val="standardContextual"/>
        </w:rPr>
        <w:t>，整体趋好。</w:t>
      </w:r>
    </w:p>
    <w:p w14:paraId="7B9DC499" w14:textId="77777777" w:rsidR="009952D3" w:rsidRPr="00DA3766" w:rsidRDefault="009952D3" w:rsidP="009952D3">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hint="eastAsia"/>
          <w:b/>
          <w:bCs/>
          <w:kern w:val="2"/>
          <w:szCs w:val="28"/>
        </w:rPr>
        <w:t>（二）</w:t>
      </w:r>
      <w:r w:rsidRPr="00DA3766">
        <w:rPr>
          <w:rFonts w:ascii="Times New Roman" w:hAnsi="Times New Roman" w:cs="Times New Roman"/>
          <w:b/>
          <w:bCs/>
          <w:kern w:val="2"/>
          <w:szCs w:val="28"/>
        </w:rPr>
        <w:t>净利润与现金流的勾稽关系</w:t>
      </w:r>
      <w:r>
        <w:rPr>
          <w:rFonts w:ascii="Times New Roman" w:hAnsi="Times New Roman" w:cs="Times New Roman" w:hint="eastAsia"/>
          <w:b/>
          <w:bCs/>
          <w:kern w:val="2"/>
          <w:szCs w:val="28"/>
        </w:rPr>
        <w:t>，</w:t>
      </w:r>
      <w:r w:rsidRPr="00ED69B9">
        <w:rPr>
          <w:rFonts w:ascii="Times New Roman" w:hAnsi="Times New Roman" w:cs="Times New Roman" w:hint="eastAsia"/>
          <w:b/>
          <w:bCs/>
          <w:kern w:val="2"/>
          <w:szCs w:val="28"/>
        </w:rPr>
        <w:t>净现比的变化情况及原因</w:t>
      </w:r>
    </w:p>
    <w:p w14:paraId="6E8C26BA" w14:textId="77777777" w:rsidR="009952D3" w:rsidRPr="00ED69B9" w:rsidRDefault="009952D3" w:rsidP="009952D3">
      <w:pPr>
        <w:keepNext/>
        <w:keepLines/>
        <w:spacing w:before="120" w:after="120"/>
        <w:ind w:firstLine="482"/>
        <w:jc w:val="both"/>
        <w:outlineLvl w:val="3"/>
        <w:rPr>
          <w:rFonts w:ascii="Times New Roman" w:hAnsi="Times New Roman" w:cs="Times New Roman"/>
          <w:b/>
          <w:bCs/>
          <w:kern w:val="2"/>
          <w:szCs w:val="28"/>
        </w:rPr>
      </w:pPr>
      <w:r w:rsidRPr="00ED69B9">
        <w:rPr>
          <w:rFonts w:ascii="Times New Roman" w:hAnsi="Times New Roman" w:cs="Times New Roman" w:hint="eastAsia"/>
          <w:b/>
          <w:bCs/>
          <w:kern w:val="2"/>
          <w:szCs w:val="28"/>
        </w:rPr>
        <w:t>1</w:t>
      </w:r>
      <w:r w:rsidRPr="00ED69B9">
        <w:rPr>
          <w:rFonts w:ascii="Times New Roman" w:hAnsi="Times New Roman" w:cs="Times New Roman" w:hint="eastAsia"/>
          <w:b/>
          <w:bCs/>
          <w:kern w:val="2"/>
          <w:szCs w:val="28"/>
        </w:rPr>
        <w:t>、净利润与现金流的勾稽关系</w:t>
      </w:r>
    </w:p>
    <w:p w14:paraId="11B6A53C" w14:textId="77777777" w:rsidR="009952D3" w:rsidRPr="00DA3766" w:rsidRDefault="009952D3" w:rsidP="009952D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上市公司净利润与现金流的勾稽关系如下：</w:t>
      </w:r>
    </w:p>
    <w:p w14:paraId="26EDA56C" w14:textId="77777777" w:rsidR="009952D3" w:rsidRPr="00DA3766" w:rsidRDefault="009952D3" w:rsidP="009952D3">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218"/>
        <w:gridCol w:w="1436"/>
        <w:gridCol w:w="1438"/>
        <w:gridCol w:w="1436"/>
      </w:tblGrid>
      <w:tr w:rsidR="009952D3" w:rsidRPr="00DA3766" w14:paraId="5CE191E1" w14:textId="77777777" w:rsidTr="007F36AF">
        <w:trPr>
          <w:trHeight w:val="397"/>
          <w:tblHeader/>
          <w:jc w:val="center"/>
        </w:trPr>
        <w:tc>
          <w:tcPr>
            <w:tcW w:w="2473" w:type="pct"/>
            <w:vAlign w:val="center"/>
          </w:tcPr>
          <w:p w14:paraId="05EFE3AC"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842" w:type="pct"/>
            <w:vAlign w:val="center"/>
          </w:tcPr>
          <w:p w14:paraId="5EFE033E"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843" w:type="pct"/>
            <w:vAlign w:val="center"/>
          </w:tcPr>
          <w:p w14:paraId="51CF3F7C"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843" w:type="pct"/>
            <w:vAlign w:val="center"/>
          </w:tcPr>
          <w:p w14:paraId="16C34959"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9952D3" w:rsidRPr="00DA3766" w14:paraId="371FE5CE" w14:textId="77777777" w:rsidTr="007F36AF">
        <w:trPr>
          <w:trHeight w:val="397"/>
          <w:jc w:val="center"/>
        </w:trPr>
        <w:tc>
          <w:tcPr>
            <w:tcW w:w="2473" w:type="pct"/>
            <w:vAlign w:val="center"/>
          </w:tcPr>
          <w:p w14:paraId="54A64791"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净利润</w:t>
            </w:r>
          </w:p>
        </w:tc>
        <w:tc>
          <w:tcPr>
            <w:tcW w:w="842" w:type="pct"/>
            <w:vAlign w:val="center"/>
          </w:tcPr>
          <w:p w14:paraId="0A1475E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843" w:type="pct"/>
            <w:vAlign w:val="center"/>
          </w:tcPr>
          <w:p w14:paraId="4DFC95F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438.78</w:t>
            </w:r>
          </w:p>
        </w:tc>
        <w:tc>
          <w:tcPr>
            <w:tcW w:w="843" w:type="pct"/>
            <w:vAlign w:val="center"/>
          </w:tcPr>
          <w:p w14:paraId="6E11ACD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3,956.09</w:t>
            </w:r>
          </w:p>
        </w:tc>
      </w:tr>
      <w:tr w:rsidR="009952D3" w:rsidRPr="00DA3766" w14:paraId="2177735D" w14:textId="77777777" w:rsidTr="007F36AF">
        <w:trPr>
          <w:trHeight w:val="397"/>
          <w:jc w:val="center"/>
        </w:trPr>
        <w:tc>
          <w:tcPr>
            <w:tcW w:w="2473" w:type="pct"/>
            <w:vAlign w:val="center"/>
          </w:tcPr>
          <w:p w14:paraId="5DBFF0DE"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加：资产减值准备</w:t>
            </w:r>
          </w:p>
        </w:tc>
        <w:tc>
          <w:tcPr>
            <w:tcW w:w="842" w:type="pct"/>
            <w:vAlign w:val="center"/>
          </w:tcPr>
          <w:p w14:paraId="2788571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364.83</w:t>
            </w:r>
          </w:p>
        </w:tc>
        <w:tc>
          <w:tcPr>
            <w:tcW w:w="843" w:type="pct"/>
            <w:vAlign w:val="center"/>
          </w:tcPr>
          <w:p w14:paraId="3482743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67.17</w:t>
            </w:r>
          </w:p>
        </w:tc>
        <w:tc>
          <w:tcPr>
            <w:tcW w:w="843" w:type="pct"/>
            <w:vAlign w:val="center"/>
          </w:tcPr>
          <w:p w14:paraId="0BB1077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-47.87</w:t>
            </w:r>
          </w:p>
        </w:tc>
      </w:tr>
      <w:tr w:rsidR="009952D3" w:rsidRPr="00DA3766" w14:paraId="19743DAE" w14:textId="77777777" w:rsidTr="007F36AF">
        <w:trPr>
          <w:trHeight w:val="397"/>
          <w:jc w:val="center"/>
        </w:trPr>
        <w:tc>
          <w:tcPr>
            <w:tcW w:w="2473" w:type="pct"/>
            <w:vAlign w:val="center"/>
          </w:tcPr>
          <w:p w14:paraId="7E916D2E"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信用减值损失</w:t>
            </w:r>
          </w:p>
        </w:tc>
        <w:tc>
          <w:tcPr>
            <w:tcW w:w="842" w:type="pct"/>
            <w:vAlign w:val="center"/>
          </w:tcPr>
          <w:p w14:paraId="2C1678F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2,146.17</w:t>
            </w:r>
          </w:p>
        </w:tc>
        <w:tc>
          <w:tcPr>
            <w:tcW w:w="843" w:type="pct"/>
            <w:vAlign w:val="center"/>
          </w:tcPr>
          <w:p w14:paraId="752B944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2,685.00</w:t>
            </w:r>
          </w:p>
        </w:tc>
        <w:tc>
          <w:tcPr>
            <w:tcW w:w="843" w:type="pct"/>
            <w:vAlign w:val="center"/>
          </w:tcPr>
          <w:p w14:paraId="23E4BEB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1,657.54</w:t>
            </w:r>
          </w:p>
        </w:tc>
      </w:tr>
      <w:tr w:rsidR="009952D3" w:rsidRPr="00DA3766" w14:paraId="41E3D2DB" w14:textId="77777777" w:rsidTr="007F36AF">
        <w:trPr>
          <w:trHeight w:val="397"/>
          <w:jc w:val="center"/>
        </w:trPr>
        <w:tc>
          <w:tcPr>
            <w:tcW w:w="2473" w:type="pct"/>
            <w:vAlign w:val="center"/>
          </w:tcPr>
          <w:p w14:paraId="1B6F0A97"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固定资产折旧、油气资产折耗、生产性生物</w:t>
            </w:r>
            <w:r w:rsidRPr="00DA3766">
              <w:rPr>
                <w:rFonts w:ascii="Times New Roman" w:hAnsi="Times New Roman" w:cs="Times New Roman"/>
                <w:color w:val="000000"/>
                <w:kern w:val="2"/>
                <w:sz w:val="21"/>
                <w14:ligatures w14:val="standardContextual"/>
              </w:rPr>
              <w:lastRenderedPageBreak/>
              <w:t>资产折旧</w:t>
            </w:r>
          </w:p>
        </w:tc>
        <w:tc>
          <w:tcPr>
            <w:tcW w:w="842" w:type="pct"/>
            <w:vAlign w:val="center"/>
          </w:tcPr>
          <w:p w14:paraId="0DF5F62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316.52</w:t>
            </w:r>
          </w:p>
        </w:tc>
        <w:tc>
          <w:tcPr>
            <w:tcW w:w="843" w:type="pct"/>
            <w:vAlign w:val="center"/>
          </w:tcPr>
          <w:p w14:paraId="2FF22CD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48.06</w:t>
            </w:r>
          </w:p>
        </w:tc>
        <w:tc>
          <w:tcPr>
            <w:tcW w:w="843" w:type="pct"/>
            <w:vAlign w:val="center"/>
          </w:tcPr>
          <w:p w14:paraId="78ADE2D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75.28</w:t>
            </w:r>
          </w:p>
        </w:tc>
      </w:tr>
      <w:tr w:rsidR="009952D3" w:rsidRPr="00DA3766" w14:paraId="08A74B07" w14:textId="77777777" w:rsidTr="007F36AF">
        <w:trPr>
          <w:trHeight w:val="397"/>
          <w:jc w:val="center"/>
        </w:trPr>
        <w:tc>
          <w:tcPr>
            <w:tcW w:w="2473" w:type="pct"/>
            <w:vAlign w:val="center"/>
          </w:tcPr>
          <w:p w14:paraId="5C1CEE81"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使用权资产折旧</w:t>
            </w:r>
          </w:p>
        </w:tc>
        <w:tc>
          <w:tcPr>
            <w:tcW w:w="842" w:type="pct"/>
            <w:vAlign w:val="center"/>
          </w:tcPr>
          <w:p w14:paraId="5CF6A7A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347.28</w:t>
            </w:r>
          </w:p>
        </w:tc>
        <w:tc>
          <w:tcPr>
            <w:tcW w:w="843" w:type="pct"/>
            <w:vAlign w:val="center"/>
          </w:tcPr>
          <w:p w14:paraId="7D897A0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321.44</w:t>
            </w:r>
          </w:p>
        </w:tc>
        <w:tc>
          <w:tcPr>
            <w:tcW w:w="843" w:type="pct"/>
            <w:vAlign w:val="center"/>
          </w:tcPr>
          <w:p w14:paraId="1E1AE3F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414.32</w:t>
            </w:r>
          </w:p>
        </w:tc>
      </w:tr>
      <w:tr w:rsidR="009952D3" w:rsidRPr="00DA3766" w14:paraId="44DB3BBE" w14:textId="77777777" w:rsidTr="007F36AF">
        <w:trPr>
          <w:trHeight w:val="397"/>
          <w:jc w:val="center"/>
        </w:trPr>
        <w:tc>
          <w:tcPr>
            <w:tcW w:w="2473" w:type="pct"/>
            <w:vAlign w:val="center"/>
          </w:tcPr>
          <w:p w14:paraId="14F6010B"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无形资产摊销</w:t>
            </w:r>
          </w:p>
        </w:tc>
        <w:tc>
          <w:tcPr>
            <w:tcW w:w="842" w:type="pct"/>
            <w:vAlign w:val="center"/>
          </w:tcPr>
          <w:p w14:paraId="3C92D0F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95.29</w:t>
            </w:r>
          </w:p>
        </w:tc>
        <w:tc>
          <w:tcPr>
            <w:tcW w:w="843" w:type="pct"/>
            <w:vAlign w:val="center"/>
          </w:tcPr>
          <w:p w14:paraId="6768A3D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116.12</w:t>
            </w:r>
          </w:p>
        </w:tc>
        <w:tc>
          <w:tcPr>
            <w:tcW w:w="843" w:type="pct"/>
            <w:vAlign w:val="center"/>
          </w:tcPr>
          <w:p w14:paraId="3462942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117.32</w:t>
            </w:r>
          </w:p>
        </w:tc>
      </w:tr>
      <w:tr w:rsidR="009952D3" w:rsidRPr="00DA3766" w14:paraId="17CC62F5" w14:textId="77777777" w:rsidTr="007F36AF">
        <w:trPr>
          <w:trHeight w:val="397"/>
          <w:jc w:val="center"/>
        </w:trPr>
        <w:tc>
          <w:tcPr>
            <w:tcW w:w="2473" w:type="pct"/>
            <w:vAlign w:val="center"/>
          </w:tcPr>
          <w:p w14:paraId="298FC71C"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长期待摊费用摊销</w:t>
            </w:r>
          </w:p>
        </w:tc>
        <w:tc>
          <w:tcPr>
            <w:tcW w:w="842" w:type="pct"/>
            <w:vAlign w:val="center"/>
          </w:tcPr>
          <w:p w14:paraId="0BD643E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41.52</w:t>
            </w:r>
          </w:p>
        </w:tc>
        <w:tc>
          <w:tcPr>
            <w:tcW w:w="843" w:type="pct"/>
            <w:vAlign w:val="center"/>
          </w:tcPr>
          <w:p w14:paraId="35F7E0B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37.98</w:t>
            </w:r>
          </w:p>
        </w:tc>
        <w:tc>
          <w:tcPr>
            <w:tcW w:w="843" w:type="pct"/>
            <w:vAlign w:val="center"/>
          </w:tcPr>
          <w:p w14:paraId="01759B1D"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86.15</w:t>
            </w:r>
          </w:p>
        </w:tc>
      </w:tr>
      <w:tr w:rsidR="009952D3" w:rsidRPr="00DA3766" w14:paraId="4C06361A" w14:textId="77777777" w:rsidTr="007F36AF">
        <w:trPr>
          <w:trHeight w:val="397"/>
          <w:jc w:val="center"/>
        </w:trPr>
        <w:tc>
          <w:tcPr>
            <w:tcW w:w="2473" w:type="pct"/>
            <w:vAlign w:val="center"/>
          </w:tcPr>
          <w:p w14:paraId="16FD060F"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处置固定资产、无形资产和其他长期资产的损失（收益以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03DE1D2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-42.31</w:t>
            </w:r>
          </w:p>
        </w:tc>
        <w:tc>
          <w:tcPr>
            <w:tcW w:w="843" w:type="pct"/>
            <w:vAlign w:val="center"/>
          </w:tcPr>
          <w:p w14:paraId="7B10CC4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4E7A7C7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9952D3" w:rsidRPr="00DA3766" w14:paraId="0C3640DD" w14:textId="77777777" w:rsidTr="007F36AF">
        <w:trPr>
          <w:trHeight w:val="397"/>
          <w:jc w:val="center"/>
        </w:trPr>
        <w:tc>
          <w:tcPr>
            <w:tcW w:w="2473" w:type="pct"/>
            <w:vAlign w:val="center"/>
          </w:tcPr>
          <w:p w14:paraId="25565EDC"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固定资产报废损失（收益以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7D81E87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7BC05FE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1.49</w:t>
            </w:r>
          </w:p>
        </w:tc>
        <w:tc>
          <w:tcPr>
            <w:tcW w:w="843" w:type="pct"/>
            <w:vAlign w:val="center"/>
          </w:tcPr>
          <w:p w14:paraId="1E2BAA7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9952D3" w:rsidRPr="00DA3766" w14:paraId="1A27C286" w14:textId="77777777" w:rsidTr="007F36AF">
        <w:trPr>
          <w:trHeight w:val="397"/>
          <w:jc w:val="center"/>
        </w:trPr>
        <w:tc>
          <w:tcPr>
            <w:tcW w:w="2473" w:type="pct"/>
            <w:vAlign w:val="center"/>
          </w:tcPr>
          <w:p w14:paraId="18631E47"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公允价值变动损失（收益以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2D8D41E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w:t>
            </w:r>
          </w:p>
        </w:tc>
        <w:tc>
          <w:tcPr>
            <w:tcW w:w="843" w:type="pct"/>
            <w:vAlign w:val="center"/>
          </w:tcPr>
          <w:p w14:paraId="1F2689B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w:t>
            </w:r>
          </w:p>
        </w:tc>
        <w:tc>
          <w:tcPr>
            <w:tcW w:w="843" w:type="pct"/>
            <w:vAlign w:val="center"/>
          </w:tcPr>
          <w:p w14:paraId="247E3E4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9952D3" w:rsidRPr="00DA3766" w14:paraId="517FA495" w14:textId="77777777" w:rsidTr="007F36AF">
        <w:trPr>
          <w:trHeight w:val="397"/>
          <w:jc w:val="center"/>
        </w:trPr>
        <w:tc>
          <w:tcPr>
            <w:tcW w:w="2473" w:type="pct"/>
            <w:vAlign w:val="center"/>
          </w:tcPr>
          <w:p w14:paraId="025E3FE9"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财务费用（收益以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74C68E1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-514.40</w:t>
            </w:r>
          </w:p>
        </w:tc>
        <w:tc>
          <w:tcPr>
            <w:tcW w:w="843" w:type="pct"/>
            <w:vAlign w:val="center"/>
          </w:tcPr>
          <w:p w14:paraId="00459D9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-878.60</w:t>
            </w:r>
          </w:p>
        </w:tc>
        <w:tc>
          <w:tcPr>
            <w:tcW w:w="843" w:type="pct"/>
            <w:vAlign w:val="center"/>
          </w:tcPr>
          <w:p w14:paraId="09BA774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-118.40</w:t>
            </w:r>
          </w:p>
        </w:tc>
      </w:tr>
      <w:tr w:rsidR="009952D3" w:rsidRPr="00DA3766" w14:paraId="37D5A937" w14:textId="77777777" w:rsidTr="007F36AF">
        <w:trPr>
          <w:trHeight w:val="397"/>
          <w:jc w:val="center"/>
        </w:trPr>
        <w:tc>
          <w:tcPr>
            <w:tcW w:w="2473" w:type="pct"/>
            <w:vAlign w:val="center"/>
          </w:tcPr>
          <w:p w14:paraId="28D9C7A8"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投资损失（收益以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45CD32ED"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-64.65</w:t>
            </w:r>
          </w:p>
        </w:tc>
        <w:tc>
          <w:tcPr>
            <w:tcW w:w="843" w:type="pct"/>
            <w:vAlign w:val="center"/>
          </w:tcPr>
          <w:p w14:paraId="6C277F1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-158.43</w:t>
            </w:r>
          </w:p>
        </w:tc>
        <w:tc>
          <w:tcPr>
            <w:tcW w:w="843" w:type="pct"/>
            <w:vAlign w:val="center"/>
          </w:tcPr>
          <w:p w14:paraId="4243A31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-991.15</w:t>
            </w:r>
          </w:p>
        </w:tc>
      </w:tr>
      <w:tr w:rsidR="009952D3" w:rsidRPr="00DA3766" w14:paraId="3AE7AF3E" w14:textId="77777777" w:rsidTr="007F36AF">
        <w:trPr>
          <w:trHeight w:val="397"/>
          <w:jc w:val="center"/>
        </w:trPr>
        <w:tc>
          <w:tcPr>
            <w:tcW w:w="2473" w:type="pct"/>
            <w:vAlign w:val="center"/>
          </w:tcPr>
          <w:p w14:paraId="1AC96B5D"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递延所得税资产减少（增加以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3C28941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-1,161.80</w:t>
            </w:r>
          </w:p>
        </w:tc>
        <w:tc>
          <w:tcPr>
            <w:tcW w:w="843" w:type="pct"/>
            <w:vAlign w:val="center"/>
          </w:tcPr>
          <w:p w14:paraId="7BC6373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-779.49</w:t>
            </w:r>
          </w:p>
        </w:tc>
        <w:tc>
          <w:tcPr>
            <w:tcW w:w="843" w:type="pct"/>
            <w:vAlign w:val="center"/>
          </w:tcPr>
          <w:p w14:paraId="7E41BC7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-94.21</w:t>
            </w:r>
          </w:p>
        </w:tc>
      </w:tr>
      <w:tr w:rsidR="009952D3" w:rsidRPr="00DA3766" w14:paraId="4D1CF6B8" w14:textId="77777777" w:rsidTr="007F36AF">
        <w:trPr>
          <w:trHeight w:val="397"/>
          <w:jc w:val="center"/>
        </w:trPr>
        <w:tc>
          <w:tcPr>
            <w:tcW w:w="2473" w:type="pct"/>
            <w:vAlign w:val="center"/>
          </w:tcPr>
          <w:p w14:paraId="653AB629"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递延所得税负债增加（减少以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186B3E8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29.57</w:t>
            </w:r>
          </w:p>
        </w:tc>
        <w:tc>
          <w:tcPr>
            <w:tcW w:w="843" w:type="pct"/>
            <w:vAlign w:val="center"/>
          </w:tcPr>
          <w:p w14:paraId="654A8FA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29.96</w:t>
            </w:r>
          </w:p>
        </w:tc>
        <w:tc>
          <w:tcPr>
            <w:tcW w:w="843" w:type="pct"/>
            <w:vAlign w:val="center"/>
          </w:tcPr>
          <w:p w14:paraId="7875752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-171.37</w:t>
            </w:r>
          </w:p>
        </w:tc>
      </w:tr>
      <w:tr w:rsidR="009952D3" w:rsidRPr="00DA3766" w14:paraId="39DBD880" w14:textId="77777777" w:rsidTr="007F36AF">
        <w:trPr>
          <w:trHeight w:val="397"/>
          <w:jc w:val="center"/>
        </w:trPr>
        <w:tc>
          <w:tcPr>
            <w:tcW w:w="2473" w:type="pct"/>
            <w:vAlign w:val="center"/>
          </w:tcPr>
          <w:p w14:paraId="6B31D3AC"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存货的减少（增加以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71925DB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-4,390.76</w:t>
            </w:r>
          </w:p>
        </w:tc>
        <w:tc>
          <w:tcPr>
            <w:tcW w:w="843" w:type="pct"/>
            <w:vAlign w:val="center"/>
          </w:tcPr>
          <w:p w14:paraId="1722864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283.70</w:t>
            </w:r>
          </w:p>
        </w:tc>
        <w:tc>
          <w:tcPr>
            <w:tcW w:w="843" w:type="pct"/>
            <w:vAlign w:val="center"/>
          </w:tcPr>
          <w:p w14:paraId="2287412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1,545.26</w:t>
            </w:r>
          </w:p>
        </w:tc>
      </w:tr>
      <w:tr w:rsidR="009952D3" w:rsidRPr="00DA3766" w14:paraId="25C7272D" w14:textId="77777777" w:rsidTr="007F36AF">
        <w:trPr>
          <w:trHeight w:val="397"/>
          <w:jc w:val="center"/>
        </w:trPr>
        <w:tc>
          <w:tcPr>
            <w:tcW w:w="2473" w:type="pct"/>
            <w:vAlign w:val="center"/>
          </w:tcPr>
          <w:p w14:paraId="420D8416"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经营性应收项目的减少（增加以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1B9114D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-2,576.51</w:t>
            </w:r>
          </w:p>
        </w:tc>
        <w:tc>
          <w:tcPr>
            <w:tcW w:w="843" w:type="pct"/>
            <w:vAlign w:val="center"/>
          </w:tcPr>
          <w:p w14:paraId="27D83AB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-1,937.98</w:t>
            </w:r>
          </w:p>
        </w:tc>
        <w:tc>
          <w:tcPr>
            <w:tcW w:w="843" w:type="pct"/>
            <w:vAlign w:val="center"/>
          </w:tcPr>
          <w:p w14:paraId="2D515F7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-4,339.96</w:t>
            </w:r>
          </w:p>
        </w:tc>
      </w:tr>
      <w:tr w:rsidR="009952D3" w:rsidRPr="00DA3766" w14:paraId="17D496EE" w14:textId="77777777" w:rsidTr="007F36AF">
        <w:trPr>
          <w:trHeight w:val="397"/>
          <w:jc w:val="center"/>
        </w:trPr>
        <w:tc>
          <w:tcPr>
            <w:tcW w:w="2473" w:type="pct"/>
            <w:vAlign w:val="center"/>
          </w:tcPr>
          <w:p w14:paraId="6436BADE"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经营性应付项目的增加（减少以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22ABC87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5,332.76</w:t>
            </w:r>
          </w:p>
        </w:tc>
        <w:tc>
          <w:tcPr>
            <w:tcW w:w="843" w:type="pct"/>
            <w:vAlign w:val="center"/>
          </w:tcPr>
          <w:p w14:paraId="333653B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564.58</w:t>
            </w:r>
          </w:p>
        </w:tc>
        <w:tc>
          <w:tcPr>
            <w:tcW w:w="843" w:type="pct"/>
            <w:vAlign w:val="center"/>
          </w:tcPr>
          <w:p w14:paraId="4635C50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-8,503.32</w:t>
            </w:r>
          </w:p>
        </w:tc>
      </w:tr>
      <w:tr w:rsidR="009952D3" w:rsidRPr="00DA3766" w14:paraId="0B827A59" w14:textId="77777777" w:rsidTr="007F36AF">
        <w:trPr>
          <w:trHeight w:val="397"/>
          <w:jc w:val="center"/>
        </w:trPr>
        <w:tc>
          <w:tcPr>
            <w:tcW w:w="2473" w:type="pct"/>
            <w:vAlign w:val="center"/>
          </w:tcPr>
          <w:p w14:paraId="51AEE5D4"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其他</w:t>
            </w:r>
          </w:p>
        </w:tc>
        <w:tc>
          <w:tcPr>
            <w:tcW w:w="842" w:type="pct"/>
            <w:vAlign w:val="center"/>
          </w:tcPr>
          <w:p w14:paraId="3DB3C6C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34DE05E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4494620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9952D3" w:rsidRPr="00DA3766" w14:paraId="37BBA79E" w14:textId="77777777" w:rsidTr="007F36AF">
        <w:trPr>
          <w:trHeight w:val="397"/>
          <w:jc w:val="center"/>
        </w:trPr>
        <w:tc>
          <w:tcPr>
            <w:tcW w:w="2473" w:type="pct"/>
            <w:vAlign w:val="center"/>
          </w:tcPr>
          <w:p w14:paraId="279C51D8"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经营活动产生的现金流量净额</w:t>
            </w:r>
          </w:p>
        </w:tc>
        <w:tc>
          <w:tcPr>
            <w:tcW w:w="842" w:type="pct"/>
            <w:vAlign w:val="center"/>
          </w:tcPr>
          <w:p w14:paraId="32FC971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-5,423.95</w:t>
            </w:r>
          </w:p>
        </w:tc>
        <w:tc>
          <w:tcPr>
            <w:tcW w:w="843" w:type="pct"/>
            <w:vAlign w:val="center"/>
          </w:tcPr>
          <w:p w14:paraId="1F3C71F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838.07</w:t>
            </w:r>
          </w:p>
        </w:tc>
        <w:tc>
          <w:tcPr>
            <w:tcW w:w="843" w:type="pct"/>
            <w:vAlign w:val="center"/>
          </w:tcPr>
          <w:p w14:paraId="6CEC13A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-6,414.31</w:t>
            </w:r>
          </w:p>
        </w:tc>
      </w:tr>
    </w:tbl>
    <w:p w14:paraId="351A353C" w14:textId="77777777" w:rsidR="009952D3" w:rsidRPr="00DA3766" w:rsidRDefault="009952D3" w:rsidP="009952D3">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hint="eastAsia"/>
          <w:b/>
          <w:bCs/>
          <w:kern w:val="2"/>
          <w:szCs w:val="28"/>
        </w:rPr>
        <w:t>2</w:t>
      </w:r>
      <w:r w:rsidRPr="00DA3766">
        <w:rPr>
          <w:rFonts w:ascii="Times New Roman" w:hAnsi="Times New Roman" w:cs="Times New Roman"/>
          <w:b/>
          <w:bCs/>
          <w:kern w:val="2"/>
          <w:szCs w:val="28"/>
        </w:rPr>
        <w:t>、上市公司净现比的变化情况及原因</w:t>
      </w:r>
    </w:p>
    <w:p w14:paraId="49791AA9" w14:textId="77777777" w:rsidR="009952D3" w:rsidRPr="00DA3766" w:rsidRDefault="009952D3" w:rsidP="009952D3">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年度，上市公司净利润与经营活动产生的现金流量净额匹配关系如下：</w:t>
      </w:r>
    </w:p>
    <w:p w14:paraId="46009365" w14:textId="77777777" w:rsidR="009952D3" w:rsidRPr="00DA3766" w:rsidRDefault="009952D3" w:rsidP="009952D3">
      <w:pPr>
        <w:pStyle w:val="009"/>
      </w:pPr>
      <w:r w:rsidRPr="00DA3766">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17"/>
        <w:gridCol w:w="1536"/>
        <w:gridCol w:w="1386"/>
        <w:gridCol w:w="1177"/>
      </w:tblGrid>
      <w:tr w:rsidR="009952D3" w:rsidRPr="00DA3766" w14:paraId="688A2455" w14:textId="77777777" w:rsidTr="00DA3766">
        <w:trPr>
          <w:trHeight w:val="397"/>
          <w:tblHeader/>
          <w:jc w:val="center"/>
        </w:trPr>
        <w:tc>
          <w:tcPr>
            <w:tcW w:w="2592" w:type="pct"/>
            <w:vAlign w:val="center"/>
          </w:tcPr>
          <w:p w14:paraId="1F2366E8"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901" w:type="pct"/>
            <w:vAlign w:val="center"/>
          </w:tcPr>
          <w:p w14:paraId="2C2F8443"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p>
        </w:tc>
        <w:tc>
          <w:tcPr>
            <w:tcW w:w="814" w:type="pct"/>
            <w:vAlign w:val="center"/>
          </w:tcPr>
          <w:p w14:paraId="35F1B7BC"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p>
        </w:tc>
        <w:tc>
          <w:tcPr>
            <w:tcW w:w="691" w:type="pct"/>
            <w:vAlign w:val="center"/>
          </w:tcPr>
          <w:p w14:paraId="15228662"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p>
        </w:tc>
      </w:tr>
      <w:tr w:rsidR="009952D3" w:rsidRPr="00DA3766" w14:paraId="67F99F79" w14:textId="77777777" w:rsidTr="00DA3766">
        <w:trPr>
          <w:trHeight w:val="397"/>
          <w:jc w:val="center"/>
        </w:trPr>
        <w:tc>
          <w:tcPr>
            <w:tcW w:w="2592" w:type="pct"/>
            <w:vAlign w:val="center"/>
          </w:tcPr>
          <w:p w14:paraId="16A0BCB4"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1"/>
              </w:rPr>
              <w:t>经营活动产生的现金流量净额</w:t>
            </w:r>
            <w:r w:rsidRPr="00DA3766">
              <w:rPr>
                <w:rFonts w:hint="eastAsia"/>
                <w:color w:val="000000"/>
                <w:kern w:val="2"/>
                <w:sz w:val="21"/>
                <w:szCs w:val="21"/>
              </w:rPr>
              <w:t>④</w:t>
            </w:r>
          </w:p>
        </w:tc>
        <w:tc>
          <w:tcPr>
            <w:tcW w:w="901" w:type="pct"/>
            <w:vAlign w:val="center"/>
          </w:tcPr>
          <w:p w14:paraId="2F74077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-5,423.95</w:t>
            </w:r>
          </w:p>
        </w:tc>
        <w:tc>
          <w:tcPr>
            <w:tcW w:w="814" w:type="pct"/>
            <w:vAlign w:val="center"/>
          </w:tcPr>
          <w:p w14:paraId="114FB51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838.07</w:t>
            </w:r>
          </w:p>
        </w:tc>
        <w:tc>
          <w:tcPr>
            <w:tcW w:w="691" w:type="pct"/>
            <w:vAlign w:val="center"/>
          </w:tcPr>
          <w:p w14:paraId="39E381D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-6,414.31</w:t>
            </w:r>
          </w:p>
        </w:tc>
      </w:tr>
      <w:tr w:rsidR="009952D3" w:rsidRPr="00DA3766" w14:paraId="042D0C83" w14:textId="77777777" w:rsidTr="00DA3766">
        <w:trPr>
          <w:trHeight w:val="397"/>
          <w:jc w:val="center"/>
        </w:trPr>
        <w:tc>
          <w:tcPr>
            <w:tcW w:w="2592" w:type="pct"/>
            <w:vAlign w:val="center"/>
          </w:tcPr>
          <w:p w14:paraId="6E67DAE4"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净利润</w:t>
            </w:r>
            <w:r w:rsidRPr="00DA3766">
              <w:rPr>
                <w:rFonts w:hint="eastAsia"/>
                <w:color w:val="000000"/>
                <w:kern w:val="2"/>
                <w:sz w:val="21"/>
                <w:szCs w:val="21"/>
              </w:rPr>
              <w:t>⑤</w:t>
            </w:r>
          </w:p>
        </w:tc>
        <w:tc>
          <w:tcPr>
            <w:tcW w:w="901" w:type="pct"/>
            <w:vAlign w:val="center"/>
          </w:tcPr>
          <w:p w14:paraId="2145594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814" w:type="pct"/>
            <w:vAlign w:val="center"/>
          </w:tcPr>
          <w:p w14:paraId="7C7F141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438.78</w:t>
            </w:r>
          </w:p>
        </w:tc>
        <w:tc>
          <w:tcPr>
            <w:tcW w:w="691" w:type="pct"/>
            <w:vAlign w:val="center"/>
          </w:tcPr>
          <w:p w14:paraId="3233B17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3,956.09</w:t>
            </w:r>
          </w:p>
        </w:tc>
      </w:tr>
      <w:tr w:rsidR="009952D3" w:rsidRPr="00DA3766" w14:paraId="39DBD17D" w14:textId="77777777" w:rsidTr="00DA3766">
        <w:trPr>
          <w:trHeight w:val="397"/>
          <w:jc w:val="center"/>
        </w:trPr>
        <w:tc>
          <w:tcPr>
            <w:tcW w:w="2592" w:type="pct"/>
            <w:vAlign w:val="center"/>
          </w:tcPr>
          <w:p w14:paraId="4F45B9FB"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净现比</w:t>
            </w:r>
            <w:r w:rsidRPr="00DA3766">
              <w:rPr>
                <w:rFonts w:hint="eastAsia"/>
                <w:color w:val="000000"/>
                <w:kern w:val="2"/>
                <w:sz w:val="21"/>
                <w:szCs w:val="21"/>
              </w:rPr>
              <w:t>⑥</w:t>
            </w:r>
            <w:r w:rsidRPr="00DA3766">
              <w:rPr>
                <w:rFonts w:ascii="Times New Roman" w:hAnsi="Times New Roman" w:cs="Times New Roman"/>
                <w:color w:val="000000"/>
                <w:kern w:val="2"/>
                <w:sz w:val="21"/>
                <w:szCs w:val="21"/>
              </w:rPr>
              <w:t>=</w:t>
            </w:r>
            <w:r w:rsidRPr="00DA3766">
              <w:rPr>
                <w:rFonts w:hint="eastAsia"/>
                <w:color w:val="000000"/>
                <w:kern w:val="2"/>
                <w:sz w:val="21"/>
                <w:szCs w:val="21"/>
              </w:rPr>
              <w:t>④</w:t>
            </w:r>
            <w:r w:rsidRPr="00DA3766">
              <w:rPr>
                <w:rFonts w:ascii="Times New Roman" w:hAnsi="Times New Roman" w:cs="Times New Roman"/>
                <w:color w:val="000000"/>
                <w:kern w:val="2"/>
                <w:sz w:val="21"/>
                <w:szCs w:val="21"/>
              </w:rPr>
              <w:t>/</w:t>
            </w:r>
            <w:r w:rsidRPr="00DA3766">
              <w:rPr>
                <w:rFonts w:hint="eastAsia"/>
                <w:color w:val="000000"/>
                <w:kern w:val="2"/>
                <w:sz w:val="21"/>
                <w:szCs w:val="21"/>
              </w:rPr>
              <w:t>⑤</w:t>
            </w:r>
          </w:p>
        </w:tc>
        <w:tc>
          <w:tcPr>
            <w:tcW w:w="901" w:type="pct"/>
            <w:vAlign w:val="center"/>
          </w:tcPr>
          <w:p w14:paraId="40FCBB7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101.40%</w:t>
            </w:r>
          </w:p>
        </w:tc>
        <w:tc>
          <w:tcPr>
            <w:tcW w:w="814" w:type="pct"/>
            <w:vAlign w:val="center"/>
          </w:tcPr>
          <w:p w14:paraId="3AB0593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191.00%</w:t>
            </w:r>
          </w:p>
        </w:tc>
        <w:tc>
          <w:tcPr>
            <w:tcW w:w="691" w:type="pct"/>
            <w:vAlign w:val="center"/>
          </w:tcPr>
          <w:p w14:paraId="1A5B411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-162.14%</w:t>
            </w:r>
          </w:p>
        </w:tc>
      </w:tr>
    </w:tbl>
    <w:p w14:paraId="4100779C" w14:textId="77777777" w:rsidR="009952D3" w:rsidRPr="00DA3766" w:rsidRDefault="009952D3" w:rsidP="009952D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年，上市公司经营活动产生的现金流量净额与净利润的比值分别为</w:t>
      </w:r>
      <w:r w:rsidRPr="00DA3766">
        <w:rPr>
          <w:rFonts w:ascii="Times New Roman" w:hAnsi="Times New Roman" w:cs="Times New Roman"/>
          <w:kern w:val="2"/>
          <w14:ligatures w14:val="standardContextual"/>
        </w:rPr>
        <w:t>-162.14%</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191.00%</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101.40%</w:t>
      </w:r>
      <w:r w:rsidRPr="00DA3766">
        <w:rPr>
          <w:rFonts w:ascii="Times New Roman" w:hAnsi="Times New Roman" w:cs="Times New Roman"/>
          <w:kern w:val="2"/>
          <w14:ligatures w14:val="standardContextual"/>
        </w:rPr>
        <w:t>。净现比出现一定波动是经营活动产生的现金流量净额出现一定波动影响所致，其中</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年经营活动产生的现金流量净额较上年同期下降</w:t>
      </w:r>
      <w:r w:rsidRPr="00DA3766">
        <w:rPr>
          <w:rFonts w:ascii="Times New Roman" w:hAnsi="Times New Roman" w:cs="Times New Roman"/>
          <w:kern w:val="2"/>
          <w14:ligatures w14:val="standardContextual"/>
        </w:rPr>
        <w:t>6,262.02</w:t>
      </w:r>
      <w:r w:rsidRPr="00DA3766">
        <w:rPr>
          <w:rFonts w:ascii="Times New Roman" w:hAnsi="Times New Roman" w:cs="Times New Roman"/>
          <w:kern w:val="2"/>
          <w14:ligatures w14:val="standardContextual"/>
        </w:rPr>
        <w:t>万元，主要系受行业特性影响，地方客户财政资金预算不足，部分项目无法按既定计划完工验收，影响报告期的收入确认，进而影响资</w:t>
      </w:r>
      <w:r w:rsidRPr="00DA3766">
        <w:rPr>
          <w:rFonts w:ascii="Times New Roman" w:hAnsi="Times New Roman" w:cs="Times New Roman"/>
          <w:kern w:val="2"/>
          <w14:ligatures w14:val="standardContextual"/>
        </w:rPr>
        <w:lastRenderedPageBreak/>
        <w:t>金回笼所致，综上分析该指标波动主要根源原因系行业特性所致，符合行业特性。</w:t>
      </w:r>
    </w:p>
    <w:p w14:paraId="49F97549" w14:textId="77777777" w:rsidR="009952D3" w:rsidRPr="00ED69B9" w:rsidRDefault="009952D3" w:rsidP="009952D3">
      <w:pPr>
        <w:keepNext/>
        <w:keepLines/>
        <w:widowControl w:val="0"/>
        <w:spacing w:before="120" w:after="120"/>
        <w:ind w:firstLine="482"/>
        <w:jc w:val="both"/>
        <w:outlineLvl w:val="2"/>
        <w:rPr>
          <w:rFonts w:ascii="Times New Roman" w:hAnsi="Times New Roman" w:cs="Times New Roman"/>
          <w:b/>
          <w:bCs/>
          <w:kern w:val="2"/>
          <w:szCs w:val="28"/>
        </w:rPr>
      </w:pPr>
      <w:r w:rsidRPr="00ED69B9">
        <w:rPr>
          <w:rFonts w:ascii="Times New Roman" w:hAnsi="Times New Roman" w:cs="Times New Roman" w:hint="eastAsia"/>
          <w:b/>
          <w:bCs/>
          <w:kern w:val="2"/>
          <w:szCs w:val="28"/>
        </w:rPr>
        <w:t>（三）</w:t>
      </w:r>
      <w:r w:rsidRPr="00ED69B9">
        <w:rPr>
          <w:rFonts w:ascii="Times New Roman" w:hAnsi="Times New Roman" w:cs="Times New Roman"/>
          <w:b/>
          <w:bCs/>
          <w:kern w:val="2"/>
          <w:szCs w:val="28"/>
        </w:rPr>
        <w:t>上市公司盈利质量是否恶化</w:t>
      </w:r>
    </w:p>
    <w:p w14:paraId="021554A7" w14:textId="77777777" w:rsidR="009952D3" w:rsidRPr="00DA3766" w:rsidRDefault="009952D3" w:rsidP="009952D3">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取行业可比公司盈利质量核心指标收入现金比及净现比进行比对，分析如下：</w:t>
      </w:r>
    </w:p>
    <w:tbl>
      <w:tblPr>
        <w:tblW w:w="517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1299"/>
        <w:gridCol w:w="1154"/>
        <w:gridCol w:w="1301"/>
        <w:gridCol w:w="1303"/>
        <w:gridCol w:w="1301"/>
        <w:gridCol w:w="1301"/>
      </w:tblGrid>
      <w:tr w:rsidR="009952D3" w:rsidRPr="00DA3766" w14:paraId="45233CC2" w14:textId="77777777" w:rsidTr="007F36AF">
        <w:trPr>
          <w:trHeight w:val="397"/>
          <w:tblHeader/>
          <w:jc w:val="center"/>
        </w:trPr>
        <w:tc>
          <w:tcPr>
            <w:tcW w:w="661" w:type="pct"/>
            <w:vMerge w:val="restart"/>
            <w:vAlign w:val="center"/>
            <w:hideMark/>
          </w:tcPr>
          <w:p w14:paraId="075D4A10"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企业</w:t>
            </w:r>
          </w:p>
        </w:tc>
        <w:tc>
          <w:tcPr>
            <w:tcW w:w="1390" w:type="pct"/>
            <w:gridSpan w:val="2"/>
            <w:vAlign w:val="center"/>
            <w:hideMark/>
          </w:tcPr>
          <w:p w14:paraId="20EEEE8E"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475" w:type="pct"/>
            <w:gridSpan w:val="2"/>
            <w:vAlign w:val="center"/>
            <w:hideMark/>
          </w:tcPr>
          <w:p w14:paraId="0942848A"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474" w:type="pct"/>
            <w:gridSpan w:val="2"/>
            <w:vAlign w:val="center"/>
            <w:hideMark/>
          </w:tcPr>
          <w:p w14:paraId="57E346E2"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9952D3" w:rsidRPr="00DA3766" w14:paraId="4E4FBAE0" w14:textId="77777777" w:rsidTr="007F36AF">
        <w:trPr>
          <w:trHeight w:val="397"/>
          <w:tblHeader/>
          <w:jc w:val="center"/>
        </w:trPr>
        <w:tc>
          <w:tcPr>
            <w:tcW w:w="661" w:type="pct"/>
            <w:vMerge/>
            <w:vAlign w:val="center"/>
            <w:hideMark/>
          </w:tcPr>
          <w:p w14:paraId="73DEA8CD"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hideMark/>
          </w:tcPr>
          <w:p w14:paraId="3FFEC7DE"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654" w:type="pct"/>
            <w:vAlign w:val="center"/>
            <w:hideMark/>
          </w:tcPr>
          <w:p w14:paraId="2C46722E"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c>
          <w:tcPr>
            <w:tcW w:w="737" w:type="pct"/>
            <w:vAlign w:val="center"/>
            <w:hideMark/>
          </w:tcPr>
          <w:p w14:paraId="25972315"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738" w:type="pct"/>
            <w:vAlign w:val="center"/>
            <w:hideMark/>
          </w:tcPr>
          <w:p w14:paraId="3229A456"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c>
          <w:tcPr>
            <w:tcW w:w="737" w:type="pct"/>
            <w:vAlign w:val="center"/>
            <w:hideMark/>
          </w:tcPr>
          <w:p w14:paraId="02924A91"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737" w:type="pct"/>
            <w:vAlign w:val="center"/>
            <w:hideMark/>
          </w:tcPr>
          <w:p w14:paraId="41434F8D" w14:textId="77777777" w:rsidR="009952D3" w:rsidRPr="00DA3766" w:rsidRDefault="009952D3"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r>
      <w:tr w:rsidR="009952D3" w:rsidRPr="00DA3766" w14:paraId="1FAAC23E" w14:textId="77777777" w:rsidTr="007F36AF">
        <w:trPr>
          <w:trHeight w:val="397"/>
          <w:jc w:val="center"/>
        </w:trPr>
        <w:tc>
          <w:tcPr>
            <w:tcW w:w="661" w:type="pct"/>
            <w:vAlign w:val="center"/>
            <w:hideMark/>
          </w:tcPr>
          <w:p w14:paraId="63C10E5F"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736" w:type="pct"/>
            <w:vAlign w:val="center"/>
            <w:hideMark/>
          </w:tcPr>
          <w:p w14:paraId="00513B0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105.32%</w:t>
            </w:r>
          </w:p>
        </w:tc>
        <w:tc>
          <w:tcPr>
            <w:tcW w:w="654" w:type="pct"/>
            <w:vAlign w:val="center"/>
            <w:hideMark/>
          </w:tcPr>
          <w:p w14:paraId="4752B10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38.63%</w:t>
            </w:r>
          </w:p>
        </w:tc>
        <w:tc>
          <w:tcPr>
            <w:tcW w:w="737" w:type="pct"/>
            <w:vAlign w:val="center"/>
            <w:hideMark/>
          </w:tcPr>
          <w:p w14:paraId="4A5DE41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129.67%</w:t>
            </w:r>
          </w:p>
        </w:tc>
        <w:tc>
          <w:tcPr>
            <w:tcW w:w="738" w:type="pct"/>
            <w:vAlign w:val="center"/>
            <w:hideMark/>
          </w:tcPr>
          <w:p w14:paraId="0F04DF7D"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33.01%</w:t>
            </w:r>
          </w:p>
        </w:tc>
        <w:tc>
          <w:tcPr>
            <w:tcW w:w="737" w:type="pct"/>
            <w:vAlign w:val="center"/>
            <w:hideMark/>
          </w:tcPr>
          <w:p w14:paraId="48FE85A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125.02%</w:t>
            </w:r>
          </w:p>
        </w:tc>
        <w:tc>
          <w:tcPr>
            <w:tcW w:w="737" w:type="pct"/>
            <w:vAlign w:val="center"/>
            <w:hideMark/>
          </w:tcPr>
          <w:p w14:paraId="675AC0F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32.64%</w:t>
            </w:r>
          </w:p>
        </w:tc>
      </w:tr>
      <w:tr w:rsidR="009952D3" w:rsidRPr="00DA3766" w14:paraId="04918408" w14:textId="77777777" w:rsidTr="007F36AF">
        <w:trPr>
          <w:trHeight w:val="397"/>
          <w:jc w:val="center"/>
        </w:trPr>
        <w:tc>
          <w:tcPr>
            <w:tcW w:w="661" w:type="pct"/>
            <w:vAlign w:val="center"/>
            <w:hideMark/>
          </w:tcPr>
          <w:p w14:paraId="74EA8290"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736" w:type="pct"/>
            <w:vAlign w:val="center"/>
            <w:hideMark/>
          </w:tcPr>
          <w:p w14:paraId="639FB76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124.22%</w:t>
            </w:r>
          </w:p>
        </w:tc>
        <w:tc>
          <w:tcPr>
            <w:tcW w:w="654" w:type="pct"/>
            <w:vAlign w:val="center"/>
            <w:hideMark/>
          </w:tcPr>
          <w:p w14:paraId="014D178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167.66%</w:t>
            </w:r>
          </w:p>
        </w:tc>
        <w:tc>
          <w:tcPr>
            <w:tcW w:w="737" w:type="pct"/>
            <w:vAlign w:val="center"/>
            <w:hideMark/>
          </w:tcPr>
          <w:p w14:paraId="058CA01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101.16%</w:t>
            </w:r>
          </w:p>
        </w:tc>
        <w:tc>
          <w:tcPr>
            <w:tcW w:w="738" w:type="pct"/>
            <w:vAlign w:val="center"/>
            <w:hideMark/>
          </w:tcPr>
          <w:p w14:paraId="7EE54F9D"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138.67%</w:t>
            </w:r>
          </w:p>
        </w:tc>
        <w:tc>
          <w:tcPr>
            <w:tcW w:w="737" w:type="pct"/>
            <w:vAlign w:val="center"/>
            <w:hideMark/>
          </w:tcPr>
          <w:p w14:paraId="3E2C428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114.17%</w:t>
            </w:r>
          </w:p>
        </w:tc>
        <w:tc>
          <w:tcPr>
            <w:tcW w:w="737" w:type="pct"/>
            <w:vAlign w:val="center"/>
            <w:hideMark/>
          </w:tcPr>
          <w:p w14:paraId="43007B9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181.05%</w:t>
            </w:r>
          </w:p>
        </w:tc>
      </w:tr>
      <w:tr w:rsidR="009952D3" w:rsidRPr="00DA3766" w14:paraId="3C4E6965" w14:textId="77777777" w:rsidTr="007F36AF">
        <w:trPr>
          <w:trHeight w:val="397"/>
          <w:jc w:val="center"/>
        </w:trPr>
        <w:tc>
          <w:tcPr>
            <w:tcW w:w="661" w:type="pct"/>
            <w:vAlign w:val="center"/>
            <w:hideMark/>
          </w:tcPr>
          <w:p w14:paraId="5D82E146"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736" w:type="pct"/>
            <w:vAlign w:val="center"/>
            <w:hideMark/>
          </w:tcPr>
          <w:p w14:paraId="0109276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110.43%</w:t>
            </w:r>
          </w:p>
        </w:tc>
        <w:tc>
          <w:tcPr>
            <w:tcW w:w="654" w:type="pct"/>
            <w:vAlign w:val="center"/>
            <w:hideMark/>
          </w:tcPr>
          <w:p w14:paraId="57386BC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-262.33%</w:t>
            </w:r>
          </w:p>
        </w:tc>
        <w:tc>
          <w:tcPr>
            <w:tcW w:w="737" w:type="pct"/>
            <w:vAlign w:val="center"/>
            <w:hideMark/>
          </w:tcPr>
          <w:p w14:paraId="2A8AE22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92.57%</w:t>
            </w:r>
          </w:p>
        </w:tc>
        <w:tc>
          <w:tcPr>
            <w:tcW w:w="738" w:type="pct"/>
            <w:vAlign w:val="center"/>
            <w:hideMark/>
          </w:tcPr>
          <w:p w14:paraId="2D13781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82.19%</w:t>
            </w:r>
          </w:p>
        </w:tc>
        <w:tc>
          <w:tcPr>
            <w:tcW w:w="737" w:type="pct"/>
            <w:vAlign w:val="center"/>
            <w:hideMark/>
          </w:tcPr>
          <w:p w14:paraId="5EF3F15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68.85%</w:t>
            </w:r>
          </w:p>
        </w:tc>
        <w:tc>
          <w:tcPr>
            <w:tcW w:w="737" w:type="pct"/>
            <w:vAlign w:val="center"/>
            <w:hideMark/>
          </w:tcPr>
          <w:p w14:paraId="4F7E534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-39.21%</w:t>
            </w:r>
          </w:p>
        </w:tc>
      </w:tr>
      <w:tr w:rsidR="009952D3" w:rsidRPr="00DA3766" w14:paraId="21073768" w14:textId="77777777" w:rsidTr="007F36AF">
        <w:trPr>
          <w:trHeight w:val="397"/>
          <w:jc w:val="center"/>
        </w:trPr>
        <w:tc>
          <w:tcPr>
            <w:tcW w:w="661" w:type="pct"/>
            <w:vAlign w:val="center"/>
            <w:hideMark/>
          </w:tcPr>
          <w:p w14:paraId="272E18EA"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736" w:type="pct"/>
            <w:vAlign w:val="center"/>
            <w:hideMark/>
          </w:tcPr>
          <w:p w14:paraId="2E7E9EF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103.57%</w:t>
            </w:r>
          </w:p>
        </w:tc>
        <w:tc>
          <w:tcPr>
            <w:tcW w:w="654" w:type="pct"/>
            <w:vAlign w:val="center"/>
            <w:hideMark/>
          </w:tcPr>
          <w:p w14:paraId="4AA4B73A"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52.27%</w:t>
            </w:r>
          </w:p>
        </w:tc>
        <w:tc>
          <w:tcPr>
            <w:tcW w:w="737" w:type="pct"/>
            <w:vAlign w:val="center"/>
            <w:hideMark/>
          </w:tcPr>
          <w:p w14:paraId="2C161BF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90.45%</w:t>
            </w:r>
          </w:p>
        </w:tc>
        <w:tc>
          <w:tcPr>
            <w:tcW w:w="738" w:type="pct"/>
            <w:vAlign w:val="center"/>
            <w:hideMark/>
          </w:tcPr>
          <w:p w14:paraId="673AA74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475.21%</w:t>
            </w:r>
          </w:p>
        </w:tc>
        <w:tc>
          <w:tcPr>
            <w:tcW w:w="737" w:type="pct"/>
            <w:vAlign w:val="center"/>
            <w:hideMark/>
          </w:tcPr>
          <w:p w14:paraId="5030D1A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86.34%</w:t>
            </w:r>
          </w:p>
        </w:tc>
        <w:tc>
          <w:tcPr>
            <w:tcW w:w="737" w:type="pct"/>
            <w:vAlign w:val="center"/>
            <w:hideMark/>
          </w:tcPr>
          <w:p w14:paraId="7BE87CC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-9.50%</w:t>
            </w:r>
          </w:p>
        </w:tc>
      </w:tr>
      <w:tr w:rsidR="009952D3" w:rsidRPr="00DA3766" w14:paraId="07E37137" w14:textId="77777777" w:rsidTr="007F36AF">
        <w:trPr>
          <w:trHeight w:val="397"/>
          <w:jc w:val="center"/>
        </w:trPr>
        <w:tc>
          <w:tcPr>
            <w:tcW w:w="661" w:type="pct"/>
            <w:vAlign w:val="center"/>
            <w:hideMark/>
          </w:tcPr>
          <w:p w14:paraId="2CE56048"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736" w:type="pct"/>
            <w:vAlign w:val="center"/>
            <w:hideMark/>
          </w:tcPr>
          <w:p w14:paraId="76AB794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80.85%</w:t>
            </w:r>
          </w:p>
        </w:tc>
        <w:tc>
          <w:tcPr>
            <w:tcW w:w="654" w:type="pct"/>
            <w:vAlign w:val="center"/>
            <w:hideMark/>
          </w:tcPr>
          <w:p w14:paraId="2B5891C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-49.70%</w:t>
            </w:r>
          </w:p>
        </w:tc>
        <w:tc>
          <w:tcPr>
            <w:tcW w:w="737" w:type="pct"/>
            <w:vAlign w:val="center"/>
            <w:hideMark/>
          </w:tcPr>
          <w:p w14:paraId="7FDE4CCC"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87.92%</w:t>
            </w:r>
          </w:p>
        </w:tc>
        <w:tc>
          <w:tcPr>
            <w:tcW w:w="738" w:type="pct"/>
            <w:vAlign w:val="center"/>
            <w:hideMark/>
          </w:tcPr>
          <w:p w14:paraId="0E351A7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-45.32%</w:t>
            </w:r>
          </w:p>
        </w:tc>
        <w:tc>
          <w:tcPr>
            <w:tcW w:w="737" w:type="pct"/>
            <w:vAlign w:val="center"/>
            <w:hideMark/>
          </w:tcPr>
          <w:p w14:paraId="2644C72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64.17%</w:t>
            </w:r>
          </w:p>
        </w:tc>
        <w:tc>
          <w:tcPr>
            <w:tcW w:w="737" w:type="pct"/>
            <w:vAlign w:val="center"/>
            <w:hideMark/>
          </w:tcPr>
          <w:p w14:paraId="37991C6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-281.42%</w:t>
            </w:r>
          </w:p>
        </w:tc>
      </w:tr>
      <w:tr w:rsidR="009952D3" w:rsidRPr="00DA3766" w14:paraId="7AA26896" w14:textId="77777777" w:rsidTr="007F36AF">
        <w:trPr>
          <w:trHeight w:val="397"/>
          <w:jc w:val="center"/>
        </w:trPr>
        <w:tc>
          <w:tcPr>
            <w:tcW w:w="661" w:type="pct"/>
            <w:vAlign w:val="center"/>
            <w:hideMark/>
          </w:tcPr>
          <w:p w14:paraId="3B7AFDA2"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736" w:type="pct"/>
            <w:vAlign w:val="center"/>
            <w:hideMark/>
          </w:tcPr>
          <w:p w14:paraId="7861019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134.90%</w:t>
            </w:r>
          </w:p>
        </w:tc>
        <w:tc>
          <w:tcPr>
            <w:tcW w:w="654" w:type="pct"/>
            <w:vAlign w:val="center"/>
            <w:hideMark/>
          </w:tcPr>
          <w:p w14:paraId="3C872AF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66.23%</w:t>
            </w:r>
          </w:p>
        </w:tc>
        <w:tc>
          <w:tcPr>
            <w:tcW w:w="737" w:type="pct"/>
            <w:vAlign w:val="center"/>
            <w:hideMark/>
          </w:tcPr>
          <w:p w14:paraId="288729C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72.63%</w:t>
            </w:r>
          </w:p>
        </w:tc>
        <w:tc>
          <w:tcPr>
            <w:tcW w:w="738" w:type="pct"/>
            <w:vAlign w:val="center"/>
            <w:hideMark/>
          </w:tcPr>
          <w:p w14:paraId="645B9DE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-282.09%</w:t>
            </w:r>
          </w:p>
        </w:tc>
        <w:tc>
          <w:tcPr>
            <w:tcW w:w="737" w:type="pct"/>
            <w:vAlign w:val="center"/>
            <w:hideMark/>
          </w:tcPr>
          <w:p w14:paraId="29C5672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62.63%</w:t>
            </w:r>
          </w:p>
        </w:tc>
        <w:tc>
          <w:tcPr>
            <w:tcW w:w="737" w:type="pct"/>
            <w:vAlign w:val="center"/>
            <w:hideMark/>
          </w:tcPr>
          <w:p w14:paraId="1512506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9.88%</w:t>
            </w:r>
          </w:p>
        </w:tc>
      </w:tr>
      <w:tr w:rsidR="009952D3" w:rsidRPr="00DA3766" w14:paraId="3DE2674D" w14:textId="77777777" w:rsidTr="007F36AF">
        <w:trPr>
          <w:trHeight w:val="397"/>
          <w:jc w:val="center"/>
        </w:trPr>
        <w:tc>
          <w:tcPr>
            <w:tcW w:w="661" w:type="pct"/>
            <w:vAlign w:val="center"/>
            <w:hideMark/>
          </w:tcPr>
          <w:p w14:paraId="43932A0B"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736" w:type="pct"/>
            <w:vAlign w:val="center"/>
            <w:hideMark/>
          </w:tcPr>
          <w:p w14:paraId="7FC0C30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78.39%</w:t>
            </w:r>
          </w:p>
        </w:tc>
        <w:tc>
          <w:tcPr>
            <w:tcW w:w="654" w:type="pct"/>
            <w:vAlign w:val="center"/>
            <w:hideMark/>
          </w:tcPr>
          <w:p w14:paraId="2106FE59"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-2068.92%</w:t>
            </w:r>
          </w:p>
        </w:tc>
        <w:tc>
          <w:tcPr>
            <w:tcW w:w="737" w:type="pct"/>
            <w:vAlign w:val="center"/>
            <w:hideMark/>
          </w:tcPr>
          <w:p w14:paraId="24585A4D"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82.16%</w:t>
            </w:r>
          </w:p>
        </w:tc>
        <w:tc>
          <w:tcPr>
            <w:tcW w:w="738" w:type="pct"/>
            <w:vAlign w:val="center"/>
            <w:hideMark/>
          </w:tcPr>
          <w:p w14:paraId="6C8CF7C3"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29.61%</w:t>
            </w:r>
          </w:p>
        </w:tc>
        <w:tc>
          <w:tcPr>
            <w:tcW w:w="737" w:type="pct"/>
            <w:vAlign w:val="center"/>
            <w:hideMark/>
          </w:tcPr>
          <w:p w14:paraId="7709F217"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118.42%</w:t>
            </w:r>
          </w:p>
        </w:tc>
        <w:tc>
          <w:tcPr>
            <w:tcW w:w="737" w:type="pct"/>
            <w:vAlign w:val="center"/>
            <w:hideMark/>
          </w:tcPr>
          <w:p w14:paraId="53995F1B"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335.42%</w:t>
            </w:r>
          </w:p>
        </w:tc>
      </w:tr>
      <w:tr w:rsidR="009952D3" w:rsidRPr="00DA3766" w14:paraId="26E87C77" w14:textId="77777777" w:rsidTr="007F36AF">
        <w:trPr>
          <w:trHeight w:val="397"/>
          <w:jc w:val="center"/>
        </w:trPr>
        <w:tc>
          <w:tcPr>
            <w:tcW w:w="661" w:type="pct"/>
            <w:vAlign w:val="center"/>
            <w:hideMark/>
          </w:tcPr>
          <w:p w14:paraId="31A1BC4E"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736" w:type="pct"/>
            <w:vAlign w:val="center"/>
            <w:hideMark/>
          </w:tcPr>
          <w:p w14:paraId="24C1D32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94.81%</w:t>
            </w:r>
          </w:p>
        </w:tc>
        <w:tc>
          <w:tcPr>
            <w:tcW w:w="654" w:type="pct"/>
            <w:vAlign w:val="center"/>
            <w:hideMark/>
          </w:tcPr>
          <w:p w14:paraId="3ACF533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276" w:name="_Hlk220158553"/>
            <w:r w:rsidRPr="00DA3766">
              <w:rPr>
                <w:rFonts w:ascii="Times New Roman" w:hAnsi="Times New Roman" w:cs="Times New Roman"/>
                <w:b/>
                <w:bCs/>
                <w:color w:val="000000"/>
                <w:kern w:val="2"/>
                <w:sz w:val="21"/>
                <w:szCs w:val="22"/>
                <w14:ligatures w14:val="standardContextual"/>
              </w:rPr>
              <w:t>116.49%</w:t>
            </w:r>
            <w:bookmarkEnd w:id="276"/>
          </w:p>
        </w:tc>
        <w:tc>
          <w:tcPr>
            <w:tcW w:w="737" w:type="pct"/>
            <w:vAlign w:val="center"/>
            <w:hideMark/>
          </w:tcPr>
          <w:p w14:paraId="3EB76394"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88.17%</w:t>
            </w:r>
          </w:p>
        </w:tc>
        <w:tc>
          <w:tcPr>
            <w:tcW w:w="738" w:type="pct"/>
            <w:vAlign w:val="center"/>
            <w:hideMark/>
          </w:tcPr>
          <w:p w14:paraId="1C740A5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123.39%</w:t>
            </w:r>
          </w:p>
        </w:tc>
        <w:tc>
          <w:tcPr>
            <w:tcW w:w="737" w:type="pct"/>
            <w:vAlign w:val="center"/>
            <w:hideMark/>
          </w:tcPr>
          <w:p w14:paraId="2ABE9DA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95.70%</w:t>
            </w:r>
          </w:p>
        </w:tc>
        <w:tc>
          <w:tcPr>
            <w:tcW w:w="737" w:type="pct"/>
            <w:vAlign w:val="center"/>
            <w:hideMark/>
          </w:tcPr>
          <w:p w14:paraId="6DB3D46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16.39%</w:t>
            </w:r>
          </w:p>
        </w:tc>
      </w:tr>
      <w:tr w:rsidR="009952D3" w:rsidRPr="00DA3766" w14:paraId="00F23C7E" w14:textId="77777777" w:rsidTr="007F36AF">
        <w:trPr>
          <w:trHeight w:val="397"/>
          <w:jc w:val="center"/>
        </w:trPr>
        <w:tc>
          <w:tcPr>
            <w:tcW w:w="661" w:type="pct"/>
            <w:vAlign w:val="center"/>
            <w:hideMark/>
          </w:tcPr>
          <w:p w14:paraId="3FFB9D40"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736" w:type="pct"/>
            <w:vAlign w:val="center"/>
            <w:hideMark/>
          </w:tcPr>
          <w:p w14:paraId="32CC66AF"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86.47%</w:t>
            </w:r>
          </w:p>
        </w:tc>
        <w:tc>
          <w:tcPr>
            <w:tcW w:w="654" w:type="pct"/>
            <w:vAlign w:val="center"/>
            <w:hideMark/>
          </w:tcPr>
          <w:p w14:paraId="668C178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55.62%</w:t>
            </w:r>
          </w:p>
        </w:tc>
        <w:tc>
          <w:tcPr>
            <w:tcW w:w="737" w:type="pct"/>
            <w:vAlign w:val="center"/>
            <w:hideMark/>
          </w:tcPr>
          <w:p w14:paraId="276F424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92.57%</w:t>
            </w:r>
          </w:p>
        </w:tc>
        <w:tc>
          <w:tcPr>
            <w:tcW w:w="738" w:type="pct"/>
            <w:vAlign w:val="center"/>
            <w:hideMark/>
          </w:tcPr>
          <w:p w14:paraId="724D718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64.62%</w:t>
            </w:r>
          </w:p>
        </w:tc>
        <w:tc>
          <w:tcPr>
            <w:tcW w:w="737" w:type="pct"/>
            <w:vAlign w:val="center"/>
            <w:hideMark/>
          </w:tcPr>
          <w:p w14:paraId="200957E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84.90%</w:t>
            </w:r>
          </w:p>
        </w:tc>
        <w:tc>
          <w:tcPr>
            <w:tcW w:w="737" w:type="pct"/>
            <w:vAlign w:val="center"/>
            <w:hideMark/>
          </w:tcPr>
          <w:p w14:paraId="217E2F88"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-9.27%</w:t>
            </w:r>
          </w:p>
        </w:tc>
      </w:tr>
      <w:tr w:rsidR="009952D3" w:rsidRPr="00DA3766" w14:paraId="047760A6" w14:textId="77777777" w:rsidTr="007F36AF">
        <w:trPr>
          <w:trHeight w:val="397"/>
          <w:jc w:val="center"/>
        </w:trPr>
        <w:tc>
          <w:tcPr>
            <w:tcW w:w="661" w:type="pct"/>
            <w:vAlign w:val="center"/>
            <w:hideMark/>
          </w:tcPr>
          <w:p w14:paraId="68075735" w14:textId="77777777" w:rsidR="009952D3" w:rsidRPr="00DA3766" w:rsidRDefault="009952D3"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736" w:type="pct"/>
            <w:vAlign w:val="center"/>
            <w:hideMark/>
          </w:tcPr>
          <w:p w14:paraId="7CA97740"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140.86%</w:t>
            </w:r>
          </w:p>
        </w:tc>
        <w:tc>
          <w:tcPr>
            <w:tcW w:w="654" w:type="pct"/>
            <w:vAlign w:val="center"/>
            <w:hideMark/>
          </w:tcPr>
          <w:p w14:paraId="0C50C63E"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101.40%</w:t>
            </w:r>
          </w:p>
        </w:tc>
        <w:tc>
          <w:tcPr>
            <w:tcW w:w="737" w:type="pct"/>
            <w:vAlign w:val="center"/>
            <w:hideMark/>
          </w:tcPr>
          <w:p w14:paraId="11D1F2E5"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113.58%</w:t>
            </w:r>
          </w:p>
        </w:tc>
        <w:tc>
          <w:tcPr>
            <w:tcW w:w="738" w:type="pct"/>
            <w:vAlign w:val="center"/>
            <w:hideMark/>
          </w:tcPr>
          <w:p w14:paraId="3E6001C6"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191.00%</w:t>
            </w:r>
          </w:p>
        </w:tc>
        <w:tc>
          <w:tcPr>
            <w:tcW w:w="737" w:type="pct"/>
            <w:vAlign w:val="center"/>
            <w:hideMark/>
          </w:tcPr>
          <w:p w14:paraId="0430E6D2"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86.81%</w:t>
            </w:r>
          </w:p>
        </w:tc>
        <w:tc>
          <w:tcPr>
            <w:tcW w:w="737" w:type="pct"/>
            <w:vAlign w:val="center"/>
            <w:hideMark/>
          </w:tcPr>
          <w:p w14:paraId="6313AA41" w14:textId="77777777" w:rsidR="009952D3" w:rsidRPr="00DA3766" w:rsidRDefault="009952D3"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-162.14%</w:t>
            </w:r>
          </w:p>
        </w:tc>
      </w:tr>
    </w:tbl>
    <w:p w14:paraId="72C37C65" w14:textId="77777777" w:rsidR="009952D3" w:rsidRPr="00DA3766" w:rsidRDefault="009952D3" w:rsidP="009952D3">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上市公司客户主要为政府部门、事业单位及大中型国有企业，该等客户通常实行预算管理及集中采购制度，受预算管理以及采购流程长等影响，经营活动现金流净额低于净利润是行业共性。可比公司报告期</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年收入现金比平均值分别为</w:t>
      </w:r>
      <w:r w:rsidRPr="00DA3766">
        <w:rPr>
          <w:rFonts w:ascii="Times New Roman" w:hAnsi="Times New Roman" w:cs="Times New Roman"/>
          <w:kern w:val="2"/>
          <w:szCs w:val="23"/>
        </w:rPr>
        <w:t>95.70%</w:t>
      </w:r>
      <w:r w:rsidRPr="00DA3766">
        <w:rPr>
          <w:rFonts w:ascii="Times New Roman" w:hAnsi="Times New Roman" w:cs="Times New Roman"/>
          <w:kern w:val="2"/>
          <w:szCs w:val="23"/>
        </w:rPr>
        <w:t>、</w:t>
      </w:r>
      <w:r w:rsidRPr="00DA3766">
        <w:rPr>
          <w:rFonts w:ascii="Times New Roman" w:hAnsi="Times New Roman" w:cs="Times New Roman"/>
          <w:kern w:val="2"/>
          <w:szCs w:val="23"/>
        </w:rPr>
        <w:t>88.17%</w:t>
      </w:r>
      <w:r w:rsidRPr="00DA3766">
        <w:rPr>
          <w:rFonts w:ascii="Times New Roman" w:hAnsi="Times New Roman" w:cs="Times New Roman"/>
          <w:kern w:val="2"/>
          <w:szCs w:val="23"/>
        </w:rPr>
        <w:t>及</w:t>
      </w:r>
      <w:r w:rsidRPr="00DA3766">
        <w:rPr>
          <w:rFonts w:ascii="Times New Roman" w:hAnsi="Times New Roman" w:cs="Times New Roman"/>
          <w:kern w:val="2"/>
          <w:szCs w:val="23"/>
        </w:rPr>
        <w:t>94.81%</w:t>
      </w:r>
      <w:r w:rsidRPr="00DA3766">
        <w:rPr>
          <w:rFonts w:ascii="Times New Roman" w:hAnsi="Times New Roman" w:cs="Times New Roman"/>
          <w:kern w:val="2"/>
          <w:szCs w:val="23"/>
        </w:rPr>
        <w:t>，上市公司分别为</w:t>
      </w:r>
      <w:r w:rsidRPr="00DA3766">
        <w:rPr>
          <w:rFonts w:ascii="Times New Roman" w:hAnsi="Times New Roman" w:cs="Times New Roman"/>
          <w:kern w:val="2"/>
          <w:szCs w:val="23"/>
        </w:rPr>
        <w:t>86.81%</w:t>
      </w:r>
      <w:r w:rsidRPr="00DA3766">
        <w:rPr>
          <w:rFonts w:ascii="Times New Roman" w:hAnsi="Times New Roman" w:cs="Times New Roman"/>
          <w:kern w:val="2"/>
          <w:szCs w:val="23"/>
        </w:rPr>
        <w:t>、</w:t>
      </w:r>
      <w:r w:rsidRPr="00DA3766">
        <w:rPr>
          <w:rFonts w:ascii="Times New Roman" w:hAnsi="Times New Roman" w:cs="Times New Roman"/>
          <w:kern w:val="2"/>
          <w:szCs w:val="23"/>
        </w:rPr>
        <w:t>113.58%</w:t>
      </w:r>
      <w:r w:rsidRPr="00DA3766">
        <w:rPr>
          <w:rFonts w:ascii="Times New Roman" w:hAnsi="Times New Roman" w:cs="Times New Roman"/>
          <w:kern w:val="2"/>
          <w:szCs w:val="23"/>
        </w:rPr>
        <w:t>及</w:t>
      </w:r>
      <w:r w:rsidRPr="00DA3766">
        <w:rPr>
          <w:rFonts w:ascii="Times New Roman" w:hAnsi="Times New Roman" w:cs="Times New Roman"/>
          <w:kern w:val="2"/>
          <w:szCs w:val="23"/>
        </w:rPr>
        <w:t>140.86%</w:t>
      </w:r>
      <w:r w:rsidRPr="00DA3766">
        <w:rPr>
          <w:rFonts w:ascii="Times New Roman" w:hAnsi="Times New Roman" w:cs="Times New Roman"/>
          <w:kern w:val="2"/>
          <w:szCs w:val="23"/>
        </w:rPr>
        <w:t>，趋势一致，逐年爬升且近两年均大于</w:t>
      </w:r>
      <w:r w:rsidRPr="00DA3766">
        <w:rPr>
          <w:rFonts w:ascii="Times New Roman" w:hAnsi="Times New Roman" w:cs="Times New Roman"/>
          <w:kern w:val="2"/>
          <w:szCs w:val="23"/>
        </w:rPr>
        <w:t>1</w:t>
      </w:r>
      <w:r w:rsidRPr="00DA3766">
        <w:rPr>
          <w:rFonts w:ascii="Times New Roman" w:hAnsi="Times New Roman" w:cs="Times New Roman"/>
          <w:kern w:val="2"/>
          <w:szCs w:val="23"/>
        </w:rPr>
        <w:t>，健康度略好于同行；可比公司</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年净现比平均值分别系</w:t>
      </w:r>
      <w:r w:rsidRPr="00DA3766">
        <w:rPr>
          <w:rFonts w:ascii="Times New Roman" w:hAnsi="Times New Roman" w:cs="Times New Roman"/>
          <w:kern w:val="2"/>
          <w:szCs w:val="23"/>
        </w:rPr>
        <w:t>16.39%</w:t>
      </w:r>
      <w:r w:rsidRPr="00DA3766">
        <w:rPr>
          <w:rFonts w:ascii="Times New Roman" w:hAnsi="Times New Roman" w:cs="Times New Roman"/>
          <w:kern w:val="2"/>
          <w:szCs w:val="23"/>
        </w:rPr>
        <w:t>、</w:t>
      </w:r>
      <w:r w:rsidRPr="00DA3766">
        <w:rPr>
          <w:rFonts w:ascii="Times New Roman" w:hAnsi="Times New Roman" w:cs="Times New Roman"/>
          <w:kern w:val="2"/>
          <w:szCs w:val="23"/>
        </w:rPr>
        <w:t>123.39%</w:t>
      </w:r>
      <w:r w:rsidRPr="00DA3766">
        <w:rPr>
          <w:rFonts w:ascii="Times New Roman" w:hAnsi="Times New Roman" w:cs="Times New Roman"/>
          <w:kern w:val="2"/>
          <w:szCs w:val="23"/>
        </w:rPr>
        <w:t>及</w:t>
      </w:r>
      <w:r w:rsidRPr="00DA3766">
        <w:rPr>
          <w:rFonts w:ascii="Times New Roman" w:hAnsi="Times New Roman" w:cs="Times New Roman"/>
          <w:kern w:val="2"/>
          <w:szCs w:val="23"/>
        </w:rPr>
        <w:t>116.49%</w:t>
      </w:r>
      <w:r w:rsidRPr="00DA3766">
        <w:rPr>
          <w:rFonts w:ascii="Times New Roman" w:hAnsi="Times New Roman" w:cs="Times New Roman"/>
          <w:kern w:val="2"/>
          <w:szCs w:val="23"/>
        </w:rPr>
        <w:t>，上市公司分别系</w:t>
      </w:r>
      <w:r w:rsidRPr="00DA3766">
        <w:rPr>
          <w:rFonts w:ascii="Times New Roman" w:hAnsi="Times New Roman" w:cs="Times New Roman"/>
          <w:kern w:val="2"/>
          <w:szCs w:val="23"/>
        </w:rPr>
        <w:t>-162.14%</w:t>
      </w:r>
      <w:r w:rsidRPr="00DA3766">
        <w:rPr>
          <w:rFonts w:ascii="Times New Roman" w:hAnsi="Times New Roman" w:cs="Times New Roman"/>
          <w:kern w:val="2"/>
          <w:szCs w:val="23"/>
        </w:rPr>
        <w:t>、</w:t>
      </w:r>
      <w:r w:rsidRPr="00DA3766">
        <w:rPr>
          <w:rFonts w:ascii="Times New Roman" w:hAnsi="Times New Roman" w:cs="Times New Roman"/>
          <w:kern w:val="2"/>
          <w:szCs w:val="23"/>
        </w:rPr>
        <w:t>191.00%</w:t>
      </w:r>
      <w:r w:rsidRPr="00DA3766">
        <w:rPr>
          <w:rFonts w:ascii="Times New Roman" w:hAnsi="Times New Roman" w:cs="Times New Roman"/>
          <w:kern w:val="2"/>
          <w:szCs w:val="23"/>
        </w:rPr>
        <w:t>及</w:t>
      </w:r>
      <w:r w:rsidRPr="00DA3766">
        <w:rPr>
          <w:rFonts w:ascii="Times New Roman" w:hAnsi="Times New Roman" w:cs="Times New Roman"/>
          <w:kern w:val="2"/>
          <w:szCs w:val="23"/>
        </w:rPr>
        <w:t>101.40%</w:t>
      </w:r>
      <w:r w:rsidRPr="00DA3766">
        <w:rPr>
          <w:rFonts w:ascii="Times New Roman" w:hAnsi="Times New Roman" w:cs="Times New Roman"/>
          <w:kern w:val="2"/>
          <w:szCs w:val="23"/>
        </w:rPr>
        <w:t>，与行业趋势无显著差异，近两年保持大于</w:t>
      </w:r>
      <w:r w:rsidRPr="00DA3766">
        <w:rPr>
          <w:rFonts w:ascii="Times New Roman" w:hAnsi="Times New Roman" w:cs="Times New Roman"/>
          <w:kern w:val="2"/>
          <w:szCs w:val="23"/>
        </w:rPr>
        <w:t>1</w:t>
      </w:r>
      <w:r w:rsidRPr="00DA3766">
        <w:rPr>
          <w:rFonts w:ascii="Times New Roman" w:hAnsi="Times New Roman" w:cs="Times New Roman"/>
          <w:kern w:val="2"/>
          <w:szCs w:val="23"/>
        </w:rPr>
        <w:t>，健康度较好，综上分析上市公司盈利质量未有恶化。</w:t>
      </w:r>
    </w:p>
    <w:p w14:paraId="27C91A3A" w14:textId="5FF93F71" w:rsidR="009952D3" w:rsidRPr="009952D3" w:rsidRDefault="00E3278D" w:rsidP="009952D3">
      <w:pPr>
        <w:snapToGrid w:val="0"/>
        <w:spacing w:before="120" w:afterLines="0" w:after="120"/>
        <w:ind w:firstLine="480"/>
        <w:jc w:val="both"/>
        <w:rPr>
          <w:rFonts w:ascii="Times New Roman" w:hAnsi="Times New Roman"/>
        </w:rPr>
      </w:pPr>
      <w:bookmarkStart w:id="277" w:name="_Hlk220414606"/>
      <w:r w:rsidRPr="00E3278D">
        <w:rPr>
          <w:rFonts w:ascii="Times New Roman" w:hAnsi="Times New Roman" w:hint="eastAsia"/>
        </w:rPr>
        <w:t>综上，</w:t>
      </w:r>
      <w:r w:rsidR="008A3B9B" w:rsidRPr="008A3B9B">
        <w:rPr>
          <w:rFonts w:ascii="Times New Roman" w:hAnsi="Times New Roman" w:hint="eastAsia"/>
        </w:rPr>
        <w:t>2022</w:t>
      </w:r>
      <w:r w:rsidR="008A3B9B" w:rsidRPr="008A3B9B">
        <w:rPr>
          <w:rFonts w:ascii="Times New Roman" w:hAnsi="Times New Roman" w:hint="eastAsia"/>
        </w:rPr>
        <w:t>年以来，受客户资金预算不足影响，</w:t>
      </w:r>
      <w:r w:rsidR="008A3B9B">
        <w:rPr>
          <w:rFonts w:ascii="Times New Roman" w:hAnsi="Times New Roman" w:hint="eastAsia"/>
        </w:rPr>
        <w:t>上市公司</w:t>
      </w:r>
      <w:r w:rsidR="008A3B9B" w:rsidRPr="008A3B9B">
        <w:rPr>
          <w:rFonts w:ascii="Times New Roman" w:hAnsi="Times New Roman" w:hint="eastAsia"/>
        </w:rPr>
        <w:t>未结项目已经发生现实成本支付及现金流支出</w:t>
      </w:r>
      <w:r w:rsidR="008A3B9B">
        <w:rPr>
          <w:rFonts w:ascii="Times New Roman" w:hAnsi="Times New Roman" w:hint="eastAsia"/>
        </w:rPr>
        <w:t>但无法确认收入</w:t>
      </w:r>
      <w:r w:rsidR="008A3B9B" w:rsidRPr="008A3B9B">
        <w:rPr>
          <w:rFonts w:ascii="Times New Roman" w:hAnsi="Times New Roman" w:hint="eastAsia"/>
        </w:rPr>
        <w:t>，</w:t>
      </w:r>
      <w:r w:rsidR="008A3B9B">
        <w:rPr>
          <w:rFonts w:ascii="Times New Roman" w:hAnsi="Times New Roman" w:hint="eastAsia"/>
        </w:rPr>
        <w:t>导致</w:t>
      </w:r>
      <w:r w:rsidR="008A3B9B" w:rsidRPr="008A3B9B">
        <w:rPr>
          <w:rFonts w:ascii="Times New Roman" w:hAnsi="Times New Roman" w:hint="eastAsia"/>
        </w:rPr>
        <w:t>出现当期经营现金流入小于当期经营现金流出现象，最终导致经营活动产生的现金流净额倒挂情况</w:t>
      </w:r>
      <w:r w:rsidR="008A3B9B">
        <w:rPr>
          <w:rFonts w:ascii="Times New Roman" w:hAnsi="Times New Roman" w:hint="eastAsia"/>
        </w:rPr>
        <w:t>，符合行业特征</w:t>
      </w:r>
      <w:r w:rsidRPr="00E3278D">
        <w:rPr>
          <w:rFonts w:ascii="Times New Roman" w:hAnsi="Times New Roman" w:hint="eastAsia"/>
        </w:rPr>
        <w:t>。</w:t>
      </w:r>
      <w:r w:rsidR="003B6363">
        <w:rPr>
          <w:rFonts w:ascii="Times New Roman" w:hAnsi="Times New Roman" w:hint="eastAsia"/>
        </w:rPr>
        <w:t>经同行业对比，上市</w:t>
      </w:r>
      <w:r w:rsidR="008A3B9B">
        <w:rPr>
          <w:rFonts w:ascii="Times New Roman" w:hAnsi="Times New Roman" w:hint="eastAsia"/>
        </w:rPr>
        <w:t>公司收入现金比、净现比变动趋势与同行业保持一致，</w:t>
      </w:r>
      <w:r w:rsidR="008A3B9B" w:rsidRPr="008A3B9B">
        <w:rPr>
          <w:rFonts w:ascii="Times New Roman" w:hAnsi="Times New Roman" w:hint="eastAsia"/>
        </w:rPr>
        <w:t>健康度</w:t>
      </w:r>
      <w:r w:rsidR="003B6363">
        <w:rPr>
          <w:rFonts w:ascii="Times New Roman" w:hAnsi="Times New Roman" w:hint="eastAsia"/>
        </w:rPr>
        <w:t>相对</w:t>
      </w:r>
      <w:r w:rsidR="008A3B9B" w:rsidRPr="008A3B9B">
        <w:rPr>
          <w:rFonts w:ascii="Times New Roman" w:hAnsi="Times New Roman" w:hint="eastAsia"/>
        </w:rPr>
        <w:t>较好，盈利质量未有恶化</w:t>
      </w:r>
      <w:r w:rsidR="008A3B9B">
        <w:rPr>
          <w:rFonts w:ascii="Times New Roman" w:hAnsi="Times New Roman" w:hint="eastAsia"/>
        </w:rPr>
        <w:t>。</w:t>
      </w:r>
      <w:bookmarkEnd w:id="277"/>
    </w:p>
    <w:p w14:paraId="4D9BEF42"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三、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p>
    <w:p w14:paraId="72369CA7"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（一）上市公司各类业务的业务流程（如初验、试运行、终验、质保等）、收入确认的具体政策方法（包括收入确认时点、采用总额法或净额法、内外部依据、收入确认中的验收是终验还是初验等）</w:t>
      </w:r>
    </w:p>
    <w:p w14:paraId="34249F2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年度，上市公司各类业务的业务流程、收入确认具体政策方法情况如下：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885"/>
        <w:gridCol w:w="2117"/>
      </w:tblGrid>
      <w:tr w:rsidR="003F2129" w:rsidRPr="00DA3766" w14:paraId="44C168D7" w14:textId="77777777" w:rsidTr="007F36AF">
        <w:trPr>
          <w:trHeight w:val="397"/>
          <w:tblHeader/>
          <w:jc w:val="center"/>
        </w:trPr>
        <w:tc>
          <w:tcPr>
            <w:tcW w:w="895" w:type="pct"/>
            <w:vAlign w:val="center"/>
          </w:tcPr>
          <w:p w14:paraId="63BDD7B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产品名称</w:t>
            </w:r>
          </w:p>
        </w:tc>
        <w:tc>
          <w:tcPr>
            <w:tcW w:w="2864" w:type="pct"/>
            <w:vAlign w:val="center"/>
          </w:tcPr>
          <w:p w14:paraId="05098CC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业务流程</w:t>
            </w:r>
          </w:p>
        </w:tc>
        <w:tc>
          <w:tcPr>
            <w:tcW w:w="1241" w:type="pct"/>
            <w:vAlign w:val="center"/>
          </w:tcPr>
          <w:p w14:paraId="5A6A8D7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收入确认具体政策</w:t>
            </w:r>
          </w:p>
        </w:tc>
      </w:tr>
      <w:tr w:rsidR="003F2129" w:rsidRPr="00DA3766" w14:paraId="0B6D82D8" w14:textId="77777777" w:rsidTr="007F36AF">
        <w:trPr>
          <w:trHeight w:val="397"/>
          <w:jc w:val="center"/>
        </w:trPr>
        <w:tc>
          <w:tcPr>
            <w:tcW w:w="895" w:type="pct"/>
            <w:vAlign w:val="center"/>
          </w:tcPr>
          <w:p w14:paraId="4ADFE7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信息系统集成服务业务</w:t>
            </w:r>
          </w:p>
        </w:tc>
        <w:tc>
          <w:tcPr>
            <w:tcW w:w="2864" w:type="pct"/>
            <w:vAlign w:val="center"/>
          </w:tcPr>
          <w:p w14:paraId="0ACCB2AA" w14:textId="65BAC7BB"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w:t>
            </w:r>
          </w:p>
        </w:tc>
        <w:tc>
          <w:tcPr>
            <w:tcW w:w="1241" w:type="pct"/>
            <w:vAlign w:val="center"/>
          </w:tcPr>
          <w:p w14:paraId="69EEDBA7" w14:textId="498D4646" w:rsidR="003F2129" w:rsidRPr="00DA3766" w:rsidRDefault="00506CB2"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客户验收合格</w:t>
            </w:r>
            <w:r w:rsidR="003F2129" w:rsidRPr="00DA3766">
              <w:rPr>
                <w:rFonts w:ascii="Times New Roman" w:hAnsi="Times New Roman" w:cs="Times New Roman"/>
                <w:color w:val="000000"/>
                <w:kern w:val="2"/>
                <w:sz w:val="21"/>
                <w:szCs w:val="21"/>
              </w:rPr>
              <w:t>确认收入；依据为客户出具的最终验收报告</w:t>
            </w:r>
          </w:p>
        </w:tc>
      </w:tr>
      <w:tr w:rsidR="003F2129" w:rsidRPr="00DA3766" w14:paraId="0BE2CA1D" w14:textId="77777777" w:rsidTr="007F36AF">
        <w:trPr>
          <w:trHeight w:val="397"/>
          <w:jc w:val="center"/>
        </w:trPr>
        <w:tc>
          <w:tcPr>
            <w:tcW w:w="895" w:type="pct"/>
            <w:vAlign w:val="center"/>
          </w:tcPr>
          <w:p w14:paraId="03413E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软件开发及技术服务</w:t>
            </w:r>
          </w:p>
        </w:tc>
        <w:tc>
          <w:tcPr>
            <w:tcW w:w="2864" w:type="pct"/>
            <w:vAlign w:val="center"/>
          </w:tcPr>
          <w:p w14:paraId="7908CBBB" w14:textId="305D9682"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w:t>
            </w:r>
            <w:r w:rsidR="00506CB2" w:rsidRPr="00DA3766">
              <w:rPr>
                <w:rFonts w:ascii="Times New Roman" w:hAnsi="Times New Roman" w:cs="Times New Roman"/>
                <w:color w:val="000000"/>
                <w:kern w:val="2"/>
                <w:sz w:val="21"/>
                <w:szCs w:val="21"/>
              </w:rPr>
              <w:t>。</w:t>
            </w:r>
          </w:p>
        </w:tc>
        <w:tc>
          <w:tcPr>
            <w:tcW w:w="1241" w:type="pct"/>
            <w:vAlign w:val="center"/>
          </w:tcPr>
          <w:p w14:paraId="617CCD74" w14:textId="1163B852"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取得客户验收报告或其他验收证据作为收入确认时点</w:t>
            </w:r>
          </w:p>
        </w:tc>
      </w:tr>
      <w:tr w:rsidR="003F2129" w:rsidRPr="00DA3766" w14:paraId="7D484AD2" w14:textId="77777777" w:rsidTr="007F36AF">
        <w:trPr>
          <w:trHeight w:val="397"/>
          <w:jc w:val="center"/>
        </w:trPr>
        <w:tc>
          <w:tcPr>
            <w:tcW w:w="895" w:type="pct"/>
            <w:vAlign w:val="center"/>
          </w:tcPr>
          <w:p w14:paraId="16706E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信息系统运维服务业务</w:t>
            </w:r>
          </w:p>
        </w:tc>
        <w:tc>
          <w:tcPr>
            <w:tcW w:w="2864" w:type="pct"/>
            <w:vAlign w:val="center"/>
          </w:tcPr>
          <w:p w14:paraId="72479A1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tc>
        <w:tc>
          <w:tcPr>
            <w:tcW w:w="1241" w:type="pct"/>
            <w:vAlign w:val="center"/>
          </w:tcPr>
          <w:p w14:paraId="3FF035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服务完成时点（指偶发的一次性运维服务）或阶段完成时点（指定期服务的日常维护，按月确认）确认收入</w:t>
            </w:r>
          </w:p>
        </w:tc>
      </w:tr>
      <w:tr w:rsidR="003F2129" w:rsidRPr="00DA3766" w14:paraId="40B903C9" w14:textId="77777777" w:rsidTr="007F36AF">
        <w:trPr>
          <w:trHeight w:val="397"/>
          <w:jc w:val="center"/>
        </w:trPr>
        <w:tc>
          <w:tcPr>
            <w:tcW w:w="895" w:type="pct"/>
            <w:vAlign w:val="center"/>
          </w:tcPr>
          <w:p w14:paraId="596B48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信息设备销售</w:t>
            </w:r>
          </w:p>
        </w:tc>
        <w:tc>
          <w:tcPr>
            <w:tcW w:w="2864" w:type="pct"/>
            <w:vAlign w:val="center"/>
          </w:tcPr>
          <w:p w14:paraId="03D2244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向企业、政府部门销售电子产品（主要是系统集成服务和信息系统运维过程中，根据客户需求搭配的一些零配件，主要包括机柜、电脑、播放器、主机、投影仪等）。信息设备销售以商品转移给购货方，取得客户验收单作为收入确认时点</w:t>
            </w:r>
          </w:p>
        </w:tc>
        <w:tc>
          <w:tcPr>
            <w:tcW w:w="1241" w:type="pct"/>
            <w:vAlign w:val="center"/>
          </w:tcPr>
          <w:p w14:paraId="2FC557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kern w:val="2"/>
                <w:sz w:val="21"/>
                <w:szCs w:val="21"/>
                <w14:ligatures w14:val="standardContextual"/>
              </w:rPr>
              <w:t>信息设备销售以商品转移给购货方，取得客户验收单作为收入确认时点</w:t>
            </w:r>
          </w:p>
        </w:tc>
      </w:tr>
      <w:tr w:rsidR="003F2129" w:rsidRPr="00DA3766" w14:paraId="3651E547" w14:textId="77777777" w:rsidTr="007F36AF">
        <w:trPr>
          <w:trHeight w:val="397"/>
          <w:jc w:val="center"/>
        </w:trPr>
        <w:tc>
          <w:tcPr>
            <w:tcW w:w="895" w:type="pct"/>
            <w:vAlign w:val="center"/>
          </w:tcPr>
          <w:p w14:paraId="14D31F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光伏发电</w:t>
            </w:r>
          </w:p>
        </w:tc>
        <w:tc>
          <w:tcPr>
            <w:tcW w:w="2864" w:type="pct"/>
            <w:vAlign w:val="center"/>
          </w:tcPr>
          <w:p w14:paraId="026D0192"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光伏发电收入确认遵循《企业会计准则第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tc>
        <w:tc>
          <w:tcPr>
            <w:tcW w:w="1241" w:type="pct"/>
            <w:vAlign w:val="center"/>
          </w:tcPr>
          <w:p w14:paraId="2AE1DFC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电网公司或其他客户提供的发电量计量确认数据（如并网电表读数），于电力实际输送至电网或用户时确认收入</w:t>
            </w:r>
          </w:p>
        </w:tc>
      </w:tr>
      <w:tr w:rsidR="003F2129" w:rsidRPr="00DA3766" w14:paraId="177B7960" w14:textId="77777777" w:rsidTr="007F36AF">
        <w:trPr>
          <w:trHeight w:val="397"/>
          <w:jc w:val="center"/>
        </w:trPr>
        <w:tc>
          <w:tcPr>
            <w:tcW w:w="895" w:type="pct"/>
            <w:vAlign w:val="center"/>
          </w:tcPr>
          <w:p w14:paraId="7ED5B0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贸易业务</w:t>
            </w:r>
          </w:p>
        </w:tc>
        <w:tc>
          <w:tcPr>
            <w:tcW w:w="2864" w:type="pct"/>
            <w:vAlign w:val="center"/>
          </w:tcPr>
          <w:p w14:paraId="66DE4B6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贸易业务涉及较少，公司按照《企业会计准则第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lastRenderedPageBreak/>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收入》规定，以合同履约条款及业务本质评估是否承担主要责任及风险还是代理模式，对承担主要责任及风险的按总额法于控制权转移时确认收入，如系代理模式的则按净额法确认收入</w:t>
            </w:r>
          </w:p>
        </w:tc>
        <w:tc>
          <w:tcPr>
            <w:tcW w:w="1241" w:type="pct"/>
            <w:vAlign w:val="center"/>
          </w:tcPr>
          <w:p w14:paraId="79003197"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lastRenderedPageBreak/>
              <w:t>按照《企业会计准则</w:t>
            </w:r>
            <w:r w:rsidRPr="00DA3766">
              <w:rPr>
                <w:rFonts w:ascii="Times New Roman" w:hAnsi="Times New Roman" w:cs="Times New Roman"/>
                <w:color w:val="000000"/>
                <w:kern w:val="2"/>
                <w:sz w:val="21"/>
                <w:szCs w:val="21"/>
              </w:rPr>
              <w:lastRenderedPageBreak/>
              <w:t>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收入》按对账确认时净额法确认收入</w:t>
            </w:r>
          </w:p>
        </w:tc>
      </w:tr>
    </w:tbl>
    <w:p w14:paraId="76EC13B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（二）相关收入确认方法是否符合《企业会计准则》的有关规定，与同行业可比公司收入政策是否存在较大差异。</w:t>
      </w:r>
    </w:p>
    <w:p w14:paraId="59BE3EE2"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、相关收入确认方法是否符合《企业会计准则》的有关规定</w:t>
      </w:r>
    </w:p>
    <w:p w14:paraId="727F3C70" w14:textId="77777777" w:rsidR="003F2129" w:rsidRPr="00DA3766" w:rsidRDefault="003F2129" w:rsidP="007F36AF">
      <w:pPr>
        <w:pStyle w:val="005"/>
        <w:spacing w:before="120" w:after="120"/>
        <w:ind w:firstLine="480"/>
      </w:pPr>
      <w:r w:rsidRPr="00DA3766">
        <w:t>根据《企业会计准则第</w:t>
      </w:r>
      <w:r w:rsidRPr="00DA3766">
        <w:t>14</w:t>
      </w:r>
      <w:r w:rsidRPr="00DA3766">
        <w:t>号</w:t>
      </w:r>
      <w:r w:rsidRPr="00DA3766">
        <w:t>——</w:t>
      </w:r>
      <w:r w:rsidRPr="00DA3766">
        <w:t>收入》的规定，对于在某一时点履行的履约义务，企业应当在客户取得相关商品控制权时点确认收入。在判断控制权是否转移时，企业应当综合考虑下列迹象：（</w:t>
      </w:r>
      <w:r w:rsidRPr="00DA3766">
        <w:t>1</w:t>
      </w:r>
      <w:r w:rsidRPr="00DA3766">
        <w:t>）企业就该商品享有现时收款权利，即客户就该商品负有现时付款义务；（</w:t>
      </w:r>
      <w:r w:rsidRPr="00DA3766">
        <w:t>2</w:t>
      </w:r>
      <w:r w:rsidRPr="00DA3766">
        <w:t>）企业已将该商品的法定所有权转移给客户，即客户已拥有该商品的法定所有权；（</w:t>
      </w:r>
      <w:r w:rsidRPr="00DA3766">
        <w:t>3</w:t>
      </w:r>
      <w:r w:rsidRPr="00DA3766">
        <w:t>）企业已将该商品实物转移给客户，即客户已占有该商品实物；（</w:t>
      </w:r>
      <w:r w:rsidRPr="00DA3766">
        <w:t>4</w:t>
      </w:r>
      <w:r w:rsidRPr="00DA3766">
        <w:t>）企业已将该商品所有权上的主要风险和报酬转移给客户，即客户已取得该商品所有权上的主要风险和报酬；（</w:t>
      </w:r>
      <w:r w:rsidRPr="00DA3766">
        <w:t>5</w:t>
      </w:r>
      <w:r w:rsidRPr="00DA3766">
        <w:t>）客户已接受该商品；（</w:t>
      </w:r>
      <w:r w:rsidRPr="00DA3766">
        <w:t>6</w:t>
      </w:r>
      <w:r w:rsidRPr="00DA3766">
        <w:t>）其他表明客户已取得商品控制权的迹象。</w:t>
      </w:r>
    </w:p>
    <w:p w14:paraId="163E9AD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公司收入确认时点分为产品经客户安装验收完成、客户签收、对账时三类，确认收入时均已将商品控制权转移至客户。公司在相关时点的主要履约义务已经完成，已取得现时收款权利，客户也接受该商品，已拥有该商品的法定所有权，表明公司已将该商品所有权上的主要风险和报酬转移给客户，公司相关会计处理符合《企业会计准则》的规定。</w:t>
      </w:r>
    </w:p>
    <w:p w14:paraId="7AC5D66E"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、与同行业可比公司收入政策是否存在较大差异</w:t>
      </w:r>
    </w:p>
    <w:p w14:paraId="12C034FF" w14:textId="77777777" w:rsidR="003F2129" w:rsidRPr="00DA3766" w:rsidRDefault="003F2129" w:rsidP="003F2129">
      <w:pPr>
        <w:spacing w:before="120" w:afterLines="0" w:after="0"/>
        <w:ind w:firstLine="480"/>
        <w:jc w:val="both"/>
        <w:rPr>
          <w:rFonts w:ascii="Times New Roman" w:hAnsi="Times New Roman" w:cs="Times New Roman"/>
          <w:kern w:val="2"/>
        </w:rPr>
      </w:pPr>
      <w:r w:rsidRPr="00DA3766">
        <w:rPr>
          <w:rFonts w:ascii="Times New Roman" w:hAnsi="Times New Roman" w:cs="Times New Roman"/>
          <w:kern w:val="2"/>
        </w:rPr>
        <w:t>上市公司的同行业可比公司收入确认政策如下：</w:t>
      </w:r>
    </w:p>
    <w:tbl>
      <w:tblPr>
        <w:tblW w:w="58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2171"/>
        <w:gridCol w:w="2405"/>
        <w:gridCol w:w="2720"/>
        <w:gridCol w:w="1667"/>
      </w:tblGrid>
      <w:tr w:rsidR="003F2129" w:rsidRPr="00DA3766" w14:paraId="38C09BCD" w14:textId="77777777" w:rsidTr="007F36AF">
        <w:trPr>
          <w:trHeight w:val="397"/>
          <w:tblHeader/>
          <w:jc w:val="center"/>
        </w:trPr>
        <w:tc>
          <w:tcPr>
            <w:tcW w:w="532" w:type="pct"/>
            <w:vAlign w:val="center"/>
          </w:tcPr>
          <w:p w14:paraId="72BDD80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bookmarkStart w:id="278" w:name="_Hlk220099944"/>
            <w:r w:rsidRPr="00DA3766">
              <w:rPr>
                <w:rFonts w:ascii="Times New Roman" w:hAnsi="Times New Roman" w:cs="Times New Roman"/>
                <w:b/>
                <w:color w:val="000000"/>
                <w:kern w:val="2"/>
                <w:sz w:val="21"/>
                <w14:ligatures w14:val="standardContextual"/>
              </w:rPr>
              <w:t>企业</w:t>
            </w:r>
          </w:p>
        </w:tc>
        <w:tc>
          <w:tcPr>
            <w:tcW w:w="1082" w:type="pct"/>
            <w:vAlign w:val="center"/>
          </w:tcPr>
          <w:p w14:paraId="78146F2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系统集成</w:t>
            </w:r>
          </w:p>
        </w:tc>
        <w:tc>
          <w:tcPr>
            <w:tcW w:w="1199" w:type="pct"/>
            <w:vAlign w:val="center"/>
          </w:tcPr>
          <w:p w14:paraId="42F8645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软件开发</w:t>
            </w:r>
          </w:p>
        </w:tc>
        <w:tc>
          <w:tcPr>
            <w:tcW w:w="1356" w:type="pct"/>
            <w:vAlign w:val="center"/>
          </w:tcPr>
          <w:p w14:paraId="4E2F04B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信息系统运维服务业务</w:t>
            </w:r>
          </w:p>
        </w:tc>
        <w:tc>
          <w:tcPr>
            <w:tcW w:w="831" w:type="pct"/>
            <w:vAlign w:val="center"/>
          </w:tcPr>
          <w:p w14:paraId="7CD5FFB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硬件销售</w:t>
            </w:r>
          </w:p>
        </w:tc>
      </w:tr>
      <w:tr w:rsidR="003F2129" w:rsidRPr="00DA3766" w14:paraId="3737A414" w14:textId="77777777" w:rsidTr="007F36AF">
        <w:trPr>
          <w:trHeight w:val="397"/>
          <w:jc w:val="center"/>
        </w:trPr>
        <w:tc>
          <w:tcPr>
            <w:tcW w:w="532" w:type="pct"/>
            <w:vAlign w:val="center"/>
          </w:tcPr>
          <w:p w14:paraId="5025CC7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信息发展</w:t>
            </w:r>
          </w:p>
        </w:tc>
        <w:tc>
          <w:tcPr>
            <w:tcW w:w="1082" w:type="pct"/>
            <w:vAlign w:val="center"/>
          </w:tcPr>
          <w:p w14:paraId="55226F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对于系统集成项目，公司根据合同的约定，在系统集成项目中的软件产品和外购硬件（原材料、设备等）已交付给客户，系统已按合同约定的条件完成安装调试，通过客户验收完成后</w:t>
            </w:r>
            <w:r w:rsidRPr="00DA3766">
              <w:rPr>
                <w:rFonts w:ascii="Times New Roman" w:hAnsi="Times New Roman" w:cs="Times New Roman"/>
                <w:color w:val="000000"/>
                <w:sz w:val="21"/>
                <w:lang w:bidi="ar"/>
                <w14:ligatures w14:val="standardContextual"/>
              </w:rPr>
              <w:lastRenderedPageBreak/>
              <w:t>确认收入的实现。</w:t>
            </w:r>
          </w:p>
        </w:tc>
        <w:tc>
          <w:tcPr>
            <w:tcW w:w="1199" w:type="pct"/>
            <w:vAlign w:val="center"/>
          </w:tcPr>
          <w:p w14:paraId="252387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lastRenderedPageBreak/>
              <w:t>该类收入按照合同约定、在项目实施完成并经对方验收合格后确认收入的实现。</w:t>
            </w:r>
          </w:p>
        </w:tc>
        <w:tc>
          <w:tcPr>
            <w:tcW w:w="1356" w:type="pct"/>
            <w:vAlign w:val="center"/>
          </w:tcPr>
          <w:p w14:paraId="5F0209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该类收入的服务合同中对服务内容、服务期限、收入总额、收款条件均有明确的约定，根据合同规定在服务期间内分期确认收入的实现；其他服务合同在提供服务的结果能够可靠估计的情况下，在合同约定的服务期限内，经用户确认后确认</w:t>
            </w:r>
            <w:r w:rsidRPr="00DA3766">
              <w:rPr>
                <w:rFonts w:ascii="Times New Roman" w:hAnsi="Times New Roman" w:cs="Times New Roman"/>
                <w:color w:val="000000"/>
                <w:sz w:val="21"/>
                <w:lang w:bidi="ar"/>
                <w14:ligatures w14:val="standardContextual"/>
              </w:rPr>
              <w:lastRenderedPageBreak/>
              <w:t>收入的实现。</w:t>
            </w:r>
          </w:p>
        </w:tc>
        <w:tc>
          <w:tcPr>
            <w:tcW w:w="831" w:type="pct"/>
            <w:vAlign w:val="center"/>
          </w:tcPr>
          <w:p w14:paraId="6C3E90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lastRenderedPageBreak/>
              <w:t>/</w:t>
            </w:r>
          </w:p>
        </w:tc>
      </w:tr>
      <w:tr w:rsidR="003F2129" w:rsidRPr="00DA3766" w14:paraId="3E35261E" w14:textId="77777777" w:rsidTr="007F36AF">
        <w:trPr>
          <w:trHeight w:val="397"/>
          <w:jc w:val="center"/>
        </w:trPr>
        <w:tc>
          <w:tcPr>
            <w:tcW w:w="532" w:type="pct"/>
            <w:vAlign w:val="center"/>
          </w:tcPr>
          <w:p w14:paraId="6C9E5E1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佳发教育</w:t>
            </w:r>
          </w:p>
        </w:tc>
        <w:tc>
          <w:tcPr>
            <w:tcW w:w="1082" w:type="pct"/>
            <w:vAlign w:val="center"/>
          </w:tcPr>
          <w:p w14:paraId="128D90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需要予以安装调试服务的产品，本公司与客户之间的销售商品合同通常包含了转让商品和安装调试的履约义务。产品销售和安装调试服务具有高度的关联性，应识别为一项履约义务。所以本公司在产品安装调试完成后，客户验收合格时确认收入。</w:t>
            </w:r>
          </w:p>
        </w:tc>
        <w:tc>
          <w:tcPr>
            <w:tcW w:w="1199" w:type="pct"/>
            <w:vAlign w:val="center"/>
          </w:tcPr>
          <w:p w14:paraId="5BE76C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w:t>
            </w:r>
          </w:p>
        </w:tc>
        <w:tc>
          <w:tcPr>
            <w:tcW w:w="1356" w:type="pct"/>
            <w:vAlign w:val="center"/>
          </w:tcPr>
          <w:p w14:paraId="582A8C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本公司与客户之间的提供服务合同通常包含维护保障服务、运维服务等履约义务，由于本公司履约的同时客户即取得并消耗本集团履约所带来的经济利益，本公司将其作为在某一时段内履行的履约义务，按照履约进度确认收入。对于有明确的产出指标的服务合同，比如维护保障服务、运维服务等，本公司按照产出法确定提供服务的履约进度。同类业务采用不同经营模式涉及不同收入确认方式及计量方法的情况不适用。</w:t>
            </w:r>
          </w:p>
        </w:tc>
        <w:tc>
          <w:tcPr>
            <w:tcW w:w="831" w:type="pct"/>
            <w:vAlign w:val="center"/>
          </w:tcPr>
          <w:p w14:paraId="7355D0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不需要安装调试服务的产品，本公司与客户之间的销售商品合同通常仅包含转让商品的履约义务。所以本公司通常在将产品移交至客户指定地点并由客户对商品进行清点验收时点确认收入。</w:t>
            </w:r>
          </w:p>
        </w:tc>
      </w:tr>
      <w:tr w:rsidR="003F2129" w:rsidRPr="00DA3766" w14:paraId="555264A4" w14:textId="77777777" w:rsidTr="007F36AF">
        <w:trPr>
          <w:trHeight w:val="397"/>
          <w:jc w:val="center"/>
        </w:trPr>
        <w:tc>
          <w:tcPr>
            <w:tcW w:w="532" w:type="pct"/>
            <w:vAlign w:val="center"/>
          </w:tcPr>
          <w:p w14:paraId="18042F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杰创智能</w:t>
            </w:r>
          </w:p>
        </w:tc>
        <w:tc>
          <w:tcPr>
            <w:tcW w:w="1082" w:type="pct"/>
            <w:vAlign w:val="center"/>
          </w:tcPr>
          <w:p w14:paraId="73A7E2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信息系统集成需安装调试后才达到预定可使用状态，主要风险和报酬（控制权）才转移给购货方（建设方），因此信息系统集成服务以完成安装调试，客户验收合格后作为收入确认时点。</w:t>
            </w:r>
          </w:p>
        </w:tc>
        <w:tc>
          <w:tcPr>
            <w:tcW w:w="1199" w:type="pct"/>
            <w:vAlign w:val="center"/>
          </w:tcPr>
          <w:p w14:paraId="0AB523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向客户提供的技术咨询、方案设计及软件开发等技术服务业务，以完成服务并取得客户验收后作为收入确认时点。</w:t>
            </w:r>
          </w:p>
        </w:tc>
        <w:tc>
          <w:tcPr>
            <w:tcW w:w="1356" w:type="pct"/>
            <w:vAlign w:val="center"/>
          </w:tcPr>
          <w:p w14:paraId="62123D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供信息系统运维服务业务，公司对服务内容、服务期限、收入总额、收款条件均有明确约定的技术服务合同，根据合同规定在服务期间内分期确认收入；对于未约定服务期间的合同，公司在提供服务的结果能够可靠估计的情况下，经用户确认后确认收入。</w:t>
            </w:r>
          </w:p>
        </w:tc>
        <w:tc>
          <w:tcPr>
            <w:tcW w:w="831" w:type="pct"/>
            <w:vAlign w:val="center"/>
          </w:tcPr>
          <w:p w14:paraId="70D5CE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本集团销售通信安全管理产品的业务，在商品已经发出并收到客户的验收单时，商品的控制权转移，本集团在该时点确认收入实现。</w:t>
            </w:r>
          </w:p>
        </w:tc>
      </w:tr>
      <w:tr w:rsidR="003F2129" w:rsidRPr="00DA3766" w14:paraId="18D85456" w14:textId="77777777" w:rsidTr="007F36AF">
        <w:trPr>
          <w:trHeight w:val="397"/>
          <w:jc w:val="center"/>
        </w:trPr>
        <w:tc>
          <w:tcPr>
            <w:tcW w:w="532" w:type="pct"/>
            <w:vAlign w:val="center"/>
          </w:tcPr>
          <w:p w14:paraId="54EBC3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开普云</w:t>
            </w:r>
          </w:p>
        </w:tc>
        <w:tc>
          <w:tcPr>
            <w:tcW w:w="1082" w:type="pct"/>
            <w:vAlign w:val="center"/>
          </w:tcPr>
          <w:p w14:paraId="73B873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公司为客户提供所需的一系列软件产品以及相关二次开发、安装、调试与电力大数据产品开发等技术服务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属于在某一时点履行的履约义务。以包含定制化开发方式交付的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公司按照合同约定为客户完成技术开发服务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并经客户验收通过后确认收入</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以产品化软件交付的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公司按照合同约定向购买方移交了所提供的软件产品</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并取得购买方的签收单据后确认收入。以合同约定按服务次数提供技术服务的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按次确认收入。</w:t>
            </w:r>
          </w:p>
        </w:tc>
        <w:tc>
          <w:tcPr>
            <w:tcW w:w="1199" w:type="pct"/>
            <w:vAlign w:val="center"/>
          </w:tcPr>
          <w:p w14:paraId="0643FD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1356" w:type="pct"/>
            <w:vAlign w:val="center"/>
          </w:tcPr>
          <w:p w14:paraId="796D60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公司为客户提供运维保障服务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属于在某一时段内履行的履约义务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公司按照相关合同约定的服务期间完成履约义务并分期确认收入。</w:t>
            </w:r>
          </w:p>
        </w:tc>
        <w:tc>
          <w:tcPr>
            <w:tcW w:w="831" w:type="pct"/>
            <w:vAlign w:val="center"/>
          </w:tcPr>
          <w:p w14:paraId="7419B2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30371668" w14:textId="77777777" w:rsidTr="007F36AF">
        <w:trPr>
          <w:trHeight w:val="397"/>
          <w:jc w:val="center"/>
        </w:trPr>
        <w:tc>
          <w:tcPr>
            <w:tcW w:w="532" w:type="pct"/>
            <w:vAlign w:val="center"/>
          </w:tcPr>
          <w:p w14:paraId="3E28304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宏景科技</w:t>
            </w:r>
          </w:p>
        </w:tc>
        <w:tc>
          <w:tcPr>
            <w:tcW w:w="1082" w:type="pct"/>
            <w:vAlign w:val="center"/>
          </w:tcPr>
          <w:p w14:paraId="26D1B1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公司在完成合同约定</w:t>
            </w:r>
            <w:r w:rsidRPr="00DA3766">
              <w:rPr>
                <w:rFonts w:ascii="Times New Roman" w:hAnsi="Times New Roman" w:cs="Times New Roman"/>
                <w:color w:val="000000"/>
                <w:sz w:val="21"/>
                <w:lang w:bidi="ar"/>
                <w14:ligatures w14:val="standardContextual"/>
              </w:rPr>
              <w:lastRenderedPageBreak/>
              <w:t>的履约义务，信息系统集成产品达到合同约定的可使用状态，并取得客户确认的最终验收报告，产品所有权上的主要风险和报酬已经转移给客户时（商品控制权发生转移时）确认收入。</w:t>
            </w:r>
          </w:p>
        </w:tc>
        <w:tc>
          <w:tcPr>
            <w:tcW w:w="1199" w:type="pct"/>
            <w:vAlign w:val="center"/>
          </w:tcPr>
          <w:p w14:paraId="558A7F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w:t>
            </w:r>
          </w:p>
        </w:tc>
        <w:tc>
          <w:tcPr>
            <w:tcW w:w="1356" w:type="pct"/>
            <w:vAlign w:val="center"/>
          </w:tcPr>
          <w:p w14:paraId="3D57BB9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根据合同约定在服务期间</w:t>
            </w:r>
            <w:r w:rsidRPr="00DA3766">
              <w:rPr>
                <w:rFonts w:ascii="Times New Roman" w:hAnsi="Times New Roman" w:cs="Times New Roman"/>
                <w:color w:val="000000"/>
                <w:sz w:val="21"/>
                <w:lang w:bidi="ar"/>
                <w14:ligatures w14:val="standardContextual"/>
              </w:rPr>
              <w:lastRenderedPageBreak/>
              <w:t>内分期确认收入。</w:t>
            </w:r>
          </w:p>
        </w:tc>
        <w:tc>
          <w:tcPr>
            <w:tcW w:w="831" w:type="pct"/>
            <w:vAlign w:val="center"/>
          </w:tcPr>
          <w:p w14:paraId="69C471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w:t>
            </w:r>
          </w:p>
        </w:tc>
      </w:tr>
      <w:tr w:rsidR="003F2129" w:rsidRPr="00DA3766" w14:paraId="50CA5351" w14:textId="77777777" w:rsidTr="007F36AF">
        <w:trPr>
          <w:trHeight w:val="397"/>
          <w:jc w:val="center"/>
        </w:trPr>
        <w:tc>
          <w:tcPr>
            <w:tcW w:w="532" w:type="pct"/>
            <w:vAlign w:val="center"/>
          </w:tcPr>
          <w:p w14:paraId="4C6350B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082" w:type="pct"/>
            <w:vAlign w:val="center"/>
          </w:tcPr>
          <w:p w14:paraId="191BB05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sz w:val="21"/>
                <w:lang w:bidi="ar"/>
                <w14:ligatures w14:val="standardContextual"/>
              </w:rPr>
            </w:pPr>
            <w:r w:rsidRPr="00DA3766">
              <w:rPr>
                <w:rFonts w:ascii="Times New Roman" w:hAnsi="Times New Roman" w:cs="Times New Roman"/>
                <w:sz w:val="21"/>
                <w:lang w:bidi="ar"/>
                <w14:ligatures w14:val="standardContextual"/>
              </w:rPr>
              <w:t>智慧城市信息服务业务根据合同具体约定判断是否满足在某一时段内履行履约义务，若满足条件则采用时段法确认收入，确认方法为投入法，若不满足条件则在经验收合格或交付后确认收入。</w:t>
            </w:r>
          </w:p>
        </w:tc>
        <w:tc>
          <w:tcPr>
            <w:tcW w:w="1199" w:type="pct"/>
            <w:vAlign w:val="center"/>
          </w:tcPr>
          <w:p w14:paraId="564957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软件开发在经验收合格后确认收入。</w:t>
            </w:r>
          </w:p>
        </w:tc>
        <w:tc>
          <w:tcPr>
            <w:tcW w:w="1356" w:type="pct"/>
            <w:vAlign w:val="center"/>
          </w:tcPr>
          <w:p w14:paraId="56BEA9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维保服务在提供服务期间分期确认收入。</w:t>
            </w:r>
          </w:p>
        </w:tc>
        <w:tc>
          <w:tcPr>
            <w:tcW w:w="831" w:type="pct"/>
            <w:vAlign w:val="center"/>
          </w:tcPr>
          <w:p w14:paraId="6B770A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w:t>
            </w:r>
          </w:p>
        </w:tc>
      </w:tr>
      <w:tr w:rsidR="003F2129" w:rsidRPr="00DA3766" w14:paraId="0F546FFA" w14:textId="77777777" w:rsidTr="007F36AF">
        <w:trPr>
          <w:trHeight w:val="397"/>
          <w:jc w:val="center"/>
        </w:trPr>
        <w:tc>
          <w:tcPr>
            <w:tcW w:w="532" w:type="pct"/>
            <w:vAlign w:val="center"/>
          </w:tcPr>
          <w:p w14:paraId="7CEB31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082" w:type="pct"/>
            <w:vAlign w:val="center"/>
          </w:tcPr>
          <w:p w14:paraId="65C980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公司与客户签订的系统集成业务合同，基于合同条款及适用于合同的法律规定，公司可选择在某一时段内确认收入或者某一时点确认收入。当客户能够控制公司履约过程中在建的商品或</w:t>
            </w:r>
          </w:p>
          <w:p w14:paraId="7E455F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者公司履约过程中所产出的商品具有不可替代用途，且公司在整个合同期间内有权就累计至今已完成的履约部分收取款项时，公司选择在某一时段内确认收入。否则，公司选择在某一时点确认收入。经分析，公司现有系统集成项目均不符合在某一时段内确认收入的条件，因此公司采用时点法确认收入。</w:t>
            </w:r>
          </w:p>
        </w:tc>
        <w:tc>
          <w:tcPr>
            <w:tcW w:w="1199" w:type="pct"/>
            <w:vAlign w:val="center"/>
          </w:tcPr>
          <w:p w14:paraId="4671B3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本公司与客户签订的定制软件开发及其他服务合同，基于合同条款及适用于合同的法律规定，</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公司可选择在某一时段内确认收入或者某一时点确认收入。当客户能够控制公司履约过程中在建的商品或公司履约过程中所产出的商品具有不可替代用途，且公司在整个合同期间内有权就累</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计至今已完成的履约部分收取款项时，公司选择在某一时段内确认收入。否则，公司选择在某一时点确认收入。经分析，公司现有定制软件开发项目及其他服务项目均不符合在某一时段内确认</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收入的条件，因此公司采用时点法确认收入。</w:t>
            </w:r>
          </w:p>
        </w:tc>
        <w:tc>
          <w:tcPr>
            <w:tcW w:w="1356" w:type="pct"/>
            <w:vAlign w:val="center"/>
          </w:tcPr>
          <w:p w14:paraId="1301CD9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本公司与客户签订的运维服务合同，由于客户在公司履约的同时即取得并消耗公司履约所带</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来的经济利益，公司将其作为按照某一时段内履行的履约义务，在服务期内，按照公司与客户的</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约定分期确认收入</w:t>
            </w:r>
          </w:p>
        </w:tc>
        <w:tc>
          <w:tcPr>
            <w:tcW w:w="831" w:type="pct"/>
            <w:vAlign w:val="center"/>
          </w:tcPr>
          <w:p w14:paraId="4739CC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本公司与客户签订的硬件商品销售合同，由于不满足时段法确认收入的三个条件，公司按照</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时点法确认收入，在完成商品交付并经客户验收合格后确认收入。</w:t>
            </w:r>
          </w:p>
        </w:tc>
      </w:tr>
      <w:tr w:rsidR="003F2129" w:rsidRPr="00DA3766" w14:paraId="1D9A15F4" w14:textId="77777777" w:rsidTr="007F36AF">
        <w:trPr>
          <w:trHeight w:val="397"/>
          <w:jc w:val="center"/>
        </w:trPr>
        <w:tc>
          <w:tcPr>
            <w:tcW w:w="532" w:type="pct"/>
            <w:vAlign w:val="center"/>
          </w:tcPr>
          <w:p w14:paraId="355877F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14:ligatures w14:val="standardContextual"/>
              </w:rPr>
              <w:t>天亿马</w:t>
            </w:r>
          </w:p>
        </w:tc>
        <w:tc>
          <w:tcPr>
            <w:tcW w:w="1082" w:type="pct"/>
            <w:vAlign w:val="center"/>
          </w:tcPr>
          <w:p w14:paraId="1DFF87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w:t>
            </w:r>
            <w:r w:rsidRPr="00DA3766">
              <w:rPr>
                <w:rFonts w:ascii="Times New Roman" w:hAnsi="Times New Roman" w:cs="Times New Roman"/>
                <w:color w:val="000000"/>
                <w:sz w:val="21"/>
                <w:lang w:bidi="ar"/>
                <w14:ligatures w14:val="standardContextual"/>
              </w:rPr>
              <w:lastRenderedPageBreak/>
              <w:t>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tc>
        <w:tc>
          <w:tcPr>
            <w:tcW w:w="1199" w:type="pct"/>
            <w:vAlign w:val="center"/>
          </w:tcPr>
          <w:p w14:paraId="6EFCAB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按照客户要求开发信息系统服务平台并部署调试。软件开发及技术服务客户为软件终端使用客户的，以完成服务并</w:t>
            </w:r>
            <w:r w:rsidRPr="00DA3766">
              <w:rPr>
                <w:rFonts w:ascii="Times New Roman" w:hAnsi="Times New Roman" w:cs="Times New Roman"/>
                <w:color w:val="000000"/>
                <w:sz w:val="21"/>
                <w:lang w:bidi="ar"/>
                <w14:ligatures w14:val="standardContextual"/>
              </w:rPr>
              <w:lastRenderedPageBreak/>
              <w:t>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tc>
        <w:tc>
          <w:tcPr>
            <w:tcW w:w="1356" w:type="pct"/>
            <w:vAlign w:val="center"/>
          </w:tcPr>
          <w:p w14:paraId="6E44CF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信息系统运维服务按照合同约定的条款于服务完成时点（指偶发的一次性运维服务）或阶段完成时点（指定期服务的日常维护，按月</w:t>
            </w:r>
            <w:r w:rsidRPr="00DA3766">
              <w:rPr>
                <w:rFonts w:ascii="Times New Roman" w:hAnsi="Times New Roman" w:cs="Times New Roman"/>
                <w:color w:val="000000"/>
                <w:sz w:val="21"/>
                <w:lang w:bidi="ar"/>
                <w14:ligatures w14:val="standardContextual"/>
              </w:rPr>
              <w:lastRenderedPageBreak/>
              <w:t>确认）确认收入。</w:t>
            </w:r>
          </w:p>
        </w:tc>
        <w:tc>
          <w:tcPr>
            <w:tcW w:w="831" w:type="pct"/>
            <w:vAlign w:val="center"/>
          </w:tcPr>
          <w:p w14:paraId="60E072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公司向企业、政府部门销售电子产品（主要是系统集成服务和信息系统运</w:t>
            </w:r>
            <w:r w:rsidRPr="00DA3766">
              <w:rPr>
                <w:rFonts w:ascii="Times New Roman" w:hAnsi="Times New Roman" w:cs="Times New Roman"/>
                <w:color w:val="000000"/>
                <w:sz w:val="21"/>
                <w:lang w:bidi="ar"/>
                <w14:ligatures w14:val="standardContextual"/>
              </w:rPr>
              <w:lastRenderedPageBreak/>
              <w:t>维过程中，根据客户需求搭配的一些零配件，主要包括机柜、电脑、播放器、主机、投影仪等）。信息设备销售以商品转移给购货方，取得客户签收单作为收入确认时点。</w:t>
            </w:r>
          </w:p>
        </w:tc>
      </w:tr>
    </w:tbl>
    <w:bookmarkEnd w:id="278"/>
    <w:p w14:paraId="3B490377"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针对光伏售电业务，选取同业务领域上市公司收入确认政策对比如下：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48"/>
        <w:gridCol w:w="6278"/>
      </w:tblGrid>
      <w:tr w:rsidR="003F2129" w:rsidRPr="00DA3766" w14:paraId="5A40E660" w14:textId="77777777" w:rsidTr="007F36AF">
        <w:trPr>
          <w:trHeight w:val="397"/>
          <w:tblHeader/>
          <w:jc w:val="center"/>
        </w:trPr>
        <w:tc>
          <w:tcPr>
            <w:tcW w:w="646" w:type="pct"/>
            <w:vAlign w:val="center"/>
          </w:tcPr>
          <w:p w14:paraId="7B16AD3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公司名称</w:t>
            </w:r>
          </w:p>
        </w:tc>
        <w:tc>
          <w:tcPr>
            <w:tcW w:w="673" w:type="pct"/>
            <w:vAlign w:val="center"/>
          </w:tcPr>
          <w:p w14:paraId="2FFF1D2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业务板块</w:t>
            </w:r>
          </w:p>
        </w:tc>
        <w:tc>
          <w:tcPr>
            <w:tcW w:w="3681" w:type="pct"/>
            <w:vAlign w:val="center"/>
          </w:tcPr>
          <w:p w14:paraId="690E07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收入确认政策</w:t>
            </w:r>
          </w:p>
        </w:tc>
      </w:tr>
      <w:tr w:rsidR="003F2129" w:rsidRPr="00DA3766" w14:paraId="1D663E3A" w14:textId="77777777" w:rsidTr="007F36AF">
        <w:trPr>
          <w:trHeight w:val="397"/>
          <w:jc w:val="center"/>
        </w:trPr>
        <w:tc>
          <w:tcPr>
            <w:tcW w:w="646" w:type="pct"/>
            <w:vAlign w:val="center"/>
          </w:tcPr>
          <w:p w14:paraId="06D2C6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科华数据</w:t>
            </w:r>
          </w:p>
        </w:tc>
        <w:tc>
          <w:tcPr>
            <w:tcW w:w="673" w:type="pct"/>
            <w:vAlign w:val="center"/>
          </w:tcPr>
          <w:p w14:paraId="5F1C67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5FAD7B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本公司的电力产品销售合同指光伏电站发电业务，由于客户在本公司履约的同时即取得并消耗本公司履约所带来的经济利益，本公司将其作为在某一时段内履行的履约义务。本公司于向电网运营企业或直接客户供电时确认收入，具体确认方法：由购电人于每月末出具《电费计量单》，本公司按照合同约定进行收入确认。</w:t>
            </w:r>
          </w:p>
        </w:tc>
      </w:tr>
      <w:tr w:rsidR="003F2129" w:rsidRPr="00DA3766" w14:paraId="4AFACDA5" w14:textId="77777777" w:rsidTr="007F36AF">
        <w:trPr>
          <w:trHeight w:val="397"/>
          <w:jc w:val="center"/>
        </w:trPr>
        <w:tc>
          <w:tcPr>
            <w:tcW w:w="646" w:type="pct"/>
            <w:vAlign w:val="center"/>
          </w:tcPr>
          <w:p w14:paraId="766E012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林洋能源</w:t>
            </w:r>
          </w:p>
        </w:tc>
        <w:tc>
          <w:tcPr>
            <w:tcW w:w="673" w:type="pct"/>
            <w:vAlign w:val="center"/>
          </w:tcPr>
          <w:p w14:paraId="752FE77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49CFFB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电力收入在电力供应至各子公司所在地的电网公司或业主时确认收入。</w:t>
            </w:r>
          </w:p>
        </w:tc>
      </w:tr>
      <w:tr w:rsidR="003F2129" w:rsidRPr="00DA3766" w14:paraId="41747509" w14:textId="77777777" w:rsidTr="007F36AF">
        <w:trPr>
          <w:trHeight w:val="397"/>
          <w:jc w:val="center"/>
        </w:trPr>
        <w:tc>
          <w:tcPr>
            <w:tcW w:w="646" w:type="pct"/>
            <w:vAlign w:val="center"/>
          </w:tcPr>
          <w:p w14:paraId="12B010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晶科科技</w:t>
            </w:r>
          </w:p>
        </w:tc>
        <w:tc>
          <w:tcPr>
            <w:tcW w:w="673" w:type="pct"/>
            <w:vAlign w:val="center"/>
          </w:tcPr>
          <w:p w14:paraId="076E40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2BA3AE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）集中式光伏电站发电业务：公司根据合同约定将电力输送至国家电网指定线路，每月月底按照电力公司提供的电费结算单中确认的抄表电量及电价（含电价补贴）确认收入；</w:t>
            </w:r>
            <w:r w:rsidRPr="00DA3766">
              <w:rPr>
                <w:rFonts w:ascii="Times New Roman" w:hAnsi="Times New Roman" w:cs="Times New Roman"/>
                <w:color w:val="000000"/>
                <w:kern w:val="2"/>
                <w:sz w:val="21"/>
                <w:lang w:bidi="ar"/>
                <w14:ligatures w14:val="standardContextual"/>
              </w:rPr>
              <w:t>2</w:t>
            </w:r>
            <w:r w:rsidRPr="00DA3766">
              <w:rPr>
                <w:rFonts w:ascii="Times New Roman" w:hAnsi="Times New Roman" w:cs="Times New Roman"/>
                <w:color w:val="000000"/>
                <w:kern w:val="2"/>
                <w:sz w:val="21"/>
                <w:lang w:bidi="ar"/>
                <w14:ligatures w14:val="standardContextual"/>
              </w:rPr>
              <w:t>）分布式光伏电站发电业务：公司根据与用户及电网公司签订的协议将电力输送至各方指定线路，每月月底根据各方确认的电量及电价（含电价补贴）确认收入。</w:t>
            </w:r>
          </w:p>
        </w:tc>
      </w:tr>
      <w:tr w:rsidR="003F2129" w:rsidRPr="00DA3766" w14:paraId="6A33B132" w14:textId="77777777" w:rsidTr="007F36AF">
        <w:trPr>
          <w:trHeight w:val="397"/>
          <w:jc w:val="center"/>
        </w:trPr>
        <w:tc>
          <w:tcPr>
            <w:tcW w:w="646" w:type="pct"/>
            <w:vAlign w:val="center"/>
          </w:tcPr>
          <w:p w14:paraId="2BBAC05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亿晶光电</w:t>
            </w:r>
          </w:p>
        </w:tc>
        <w:tc>
          <w:tcPr>
            <w:tcW w:w="673" w:type="pct"/>
            <w:vAlign w:val="center"/>
          </w:tcPr>
          <w:p w14:paraId="3670F2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261E0F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光伏电站发电业务属于在某一时点履行的履约义务，公司根据合同约定将电力输送至国家电网指定线路，每月月底按照电力公司提供的电费结算单中确认的抄表电量及电价（含电价补贴）确认收入。</w:t>
            </w:r>
          </w:p>
        </w:tc>
      </w:tr>
      <w:tr w:rsidR="003F2129" w:rsidRPr="00DA3766" w14:paraId="62D0B22B" w14:textId="77777777" w:rsidTr="007F36AF">
        <w:trPr>
          <w:trHeight w:val="397"/>
          <w:jc w:val="center"/>
        </w:trPr>
        <w:tc>
          <w:tcPr>
            <w:tcW w:w="646" w:type="pct"/>
            <w:vAlign w:val="center"/>
          </w:tcPr>
          <w:p w14:paraId="5C21BE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天合光能</w:t>
            </w:r>
          </w:p>
        </w:tc>
        <w:tc>
          <w:tcPr>
            <w:tcW w:w="673" w:type="pct"/>
            <w:vAlign w:val="center"/>
          </w:tcPr>
          <w:p w14:paraId="159DDC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6427B828" w14:textId="5527F20D"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本公司建造并运营的光伏电站项目产生的光伏发电收入在每个会计期末按照抄表电量，电力公司或客户的发电量确认单及相关售电协议约定的电价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包括根据售电协议约定，由购电方向公司支付的与销售电力相关的可再生能源电价附加资金补助</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，确认光伏发电收入。</w:t>
            </w:r>
          </w:p>
        </w:tc>
      </w:tr>
      <w:tr w:rsidR="003F2129" w:rsidRPr="00DA3766" w14:paraId="062195FD" w14:textId="77777777" w:rsidTr="007F36AF">
        <w:trPr>
          <w:trHeight w:val="397"/>
          <w:jc w:val="center"/>
        </w:trPr>
        <w:tc>
          <w:tcPr>
            <w:tcW w:w="646" w:type="pct"/>
            <w:vAlign w:val="center"/>
          </w:tcPr>
          <w:p w14:paraId="7B4FFB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天亿马</w:t>
            </w:r>
          </w:p>
        </w:tc>
        <w:tc>
          <w:tcPr>
            <w:tcW w:w="673" w:type="pct"/>
            <w:vAlign w:val="center"/>
          </w:tcPr>
          <w:p w14:paraId="466017D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6F7F6A65" w14:textId="0CB442C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光伏发电收入确认遵循《企业会计准则第</w:t>
            </w:r>
            <w:r w:rsidRPr="00DA3766">
              <w:rPr>
                <w:rFonts w:ascii="Times New Roman" w:hAnsi="Times New Roman" w:cs="Times New Roman"/>
                <w:color w:val="000000"/>
                <w:kern w:val="2"/>
                <w:sz w:val="21"/>
                <w:lang w:bidi="ar"/>
                <w14:ligatures w14:val="standardContextual"/>
              </w:rPr>
              <w:t>14</w:t>
            </w:r>
            <w:r w:rsidRPr="00DA3766">
              <w:rPr>
                <w:rFonts w:ascii="Times New Roman" w:hAnsi="Times New Roman" w:cs="Times New Roman"/>
                <w:color w:val="000000"/>
                <w:kern w:val="2"/>
                <w:sz w:val="21"/>
                <w:lang w:bidi="ar"/>
                <w14:ligatures w14:val="standardContextual"/>
              </w:rPr>
              <w:t>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收入》规定，以电力输送至电网公司或终端用户的控制权转移时点作为收入确认依据，根据电网公司或其他客户提供的发电量计量确认数据</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如并网电表读数</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，于电力实际输送至电网或用户时确认收入，采用权责发生制原则。</w:t>
            </w:r>
          </w:p>
        </w:tc>
      </w:tr>
    </w:tbl>
    <w:p w14:paraId="5183B09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lastRenderedPageBreak/>
        <w:t>如上表分析，上市公司收入确认政策与同行业可比公司不存在明显差异，相关业务收入确认原则、依据与行业可比公司口径相同。</w:t>
      </w:r>
    </w:p>
    <w:p w14:paraId="441AC56F"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综上，上市公司相关收入确认方法符合《企业会计准则》的有关规定，与同行业可比公司收入政策不存在较大差异。</w:t>
      </w:r>
    </w:p>
    <w:p w14:paraId="521503B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经核查，报告期内上市公司收入确认政策得到一贯执行，均依据经客户验收</w:t>
      </w:r>
      <w:r w:rsidRPr="00DA3766">
        <w:rPr>
          <w:rFonts w:ascii="Times New Roman" w:hAnsi="Times New Roman" w:cs="Times New Roman"/>
          <w:kern w:val="2"/>
          <w:szCs w:val="23"/>
        </w:rPr>
        <w:t>/</w:t>
      </w:r>
      <w:r w:rsidRPr="00DA3766">
        <w:rPr>
          <w:rFonts w:ascii="Times New Roman" w:hAnsi="Times New Roman" w:cs="Times New Roman"/>
          <w:kern w:val="2"/>
          <w:szCs w:val="23"/>
        </w:rPr>
        <w:t>签收合格的原始凭证确认收入，不存在未获取客户验收凭证即确认收入的情形，不存在提前确认收入或收入确认跨期的情形。</w:t>
      </w:r>
    </w:p>
    <w:p w14:paraId="0B3CA63A"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四、报告期内上市公司收入确认政策的实际执行情况，是否存在未取得客户验收或签收单据等提前确认收入的情况。</w:t>
      </w:r>
    </w:p>
    <w:p w14:paraId="30C1C6A1"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上市公司收入确认遵循《企业会计准则第</w:t>
      </w:r>
      <w:r w:rsidRPr="00DA3766">
        <w:rPr>
          <w:rFonts w:ascii="Times New Roman" w:hAnsi="Times New Roman" w:cs="Times New Roman"/>
          <w:kern w:val="2"/>
          <w:szCs w:val="22"/>
        </w:rPr>
        <w:t xml:space="preserve"> 14 </w:t>
      </w:r>
      <w:r w:rsidRPr="00DA3766">
        <w:rPr>
          <w:rFonts w:ascii="Times New Roman" w:hAnsi="Times New Roman" w:cs="Times New Roman"/>
          <w:kern w:val="2"/>
          <w:szCs w:val="22"/>
        </w:rPr>
        <w:t>号</w:t>
      </w:r>
      <w:r w:rsidRPr="00DA3766">
        <w:rPr>
          <w:rFonts w:ascii="Times New Roman" w:hAnsi="Times New Roman" w:cs="Times New Roman"/>
          <w:kern w:val="2"/>
          <w:szCs w:val="22"/>
        </w:rPr>
        <w:t>--</w:t>
      </w:r>
      <w:r w:rsidRPr="00DA3766">
        <w:rPr>
          <w:rFonts w:ascii="Times New Roman" w:hAnsi="Times New Roman" w:cs="Times New Roman"/>
          <w:kern w:val="2"/>
          <w:szCs w:val="22"/>
        </w:rPr>
        <w:t>收入》相关规定执行，具体执行过程结合以下不同的业务类型进行细化，业务收入主要来源于以下业务类型：信息系统集成服务、信息系统运维服务、信息设备销售、软件开发及技术服务、光伏发电业务。</w:t>
      </w:r>
    </w:p>
    <w:p w14:paraId="14EDD3E0"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、信息系统集成服务</w:t>
      </w:r>
      <w:r w:rsidRPr="00DA3766">
        <w:rPr>
          <w:rFonts w:ascii="Times New Roman" w:hAnsi="Times New Roman" w:cs="Times New Roman"/>
          <w:b/>
          <w:bCs/>
          <w:kern w:val="2"/>
          <w:szCs w:val="28"/>
        </w:rPr>
        <w:t xml:space="preserve"> </w:t>
      </w:r>
    </w:p>
    <w:p w14:paraId="02E5F37F"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r w:rsidRPr="00DA3766">
        <w:rPr>
          <w:rFonts w:ascii="Times New Roman" w:hAnsi="Times New Roman" w:cs="Times New Roman"/>
          <w:kern w:val="2"/>
          <w:szCs w:val="22"/>
        </w:rPr>
        <w:t xml:space="preserve"> </w:t>
      </w:r>
    </w:p>
    <w:p w14:paraId="4ABB0EAD"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、信息系统运维服务</w:t>
      </w:r>
      <w:r w:rsidRPr="00DA3766">
        <w:rPr>
          <w:rFonts w:ascii="Times New Roman" w:hAnsi="Times New Roman" w:cs="Times New Roman"/>
          <w:b/>
          <w:bCs/>
          <w:kern w:val="2"/>
          <w:szCs w:val="28"/>
        </w:rPr>
        <w:t xml:space="preserve"> </w:t>
      </w:r>
    </w:p>
    <w:p w14:paraId="052EDDE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r w:rsidRPr="00DA3766">
        <w:rPr>
          <w:rFonts w:ascii="Times New Roman" w:hAnsi="Times New Roman" w:cs="Times New Roman"/>
          <w:kern w:val="2"/>
          <w:szCs w:val="22"/>
        </w:rPr>
        <w:t xml:space="preserve"> </w:t>
      </w:r>
    </w:p>
    <w:p w14:paraId="7203328A"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3</w:t>
      </w:r>
      <w:r w:rsidRPr="00DA3766">
        <w:rPr>
          <w:rFonts w:ascii="Times New Roman" w:hAnsi="Times New Roman" w:cs="Times New Roman"/>
          <w:b/>
          <w:bCs/>
          <w:kern w:val="2"/>
          <w:szCs w:val="28"/>
        </w:rPr>
        <w:t>、信息设备销售</w:t>
      </w:r>
      <w:r w:rsidRPr="00DA3766">
        <w:rPr>
          <w:rFonts w:ascii="Times New Roman" w:hAnsi="Times New Roman" w:cs="Times New Roman"/>
          <w:b/>
          <w:bCs/>
          <w:kern w:val="2"/>
          <w:szCs w:val="28"/>
        </w:rPr>
        <w:t xml:space="preserve"> </w:t>
      </w:r>
    </w:p>
    <w:p w14:paraId="7FB6D99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公司向企业、政府部门销售电子产品（主要是系统集成服务和信息系统运维过程中，根据客户需求搭配的一些零配件，主要包括机柜、电脑、播放器、主机、投影仪等）。信息设备销售以商品转移给购货方，取得客户签收单作为收入确认时点。</w:t>
      </w:r>
    </w:p>
    <w:p w14:paraId="24C70AB8"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、软件开发及技术服务</w:t>
      </w:r>
    </w:p>
    <w:p w14:paraId="02F2EE9E"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14:paraId="3CB8D899"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、光伏发电</w:t>
      </w:r>
      <w:r w:rsidRPr="00DA3766">
        <w:rPr>
          <w:rFonts w:ascii="Times New Roman" w:hAnsi="Times New Roman" w:cs="Times New Roman"/>
          <w:b/>
          <w:bCs/>
          <w:kern w:val="2"/>
          <w:szCs w:val="28"/>
        </w:rPr>
        <w:t xml:space="preserve"> </w:t>
      </w:r>
    </w:p>
    <w:p w14:paraId="1A5A3E14" w14:textId="77777777" w:rsidR="003F2129" w:rsidRPr="00DA3766" w:rsidRDefault="003F2129" w:rsidP="007F36AF">
      <w:pPr>
        <w:pStyle w:val="005"/>
        <w:spacing w:before="120" w:after="120"/>
        <w:ind w:firstLine="480"/>
      </w:pPr>
      <w:r w:rsidRPr="00DA3766">
        <w:t>光伏发电收入确认遵循《企业会计准则第</w:t>
      </w:r>
      <w:r w:rsidRPr="00DA3766">
        <w:t>14</w:t>
      </w:r>
      <w:r w:rsidRPr="00DA3766">
        <w:t>号</w:t>
      </w:r>
      <w:r w:rsidRPr="00DA3766">
        <w:t>——</w:t>
      </w:r>
      <w:r w:rsidRPr="00DA3766">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p w14:paraId="130C3D3D" w14:textId="1E298631"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w:t>
      </w:r>
      <w:r w:rsidR="001307D4">
        <w:rPr>
          <w:rFonts w:ascii="Times New Roman" w:hAnsi="Times New Roman" w:cs="Times New Roman"/>
          <w:kern w:val="2"/>
          <w:szCs w:val="22"/>
        </w:rPr>
        <w:t>上市公司</w:t>
      </w:r>
      <w:r w:rsidRPr="00DA3766">
        <w:rPr>
          <w:rFonts w:ascii="Times New Roman" w:hAnsi="Times New Roman" w:cs="Times New Roman"/>
          <w:kern w:val="2"/>
          <w:szCs w:val="22"/>
        </w:rPr>
        <w:t>收入确认政策与实际执行情况一致、收入确认时点与控制权转移时点一致，不存在未取得客户验收或签收单据等提前确认收入的情况，收入确认政策合理、合规，符合《企业会计准则》。</w:t>
      </w:r>
    </w:p>
    <w:p w14:paraId="57961AEF" w14:textId="77777777" w:rsidR="003F2129" w:rsidRPr="00DA3766" w:rsidRDefault="003F2129" w:rsidP="00635015">
      <w:pPr>
        <w:keepNext/>
        <w:keepLines/>
        <w:widowControl w:val="0"/>
        <w:spacing w:before="120" w:after="120"/>
        <w:ind w:firstLine="466"/>
        <w:jc w:val="both"/>
        <w:outlineLvl w:val="1"/>
        <w:rPr>
          <w:rFonts w:ascii="Times New Roman" w:hAnsi="Times New Roman" w:cs="Times New Roman"/>
          <w:b/>
          <w:bCs/>
          <w:kern w:val="2"/>
          <w:szCs w:val="28"/>
        </w:rPr>
      </w:pPr>
      <w:bookmarkStart w:id="279" w:name="_Hlk218724945"/>
      <w:r w:rsidRPr="00635015">
        <w:rPr>
          <w:rFonts w:ascii="Times New Roman" w:hAnsi="Times New Roman" w:cs="Times New Roman"/>
          <w:b/>
          <w:bCs/>
          <w:spacing w:val="-4"/>
          <w:kern w:val="2"/>
          <w:szCs w:val="28"/>
        </w:rPr>
        <w:lastRenderedPageBreak/>
        <w:t>五、</w:t>
      </w:r>
      <w:bookmarkStart w:id="280" w:name="_Hlk217941790"/>
      <w:r w:rsidRPr="00635015">
        <w:rPr>
          <w:rFonts w:ascii="Times New Roman" w:hAnsi="Times New Roman" w:cs="Times New Roman"/>
          <w:b/>
          <w:bCs/>
          <w:spacing w:val="-4"/>
          <w:kern w:val="2"/>
          <w:szCs w:val="28"/>
        </w:rPr>
        <w:t>2024</w:t>
      </w:r>
      <w:r w:rsidRPr="00635015">
        <w:rPr>
          <w:rFonts w:ascii="Times New Roman" w:hAnsi="Times New Roman" w:cs="Times New Roman"/>
          <w:b/>
          <w:bCs/>
          <w:spacing w:val="-4"/>
          <w:kern w:val="2"/>
          <w:szCs w:val="28"/>
        </w:rPr>
        <w:t>年上市公司新增贸易业务的背景、原因及必要性，贸易业务的具体开展情况，包括但不限于产品类别、业务模式、结算方式、发生额、毛利率、期后回款情况</w:t>
      </w:r>
      <w:bookmarkEnd w:id="280"/>
      <w:r w:rsidRPr="00635015">
        <w:rPr>
          <w:rFonts w:ascii="Times New Roman" w:hAnsi="Times New Roman" w:cs="Times New Roman"/>
          <w:b/>
          <w:bCs/>
          <w:spacing w:val="-4"/>
          <w:kern w:val="2"/>
          <w:szCs w:val="28"/>
        </w:rPr>
        <w:t>；</w:t>
      </w:r>
      <w:bookmarkStart w:id="281" w:name="_Hlk217942121"/>
      <w:r w:rsidRPr="00635015">
        <w:rPr>
          <w:rFonts w:ascii="Times New Roman" w:hAnsi="Times New Roman" w:cs="Times New Roman"/>
          <w:b/>
          <w:bCs/>
          <w:spacing w:val="-4"/>
          <w:kern w:val="2"/>
          <w:szCs w:val="28"/>
        </w:rPr>
        <w:t>主要贸易交易的客户及供应商、其同上市公司是否存在关联关系（含穿透后涉及关联交易）、合同金额、销售或采购单价及数量，产品最终是否实现对外销售，是否存在闭环交易、利益输送、资金占用、体外资金循环情况</w:t>
      </w:r>
      <w:bookmarkEnd w:id="281"/>
      <w:r w:rsidRPr="00DA3766">
        <w:rPr>
          <w:rFonts w:ascii="Times New Roman" w:hAnsi="Times New Roman" w:cs="Times New Roman"/>
          <w:b/>
          <w:bCs/>
          <w:kern w:val="2"/>
          <w:szCs w:val="28"/>
        </w:rPr>
        <w:t>。</w:t>
      </w:r>
    </w:p>
    <w:p w14:paraId="3494317F"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年上市公司新增贸易业务的背景、原因及必要性，贸易业务的具体开展情况，包括但不限于产品类别、业务模式、结算方式、发生额、毛利率、期后回款情况</w:t>
      </w:r>
    </w:p>
    <w:p w14:paraId="343B937A"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年上市公司新增贸易业务的背景、原因及必要性</w:t>
      </w:r>
    </w:p>
    <w:p w14:paraId="6C958DF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为提高资源利用效率，公司于</w:t>
      </w:r>
      <w:r w:rsidRPr="00DA3766">
        <w:rPr>
          <w:rFonts w:ascii="Times New Roman" w:hAnsi="Times New Roman" w:cs="Times New Roman"/>
          <w:kern w:val="2"/>
          <w:szCs w:val="23"/>
        </w:rPr>
        <w:t>2024</w:t>
      </w:r>
      <w:r w:rsidRPr="00DA3766">
        <w:rPr>
          <w:rFonts w:ascii="Times New Roman" w:hAnsi="Times New Roman" w:cs="Times New Roman"/>
          <w:kern w:val="2"/>
          <w:szCs w:val="23"/>
        </w:rPr>
        <w:t>年依托既有供应链资源整合优势，拓展了以下两类贸易业务：</w:t>
      </w:r>
    </w:p>
    <w:p w14:paraId="4073B34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w:t>
      </w:r>
      <w:r w:rsidRPr="00DA3766">
        <w:rPr>
          <w:rFonts w:ascii="Times New Roman" w:hAnsi="Times New Roman" w:cs="Times New Roman"/>
          <w:kern w:val="2"/>
          <w:szCs w:val="23"/>
        </w:rPr>
        <w:t>1</w:t>
      </w:r>
      <w:r w:rsidRPr="00DA3766">
        <w:rPr>
          <w:rFonts w:ascii="Times New Roman" w:hAnsi="Times New Roman" w:cs="Times New Roman"/>
          <w:kern w:val="2"/>
          <w:szCs w:val="23"/>
        </w:rPr>
        <w:t>）闪存内存条贸易：该业务主要为借助公司供应链资源，以获取贸易价差为目的而开展，产品以</w:t>
      </w:r>
      <w:r w:rsidRPr="00DA3766">
        <w:rPr>
          <w:rFonts w:ascii="Times New Roman" w:hAnsi="Times New Roman" w:cs="Times New Roman"/>
          <w:kern w:val="2"/>
          <w:szCs w:val="23"/>
        </w:rPr>
        <w:t>512G</w:t>
      </w:r>
      <w:r w:rsidRPr="00DA3766">
        <w:rPr>
          <w:rFonts w:ascii="Times New Roman" w:hAnsi="Times New Roman" w:cs="Times New Roman"/>
          <w:kern w:val="2"/>
          <w:szCs w:val="23"/>
        </w:rPr>
        <w:t>闪存产品为主的常规标准型号内存条；</w:t>
      </w:r>
    </w:p>
    <w:p w14:paraId="31B1FC38"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w:t>
      </w:r>
      <w:r w:rsidRPr="00DA3766">
        <w:rPr>
          <w:rFonts w:ascii="Times New Roman" w:hAnsi="Times New Roman" w:cs="Times New Roman"/>
          <w:kern w:val="2"/>
          <w:szCs w:val="23"/>
        </w:rPr>
        <w:t>2</w:t>
      </w:r>
      <w:r w:rsidRPr="00DA3766">
        <w:rPr>
          <w:rFonts w:ascii="Times New Roman" w:hAnsi="Times New Roman" w:cs="Times New Roman"/>
          <w:kern w:val="2"/>
          <w:szCs w:val="23"/>
        </w:rPr>
        <w:t>）光伏组件贸易（包括逆变器、开关柜等相关产品）：该业务主要为配合公司光伏发电新业务赛道的发展，旨在深化与光伏客户的业务融合、拓展潜在项目机会，属于产业链服务的自然延伸。</w:t>
      </w:r>
    </w:p>
    <w:p w14:paraId="1425BE1F"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、贸易业务的具体开展情况，包括但不限于产品类别、业务模式、结算方式、发生额、毛利率、期后回款情况</w:t>
      </w:r>
    </w:p>
    <w:p w14:paraId="06FB7392" w14:textId="4484600F" w:rsidR="003F2129" w:rsidRPr="00DA3766" w:rsidRDefault="003F2129" w:rsidP="00635015">
      <w:pPr>
        <w:widowControl w:val="0"/>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公司贸易业务采用</w:t>
      </w:r>
      <w:r w:rsidRPr="00DA3766">
        <w:rPr>
          <w:rFonts w:cs="Times New Roman"/>
          <w:kern w:val="2"/>
          <w:szCs w:val="23"/>
        </w:rPr>
        <w:t>“</w:t>
      </w:r>
      <w:r w:rsidRPr="00DA3766">
        <w:rPr>
          <w:rFonts w:ascii="Times New Roman" w:hAnsi="Times New Roman" w:cs="Times New Roman"/>
          <w:kern w:val="2"/>
          <w:szCs w:val="23"/>
        </w:rPr>
        <w:t>以销定采</w:t>
      </w:r>
      <w:r w:rsidRPr="00DA3766">
        <w:rPr>
          <w:rFonts w:cs="Times New Roman"/>
          <w:kern w:val="2"/>
          <w:szCs w:val="23"/>
        </w:rPr>
        <w:t>”“</w:t>
      </w:r>
      <w:r w:rsidRPr="00DA3766">
        <w:rPr>
          <w:rFonts w:ascii="Times New Roman" w:hAnsi="Times New Roman" w:cs="Times New Roman"/>
          <w:kern w:val="2"/>
          <w:szCs w:val="23"/>
        </w:rPr>
        <w:t>按需采购</w:t>
      </w:r>
      <w:r w:rsidRPr="00DA3766">
        <w:rPr>
          <w:rFonts w:cs="Times New Roman"/>
          <w:kern w:val="2"/>
          <w:szCs w:val="23"/>
        </w:rPr>
        <w:t>”</w:t>
      </w:r>
      <w:r w:rsidRPr="00DA3766">
        <w:rPr>
          <w:rFonts w:ascii="Times New Roman" w:hAnsi="Times New Roman" w:cs="Times New Roman"/>
          <w:kern w:val="2"/>
          <w:szCs w:val="23"/>
        </w:rPr>
        <w:t>的模式，即在获取客户订单后，执行询价比价程序再进行采购；</w:t>
      </w:r>
      <w:r w:rsidR="003328C2">
        <w:rPr>
          <w:rFonts w:ascii="Times New Roman" w:hAnsi="Times New Roman" w:cs="Times New Roman" w:hint="eastAsia"/>
          <w:kern w:val="2"/>
          <w:szCs w:val="23"/>
        </w:rPr>
        <w:t>公司与客户之间的</w:t>
      </w:r>
      <w:r w:rsidRPr="00DA3766">
        <w:rPr>
          <w:rFonts w:ascii="Times New Roman" w:hAnsi="Times New Roman" w:cs="Times New Roman"/>
          <w:kern w:val="2"/>
          <w:szCs w:val="23"/>
        </w:rPr>
        <w:t>交货方式主要为客户自提，闪存内存条</w:t>
      </w:r>
      <w:r w:rsidR="003328C2">
        <w:rPr>
          <w:rFonts w:ascii="Times New Roman" w:hAnsi="Times New Roman" w:cs="Times New Roman" w:hint="eastAsia"/>
          <w:kern w:val="2"/>
          <w:szCs w:val="23"/>
        </w:rPr>
        <w:t>、光伏组件</w:t>
      </w:r>
      <w:r w:rsidRPr="00DA3766">
        <w:rPr>
          <w:rFonts w:ascii="Times New Roman" w:hAnsi="Times New Roman" w:cs="Times New Roman"/>
          <w:kern w:val="2"/>
          <w:szCs w:val="23"/>
        </w:rPr>
        <w:t>贸易业务的结算方式主要为先款后货，并约定一定的信用期。</w:t>
      </w:r>
    </w:p>
    <w:p w14:paraId="778D666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根据合同约定及业务实质，公司在该两类贸易业务中均不承担存货风险、信用风险等主要风险，属于代理人角色，因此均按照净额法确认收入，计入</w:t>
      </w:r>
      <w:r w:rsidRPr="00DA3766">
        <w:rPr>
          <w:rFonts w:cs="Times New Roman"/>
          <w:kern w:val="2"/>
          <w:szCs w:val="23"/>
        </w:rPr>
        <w:t>“</w:t>
      </w:r>
      <w:r w:rsidRPr="00DA3766">
        <w:rPr>
          <w:rFonts w:ascii="Times New Roman" w:hAnsi="Times New Roman" w:cs="Times New Roman"/>
          <w:kern w:val="2"/>
          <w:szCs w:val="23"/>
        </w:rPr>
        <w:t>其他业务收入</w:t>
      </w:r>
      <w:r w:rsidRPr="00DA3766">
        <w:rPr>
          <w:rFonts w:cs="Times New Roman"/>
          <w:kern w:val="2"/>
          <w:szCs w:val="23"/>
        </w:rPr>
        <w:t>”</w:t>
      </w:r>
      <w:r w:rsidRPr="00DA3766">
        <w:rPr>
          <w:rFonts w:ascii="Times New Roman" w:hAnsi="Times New Roman" w:cs="Times New Roman"/>
          <w:kern w:val="2"/>
          <w:szCs w:val="23"/>
        </w:rPr>
        <w:t>科目。</w:t>
      </w:r>
    </w:p>
    <w:p w14:paraId="069D75E0"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年，上市公司贸易业务发生额、毛利率及期后回款情况如下：</w:t>
      </w:r>
    </w:p>
    <w:p w14:paraId="61BFD5BC" w14:textId="77777777" w:rsidR="003F2129" w:rsidRPr="00DA3766" w:rsidRDefault="003F2129" w:rsidP="007F36AF">
      <w:pPr>
        <w:pStyle w:val="009"/>
      </w:pPr>
      <w:r w:rsidRPr="00DA3766">
        <w:lastRenderedPageBreak/>
        <w:t>单位：万元</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705"/>
        <w:gridCol w:w="946"/>
        <w:gridCol w:w="946"/>
        <w:gridCol w:w="946"/>
        <w:gridCol w:w="1651"/>
        <w:gridCol w:w="951"/>
        <w:gridCol w:w="951"/>
      </w:tblGrid>
      <w:tr w:rsidR="00BF5BFE" w:rsidRPr="00DA3766" w14:paraId="5467FEAB" w14:textId="77777777" w:rsidTr="00BF5BFE">
        <w:trPr>
          <w:trHeight w:val="397"/>
          <w:tblHeader/>
          <w:jc w:val="center"/>
        </w:trPr>
        <w:tc>
          <w:tcPr>
            <w:tcW w:w="617" w:type="pct"/>
            <w:vAlign w:val="center"/>
          </w:tcPr>
          <w:p w14:paraId="177772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业务类别</w:t>
            </w:r>
          </w:p>
        </w:tc>
        <w:tc>
          <w:tcPr>
            <w:tcW w:w="923" w:type="pct"/>
            <w:vAlign w:val="center"/>
          </w:tcPr>
          <w:p w14:paraId="5C6E87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业务性质定位</w:t>
            </w:r>
          </w:p>
        </w:tc>
        <w:tc>
          <w:tcPr>
            <w:tcW w:w="512" w:type="pct"/>
            <w:vAlign w:val="center"/>
          </w:tcPr>
          <w:p w14:paraId="175ED3D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收入确认方法</w:t>
            </w:r>
          </w:p>
        </w:tc>
        <w:tc>
          <w:tcPr>
            <w:tcW w:w="512" w:type="pct"/>
            <w:vAlign w:val="center"/>
          </w:tcPr>
          <w:p w14:paraId="2BF1E5E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收入确认金额</w:t>
            </w:r>
          </w:p>
        </w:tc>
        <w:tc>
          <w:tcPr>
            <w:tcW w:w="512" w:type="pct"/>
            <w:vAlign w:val="center"/>
          </w:tcPr>
          <w:p w14:paraId="7A0D9FF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毛利率</w:t>
            </w:r>
          </w:p>
        </w:tc>
        <w:tc>
          <w:tcPr>
            <w:tcW w:w="894" w:type="pct"/>
            <w:vAlign w:val="center"/>
          </w:tcPr>
          <w:p w14:paraId="77BF9B4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占营业收入比例（</w:t>
            </w: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515" w:type="pct"/>
            <w:vAlign w:val="center"/>
          </w:tcPr>
          <w:p w14:paraId="36FF9927" w14:textId="77777777" w:rsidR="00BF5BFE"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w:t>
            </w:r>
          </w:p>
          <w:p w14:paraId="0CB4E211" w14:textId="06A33148"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515" w:type="pct"/>
            <w:vAlign w:val="center"/>
          </w:tcPr>
          <w:p w14:paraId="3DA64EE7" w14:textId="77777777" w:rsidR="00BF5BFE"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期后</w:t>
            </w:r>
          </w:p>
          <w:p w14:paraId="12514F9D" w14:textId="302DD32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回款</w:t>
            </w:r>
          </w:p>
        </w:tc>
      </w:tr>
      <w:tr w:rsidR="00BF5BFE" w:rsidRPr="00DA3766" w14:paraId="177747C9" w14:textId="77777777" w:rsidTr="00BF5BFE">
        <w:trPr>
          <w:trHeight w:val="397"/>
          <w:jc w:val="center"/>
        </w:trPr>
        <w:tc>
          <w:tcPr>
            <w:tcW w:w="617" w:type="pct"/>
            <w:vAlign w:val="center"/>
          </w:tcPr>
          <w:p w14:paraId="34A1CE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闪存内存条贸易</w:t>
            </w:r>
          </w:p>
        </w:tc>
        <w:tc>
          <w:tcPr>
            <w:tcW w:w="923" w:type="pct"/>
            <w:vAlign w:val="center"/>
          </w:tcPr>
          <w:p w14:paraId="3E8178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非主营业务，以利用资源优势、获取价差为目的</w:t>
            </w:r>
          </w:p>
        </w:tc>
        <w:tc>
          <w:tcPr>
            <w:tcW w:w="512" w:type="pct"/>
            <w:vAlign w:val="center"/>
          </w:tcPr>
          <w:p w14:paraId="07FFF59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净额法</w:t>
            </w:r>
          </w:p>
        </w:tc>
        <w:tc>
          <w:tcPr>
            <w:tcW w:w="512" w:type="pct"/>
            <w:vAlign w:val="center"/>
          </w:tcPr>
          <w:p w14:paraId="017D932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63.72</w:t>
            </w:r>
          </w:p>
        </w:tc>
        <w:tc>
          <w:tcPr>
            <w:tcW w:w="512" w:type="pct"/>
            <w:vAlign w:val="center"/>
          </w:tcPr>
          <w:p w14:paraId="4982E4D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3D928D6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0.28%</w:t>
            </w:r>
          </w:p>
        </w:tc>
        <w:tc>
          <w:tcPr>
            <w:tcW w:w="515" w:type="pct"/>
            <w:vAlign w:val="center"/>
          </w:tcPr>
          <w:p w14:paraId="3A47D10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1,972.23</w:t>
            </w:r>
          </w:p>
        </w:tc>
        <w:tc>
          <w:tcPr>
            <w:tcW w:w="515" w:type="pct"/>
            <w:vAlign w:val="center"/>
          </w:tcPr>
          <w:p w14:paraId="702A07B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1972.23</w:t>
            </w:r>
          </w:p>
        </w:tc>
      </w:tr>
      <w:tr w:rsidR="00BF5BFE" w:rsidRPr="00DA3766" w14:paraId="61DF0556" w14:textId="77777777" w:rsidTr="00BF5BFE">
        <w:trPr>
          <w:trHeight w:val="397"/>
          <w:jc w:val="center"/>
        </w:trPr>
        <w:tc>
          <w:tcPr>
            <w:tcW w:w="617" w:type="pct"/>
            <w:vAlign w:val="center"/>
          </w:tcPr>
          <w:p w14:paraId="56099BF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光伏组件贸易</w:t>
            </w:r>
          </w:p>
        </w:tc>
        <w:tc>
          <w:tcPr>
            <w:tcW w:w="923" w:type="pct"/>
            <w:vAlign w:val="center"/>
          </w:tcPr>
          <w:p w14:paraId="49B265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非主营业务，为配套主业、服务客户而延伸</w:t>
            </w:r>
          </w:p>
        </w:tc>
        <w:tc>
          <w:tcPr>
            <w:tcW w:w="512" w:type="pct"/>
            <w:vAlign w:val="center"/>
          </w:tcPr>
          <w:p w14:paraId="5BE8B2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净额法</w:t>
            </w:r>
          </w:p>
        </w:tc>
        <w:tc>
          <w:tcPr>
            <w:tcW w:w="512" w:type="pct"/>
            <w:vAlign w:val="center"/>
          </w:tcPr>
          <w:p w14:paraId="091F4307" w14:textId="5800C3B4"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84.68</w:t>
            </w:r>
          </w:p>
        </w:tc>
        <w:tc>
          <w:tcPr>
            <w:tcW w:w="512" w:type="pct"/>
            <w:vAlign w:val="center"/>
          </w:tcPr>
          <w:p w14:paraId="0F5B290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3740CD73"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0.38%</w:t>
            </w:r>
          </w:p>
        </w:tc>
        <w:tc>
          <w:tcPr>
            <w:tcW w:w="515" w:type="pct"/>
            <w:vAlign w:val="center"/>
          </w:tcPr>
          <w:p w14:paraId="4C16968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722.57</w:t>
            </w:r>
          </w:p>
        </w:tc>
        <w:tc>
          <w:tcPr>
            <w:tcW w:w="515" w:type="pct"/>
            <w:vAlign w:val="center"/>
          </w:tcPr>
          <w:p w14:paraId="199AC75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267.13</w:t>
            </w:r>
          </w:p>
        </w:tc>
      </w:tr>
      <w:tr w:rsidR="00BF5BFE" w:rsidRPr="00DA3766" w14:paraId="540375D1" w14:textId="77777777" w:rsidTr="00BF5BFE">
        <w:trPr>
          <w:trHeight w:val="397"/>
          <w:jc w:val="center"/>
        </w:trPr>
        <w:tc>
          <w:tcPr>
            <w:tcW w:w="617" w:type="pct"/>
            <w:vAlign w:val="center"/>
          </w:tcPr>
          <w:p w14:paraId="43DCAA2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总计</w:t>
            </w:r>
          </w:p>
        </w:tc>
        <w:tc>
          <w:tcPr>
            <w:tcW w:w="923" w:type="pct"/>
            <w:vAlign w:val="center"/>
          </w:tcPr>
          <w:p w14:paraId="03797CC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w:t>
            </w:r>
          </w:p>
        </w:tc>
        <w:tc>
          <w:tcPr>
            <w:tcW w:w="512" w:type="pct"/>
            <w:vAlign w:val="center"/>
          </w:tcPr>
          <w:p w14:paraId="66B5B95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w:t>
            </w:r>
          </w:p>
        </w:tc>
        <w:tc>
          <w:tcPr>
            <w:tcW w:w="512" w:type="pct"/>
            <w:vAlign w:val="center"/>
          </w:tcPr>
          <w:p w14:paraId="6494E60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148.40</w:t>
            </w:r>
          </w:p>
        </w:tc>
        <w:tc>
          <w:tcPr>
            <w:tcW w:w="512" w:type="pct"/>
            <w:vAlign w:val="center"/>
          </w:tcPr>
          <w:p w14:paraId="3F4A3C3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1DF4EC5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0.66%</w:t>
            </w:r>
          </w:p>
        </w:tc>
        <w:tc>
          <w:tcPr>
            <w:tcW w:w="515" w:type="pct"/>
            <w:vAlign w:val="center"/>
          </w:tcPr>
          <w:p w14:paraId="581C723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2,694.80</w:t>
            </w:r>
          </w:p>
        </w:tc>
        <w:tc>
          <w:tcPr>
            <w:tcW w:w="515" w:type="pct"/>
            <w:vAlign w:val="center"/>
          </w:tcPr>
          <w:p w14:paraId="56569E4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2,234.36</w:t>
            </w:r>
          </w:p>
        </w:tc>
      </w:tr>
    </w:tbl>
    <w:p w14:paraId="23CBB336" w14:textId="49F2C3CF" w:rsidR="003F2129" w:rsidRPr="00DA3766" w:rsidRDefault="003F2129" w:rsidP="00BF5BFE">
      <w:pPr>
        <w:pStyle w:val="006"/>
        <w:ind w:firstLine="420"/>
      </w:pPr>
      <w:r w:rsidRPr="00DA3766">
        <w:t>注：期后回款截至</w:t>
      </w:r>
      <w:r w:rsidRPr="00DA3766">
        <w:t>2025</w:t>
      </w:r>
      <w:r w:rsidRPr="00DA3766">
        <w:t>年</w:t>
      </w:r>
      <w:r w:rsidRPr="00DA3766">
        <w:t>12</w:t>
      </w:r>
      <w:r w:rsidRPr="00DA3766">
        <w:t>月</w:t>
      </w:r>
      <w:r w:rsidRPr="00DA3766">
        <w:t>31</w:t>
      </w:r>
      <w:r w:rsidRPr="00DA3766">
        <w:t>日。</w:t>
      </w:r>
    </w:p>
    <w:p w14:paraId="58A6E1C0"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年度，该两类贸易业务的合计营业收入占公司年度营业收入总额的比例为</w:t>
      </w:r>
      <w:r w:rsidRPr="00DA3766">
        <w:rPr>
          <w:rFonts w:ascii="Times New Roman" w:hAnsi="Times New Roman" w:cs="Times New Roman"/>
          <w:kern w:val="2"/>
          <w14:ligatures w14:val="standardContextual"/>
        </w:rPr>
        <w:t>0.66%</w:t>
      </w:r>
      <w:r w:rsidRPr="00DA3766">
        <w:rPr>
          <w:rFonts w:ascii="Times New Roman" w:hAnsi="Times New Roman" w:cs="Times New Roman"/>
          <w:kern w:val="2"/>
          <w14:ligatures w14:val="standardContextual"/>
        </w:rPr>
        <w:t>，占比极低，对公司的经营业绩、资产结构及财务状况均不构成重大影响。</w:t>
      </w:r>
    </w:p>
    <w:p w14:paraId="152F795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主要贸易交易的客户及供应商、其同上市公司是否存在关联关系（含穿透后涉及关联交易）、合同金额、销售或采购单价及数量，产品最终是否实现对外销售，是否存在闭环交易、利益输送、资金占用、体外资金循环情况</w:t>
      </w:r>
    </w:p>
    <w:p w14:paraId="594FACDD"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、主要贸易交易的客户及供应商、其同上市公司是否存在关联关系（含穿透后涉及关联交易）、合同金额、销售或采购单价及数量，产品最终是否实现对外销售</w:t>
      </w:r>
    </w:p>
    <w:p w14:paraId="60A79072"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）贸易交易的客户情况</w:t>
      </w:r>
    </w:p>
    <w:p w14:paraId="175D506A"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年，公司新开展的贸易业务对应的客户情况如下：</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778"/>
        <w:gridCol w:w="661"/>
        <w:gridCol w:w="768"/>
        <w:gridCol w:w="1173"/>
        <w:gridCol w:w="1217"/>
        <w:gridCol w:w="1199"/>
        <w:gridCol w:w="1166"/>
        <w:gridCol w:w="724"/>
      </w:tblGrid>
      <w:tr w:rsidR="003F2129" w:rsidRPr="00DA3766" w14:paraId="48FDC6D7" w14:textId="77777777" w:rsidTr="00BF5BFE">
        <w:trPr>
          <w:trHeight w:val="397"/>
          <w:tblHeader/>
          <w:jc w:val="center"/>
        </w:trPr>
        <w:tc>
          <w:tcPr>
            <w:tcW w:w="839" w:type="pct"/>
            <w:vAlign w:val="center"/>
          </w:tcPr>
          <w:p w14:paraId="2139ECE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客户名称</w:t>
            </w:r>
          </w:p>
        </w:tc>
        <w:tc>
          <w:tcPr>
            <w:tcW w:w="421" w:type="pct"/>
            <w:vAlign w:val="center"/>
          </w:tcPr>
          <w:p w14:paraId="4640FE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客户类型</w:t>
            </w:r>
          </w:p>
        </w:tc>
        <w:tc>
          <w:tcPr>
            <w:tcW w:w="358" w:type="pct"/>
            <w:vAlign w:val="center"/>
          </w:tcPr>
          <w:p w14:paraId="466E81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交易产品类别</w:t>
            </w:r>
          </w:p>
        </w:tc>
        <w:tc>
          <w:tcPr>
            <w:tcW w:w="416" w:type="pct"/>
            <w:vAlign w:val="center"/>
          </w:tcPr>
          <w:p w14:paraId="1857ED8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关联关系</w:t>
            </w:r>
          </w:p>
        </w:tc>
        <w:tc>
          <w:tcPr>
            <w:tcW w:w="635" w:type="pct"/>
            <w:vAlign w:val="center"/>
          </w:tcPr>
          <w:p w14:paraId="0040896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收入金额（万元）</w:t>
            </w:r>
          </w:p>
        </w:tc>
        <w:tc>
          <w:tcPr>
            <w:tcW w:w="659" w:type="pct"/>
            <w:vAlign w:val="center"/>
          </w:tcPr>
          <w:p w14:paraId="46E2CAD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合同金额（万元）</w:t>
            </w:r>
          </w:p>
        </w:tc>
        <w:tc>
          <w:tcPr>
            <w:tcW w:w="649" w:type="pct"/>
            <w:vAlign w:val="center"/>
          </w:tcPr>
          <w:p w14:paraId="058D79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销售单价</w:t>
            </w:r>
          </w:p>
          <w:p w14:paraId="1F8746F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（元）</w:t>
            </w:r>
          </w:p>
        </w:tc>
        <w:tc>
          <w:tcPr>
            <w:tcW w:w="631" w:type="pct"/>
            <w:vAlign w:val="center"/>
          </w:tcPr>
          <w:p w14:paraId="23BACEEC" w14:textId="6F91B064"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销售数量</w:t>
            </w:r>
            <w:r w:rsidR="00DA3766"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pcs</w:t>
            </w:r>
            <w:r w:rsidR="00DA3766" w:rsidRPr="00DA3766">
              <w:rPr>
                <w:rFonts w:ascii="Times New Roman" w:hAnsi="Times New Roman" w:cs="Times New Roman"/>
                <w:b/>
                <w:color w:val="000000"/>
                <w:kern w:val="2"/>
                <w:sz w:val="21"/>
                <w14:ligatures w14:val="standardContextual"/>
              </w:rPr>
              <w:t>）</w:t>
            </w:r>
          </w:p>
        </w:tc>
        <w:tc>
          <w:tcPr>
            <w:tcW w:w="392" w:type="pct"/>
            <w:vAlign w:val="center"/>
          </w:tcPr>
          <w:p w14:paraId="50A0EF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实现最终销售</w:t>
            </w:r>
          </w:p>
        </w:tc>
      </w:tr>
      <w:tr w:rsidR="003F2129" w:rsidRPr="00DA3766" w14:paraId="25BA969D" w14:textId="77777777" w:rsidTr="00BF5BFE">
        <w:trPr>
          <w:trHeight w:val="397"/>
          <w:jc w:val="center"/>
        </w:trPr>
        <w:tc>
          <w:tcPr>
            <w:tcW w:w="839" w:type="pct"/>
            <w:vAlign w:val="center"/>
          </w:tcPr>
          <w:p w14:paraId="4AC1F8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bookmarkStart w:id="282" w:name="_Hlk218809690"/>
            <w:r w:rsidRPr="00DA3766">
              <w:rPr>
                <w:rFonts w:ascii="Times New Roman" w:hAnsi="Times New Roman" w:cs="Times New Roman"/>
                <w:color w:val="000000"/>
                <w:kern w:val="2"/>
                <w:sz w:val="21"/>
                <w14:ligatures w14:val="standardContextual"/>
              </w:rPr>
              <w:t>香港曦旺科技发展有限公司</w:t>
            </w:r>
            <w:bookmarkEnd w:id="282"/>
          </w:p>
        </w:tc>
        <w:tc>
          <w:tcPr>
            <w:tcW w:w="421" w:type="pct"/>
            <w:vAlign w:val="center"/>
          </w:tcPr>
          <w:p w14:paraId="0E7684B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贸易商</w:t>
            </w:r>
          </w:p>
        </w:tc>
        <w:tc>
          <w:tcPr>
            <w:tcW w:w="358" w:type="pct"/>
            <w:vAlign w:val="center"/>
          </w:tcPr>
          <w:p w14:paraId="73CF4A2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内存条</w:t>
            </w:r>
          </w:p>
        </w:tc>
        <w:tc>
          <w:tcPr>
            <w:tcW w:w="416" w:type="pct"/>
            <w:vAlign w:val="center"/>
          </w:tcPr>
          <w:p w14:paraId="725CD8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c>
          <w:tcPr>
            <w:tcW w:w="635" w:type="pct"/>
            <w:vAlign w:val="center"/>
          </w:tcPr>
          <w:p w14:paraId="6EE18CB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63.72</w:t>
            </w:r>
          </w:p>
        </w:tc>
        <w:tc>
          <w:tcPr>
            <w:tcW w:w="659" w:type="pct"/>
            <w:vAlign w:val="center"/>
          </w:tcPr>
          <w:p w14:paraId="5DE0CEA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1,972.23</w:t>
            </w:r>
          </w:p>
        </w:tc>
        <w:tc>
          <w:tcPr>
            <w:tcW w:w="649" w:type="pct"/>
            <w:vAlign w:val="center"/>
          </w:tcPr>
          <w:p w14:paraId="1464CC1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179.29</w:t>
            </w:r>
          </w:p>
        </w:tc>
        <w:tc>
          <w:tcPr>
            <w:tcW w:w="631" w:type="pct"/>
            <w:vAlign w:val="center"/>
          </w:tcPr>
          <w:p w14:paraId="79F645A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110,000</w:t>
            </w:r>
          </w:p>
        </w:tc>
        <w:tc>
          <w:tcPr>
            <w:tcW w:w="392" w:type="pct"/>
            <w:vAlign w:val="center"/>
          </w:tcPr>
          <w:p w14:paraId="77DAF37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是</w:t>
            </w:r>
          </w:p>
        </w:tc>
      </w:tr>
      <w:tr w:rsidR="003F2129" w:rsidRPr="00DA3766" w14:paraId="4B5A4BF1" w14:textId="77777777" w:rsidTr="00BF5BFE">
        <w:trPr>
          <w:trHeight w:val="397"/>
          <w:jc w:val="center"/>
        </w:trPr>
        <w:tc>
          <w:tcPr>
            <w:tcW w:w="839" w:type="pct"/>
            <w:vAlign w:val="center"/>
          </w:tcPr>
          <w:p w14:paraId="0230C7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广东日兆月建设有限公司</w:t>
            </w:r>
          </w:p>
        </w:tc>
        <w:tc>
          <w:tcPr>
            <w:tcW w:w="421" w:type="pct"/>
            <w:vAlign w:val="center"/>
          </w:tcPr>
          <w:p w14:paraId="2450F2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终端客户</w:t>
            </w:r>
          </w:p>
        </w:tc>
        <w:tc>
          <w:tcPr>
            <w:tcW w:w="358" w:type="pct"/>
            <w:vAlign w:val="center"/>
          </w:tcPr>
          <w:p w14:paraId="506761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光伏组件</w:t>
            </w:r>
          </w:p>
        </w:tc>
        <w:tc>
          <w:tcPr>
            <w:tcW w:w="416" w:type="pct"/>
            <w:vAlign w:val="center"/>
          </w:tcPr>
          <w:p w14:paraId="29150C8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c>
          <w:tcPr>
            <w:tcW w:w="635" w:type="pct"/>
            <w:vAlign w:val="center"/>
          </w:tcPr>
          <w:p w14:paraId="278D5488"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62.55</w:t>
            </w:r>
          </w:p>
        </w:tc>
        <w:tc>
          <w:tcPr>
            <w:tcW w:w="659" w:type="pct"/>
            <w:vAlign w:val="center"/>
          </w:tcPr>
          <w:p w14:paraId="73F0AA9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455.44</w:t>
            </w:r>
          </w:p>
        </w:tc>
        <w:tc>
          <w:tcPr>
            <w:tcW w:w="649" w:type="pct"/>
            <w:vAlign w:val="center"/>
          </w:tcPr>
          <w:p w14:paraId="72CC494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不适用</w:t>
            </w:r>
          </w:p>
        </w:tc>
        <w:tc>
          <w:tcPr>
            <w:tcW w:w="631" w:type="pct"/>
            <w:vAlign w:val="center"/>
          </w:tcPr>
          <w:p w14:paraId="22230EA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不适用</w:t>
            </w:r>
          </w:p>
        </w:tc>
        <w:tc>
          <w:tcPr>
            <w:tcW w:w="392" w:type="pct"/>
            <w:vAlign w:val="center"/>
          </w:tcPr>
          <w:p w14:paraId="35F677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是</w:t>
            </w:r>
          </w:p>
        </w:tc>
      </w:tr>
    </w:tbl>
    <w:p w14:paraId="62202E72" w14:textId="77777777" w:rsidR="003F2129" w:rsidRPr="00DA3766" w:rsidRDefault="003F2129" w:rsidP="00BF5BFE">
      <w:pPr>
        <w:pStyle w:val="006"/>
        <w:ind w:firstLine="420"/>
      </w:pPr>
      <w:r w:rsidRPr="00DA3766">
        <w:t>注</w:t>
      </w:r>
      <w:r w:rsidRPr="00DA3766">
        <w:t>1</w:t>
      </w:r>
      <w:r w:rsidRPr="00DA3766">
        <w:t>：公司光伏组件贸易业务涉及的光伏组件种类繁多，单价和数量无法直接计算，考虑到整体交易金额不大，且净额法下确认的收入金额较小，此处不再列示；</w:t>
      </w:r>
    </w:p>
    <w:p w14:paraId="07A2B9B6" w14:textId="77777777" w:rsidR="003F2129" w:rsidRPr="00DA3766" w:rsidRDefault="003F2129" w:rsidP="00BF5BFE">
      <w:pPr>
        <w:pStyle w:val="006"/>
        <w:ind w:firstLine="420"/>
      </w:pPr>
      <w:r w:rsidRPr="00DA3766">
        <w:t>注</w:t>
      </w:r>
      <w:r w:rsidRPr="00DA3766">
        <w:t>2</w:t>
      </w:r>
      <w:r w:rsidRPr="00DA3766">
        <w:t>：此处仅列示收入在</w:t>
      </w:r>
      <w:r w:rsidRPr="00DA3766">
        <w:t>25</w:t>
      </w:r>
      <w:r w:rsidRPr="00DA3766">
        <w:t>万元以上的贸易业务客户。</w:t>
      </w:r>
    </w:p>
    <w:p w14:paraId="08BB3CFC" w14:textId="68E91C0A"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公司贸易业务对应的主要客户主要为香港曦旺科技发展有限公司、广东日兆月建设有限公司，</w:t>
      </w:r>
      <w:r w:rsidR="001A17AF">
        <w:rPr>
          <w:rFonts w:ascii="Times New Roman" w:hAnsi="Times New Roman" w:cs="Times New Roman" w:hint="eastAsia"/>
          <w:kern w:val="2"/>
          <w14:ligatures w14:val="standardContextual"/>
        </w:rPr>
        <w:t>前述</w:t>
      </w:r>
      <w:r w:rsidRPr="00DA3766">
        <w:rPr>
          <w:rFonts w:ascii="Times New Roman" w:hAnsi="Times New Roman" w:cs="Times New Roman"/>
          <w:kern w:val="2"/>
          <w14:ligatures w14:val="standardContextual"/>
        </w:rPr>
        <w:t>客户与上市公司均不存在关联关系，其中，内存条贸易主要系公司根据客户需求，依托自身供应链资源开展的交易，相关产品标准化程度</w:t>
      </w:r>
      <w:r w:rsidRPr="00DA3766">
        <w:rPr>
          <w:rFonts w:ascii="Times New Roman" w:hAnsi="Times New Roman" w:cs="Times New Roman"/>
          <w:kern w:val="2"/>
          <w14:ligatures w14:val="standardContextual"/>
        </w:rPr>
        <w:lastRenderedPageBreak/>
        <w:t>高，销售定价不存在显著异常。光伏组件整体类别较为繁杂，但交易金额不大，采用净额法确认收入金额较小，对公司经营业绩不产生显著影响。</w:t>
      </w:r>
    </w:p>
    <w:p w14:paraId="121F3610" w14:textId="77777777"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）贸易交易的供应商情况</w:t>
      </w:r>
    </w:p>
    <w:p w14:paraId="5269C539" w14:textId="77777777"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年，公司新开展的贸易业务对应的供应商情况如下：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88"/>
        <w:gridCol w:w="1081"/>
        <w:gridCol w:w="1498"/>
        <w:gridCol w:w="1385"/>
        <w:gridCol w:w="1386"/>
        <w:gridCol w:w="1225"/>
      </w:tblGrid>
      <w:tr w:rsidR="003F2129" w:rsidRPr="00DA3766" w14:paraId="32D61A11" w14:textId="77777777" w:rsidTr="00635015">
        <w:trPr>
          <w:trHeight w:val="397"/>
          <w:tblHeader/>
          <w:jc w:val="center"/>
        </w:trPr>
        <w:tc>
          <w:tcPr>
            <w:tcW w:w="1248" w:type="pct"/>
            <w:vAlign w:val="center"/>
          </w:tcPr>
          <w:p w14:paraId="3EC00B8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供应商名称</w:t>
            </w:r>
          </w:p>
        </w:tc>
        <w:tc>
          <w:tcPr>
            <w:tcW w:w="617" w:type="pct"/>
            <w:vAlign w:val="center"/>
          </w:tcPr>
          <w:p w14:paraId="688607A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关联关系</w:t>
            </w:r>
          </w:p>
        </w:tc>
        <w:tc>
          <w:tcPr>
            <w:tcW w:w="855" w:type="pct"/>
            <w:vAlign w:val="center"/>
          </w:tcPr>
          <w:p w14:paraId="78DFE5C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合同金额</w:t>
            </w:r>
          </w:p>
        </w:tc>
        <w:tc>
          <w:tcPr>
            <w:tcW w:w="790" w:type="pct"/>
            <w:vAlign w:val="center"/>
          </w:tcPr>
          <w:p w14:paraId="407E32B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采购单价</w:t>
            </w:r>
          </w:p>
        </w:tc>
        <w:tc>
          <w:tcPr>
            <w:tcW w:w="791" w:type="pct"/>
            <w:vAlign w:val="center"/>
          </w:tcPr>
          <w:p w14:paraId="446D992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采购数量</w:t>
            </w:r>
          </w:p>
        </w:tc>
        <w:tc>
          <w:tcPr>
            <w:tcW w:w="699" w:type="pct"/>
            <w:vAlign w:val="center"/>
          </w:tcPr>
          <w:p w14:paraId="3B9A8B1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实现最终销售</w:t>
            </w:r>
          </w:p>
        </w:tc>
      </w:tr>
      <w:tr w:rsidR="003F2129" w:rsidRPr="00DA3766" w14:paraId="463BAC7A" w14:textId="77777777" w:rsidTr="00635015">
        <w:trPr>
          <w:trHeight w:val="397"/>
          <w:jc w:val="center"/>
        </w:trPr>
        <w:tc>
          <w:tcPr>
            <w:tcW w:w="1248" w:type="pct"/>
            <w:vAlign w:val="center"/>
          </w:tcPr>
          <w:p w14:paraId="5AB2C09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希溢國際有限公司</w:t>
            </w:r>
          </w:p>
        </w:tc>
        <w:tc>
          <w:tcPr>
            <w:tcW w:w="617" w:type="pct"/>
            <w:vAlign w:val="center"/>
          </w:tcPr>
          <w:p w14:paraId="16922B9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55" w:type="pct"/>
            <w:vAlign w:val="center"/>
          </w:tcPr>
          <w:p w14:paraId="009FA43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sz w:val="21"/>
                <w14:ligatures w14:val="standardContextual"/>
              </w:rPr>
            </w:pPr>
            <w:r w:rsidRPr="00DA3766">
              <w:rPr>
                <w:rFonts w:ascii="Times New Roman" w:hAnsi="Times New Roman" w:cs="Times New Roman"/>
                <w:bCs/>
                <w:color w:val="000000"/>
                <w:sz w:val="21"/>
                <w14:ligatures w14:val="standardContextual"/>
              </w:rPr>
              <w:t>123.70</w:t>
            </w:r>
            <w:r w:rsidRPr="00DA3766">
              <w:rPr>
                <w:rFonts w:ascii="Times New Roman" w:hAnsi="Times New Roman" w:cs="Times New Roman"/>
                <w:bCs/>
                <w:color w:val="000000"/>
                <w:sz w:val="21"/>
                <w14:ligatures w14:val="standardContextual"/>
              </w:rPr>
              <w:t>万美元</w:t>
            </w:r>
          </w:p>
        </w:tc>
        <w:tc>
          <w:tcPr>
            <w:tcW w:w="790" w:type="pct"/>
            <w:vAlign w:val="center"/>
          </w:tcPr>
          <w:p w14:paraId="076C843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24.74</w:t>
            </w:r>
            <w:r w:rsidRPr="00DA3766">
              <w:rPr>
                <w:rFonts w:ascii="Times New Roman" w:hAnsi="Times New Roman" w:cs="Times New Roman"/>
                <w:bCs/>
                <w:color w:val="000000"/>
                <w:sz w:val="21"/>
                <w14:ligatures w14:val="standardContextual"/>
              </w:rPr>
              <w:t>美元</w:t>
            </w:r>
          </w:p>
        </w:tc>
        <w:tc>
          <w:tcPr>
            <w:tcW w:w="791" w:type="pct"/>
            <w:vAlign w:val="center"/>
          </w:tcPr>
          <w:p w14:paraId="6918F37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50,000</w:t>
            </w:r>
          </w:p>
        </w:tc>
        <w:tc>
          <w:tcPr>
            <w:tcW w:w="699" w:type="pct"/>
            <w:vAlign w:val="center"/>
          </w:tcPr>
          <w:p w14:paraId="7D411E7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085962BF" w14:textId="77777777" w:rsidTr="00635015">
        <w:trPr>
          <w:trHeight w:val="397"/>
          <w:jc w:val="center"/>
        </w:trPr>
        <w:tc>
          <w:tcPr>
            <w:tcW w:w="1248" w:type="pct"/>
            <w:vAlign w:val="center"/>
          </w:tcPr>
          <w:p w14:paraId="7A54A2F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志成伟业有限公司</w:t>
            </w:r>
          </w:p>
        </w:tc>
        <w:tc>
          <w:tcPr>
            <w:tcW w:w="617" w:type="pct"/>
            <w:vAlign w:val="center"/>
          </w:tcPr>
          <w:p w14:paraId="1BFC544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55" w:type="pct"/>
            <w:vAlign w:val="center"/>
          </w:tcPr>
          <w:p w14:paraId="3A3A793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145.37</w:t>
            </w:r>
            <w:r w:rsidRPr="00DA3766">
              <w:rPr>
                <w:rFonts w:ascii="Times New Roman" w:hAnsi="Times New Roman" w:cs="Times New Roman"/>
                <w:bCs/>
                <w:color w:val="000000"/>
                <w:sz w:val="21"/>
                <w14:ligatures w14:val="standardContextual"/>
              </w:rPr>
              <w:t>万美元</w:t>
            </w:r>
          </w:p>
        </w:tc>
        <w:tc>
          <w:tcPr>
            <w:tcW w:w="790" w:type="pct"/>
            <w:vAlign w:val="center"/>
          </w:tcPr>
          <w:p w14:paraId="7049271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24.74</w:t>
            </w:r>
            <w:r w:rsidRPr="00DA3766">
              <w:rPr>
                <w:rFonts w:ascii="Times New Roman" w:hAnsi="Times New Roman" w:cs="Times New Roman"/>
                <w:bCs/>
                <w:color w:val="000000"/>
                <w:sz w:val="21"/>
                <w14:ligatures w14:val="standardContextual"/>
              </w:rPr>
              <w:t>美元</w:t>
            </w:r>
          </w:p>
        </w:tc>
        <w:tc>
          <w:tcPr>
            <w:tcW w:w="791" w:type="pct"/>
            <w:vAlign w:val="center"/>
          </w:tcPr>
          <w:p w14:paraId="416E989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60,000</w:t>
            </w:r>
          </w:p>
        </w:tc>
        <w:tc>
          <w:tcPr>
            <w:tcW w:w="699" w:type="pct"/>
            <w:vAlign w:val="center"/>
          </w:tcPr>
          <w:p w14:paraId="4ADFD77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5438D212" w14:textId="77777777" w:rsidTr="00635015">
        <w:trPr>
          <w:trHeight w:val="397"/>
          <w:jc w:val="center"/>
        </w:trPr>
        <w:tc>
          <w:tcPr>
            <w:tcW w:w="1248" w:type="pct"/>
            <w:vAlign w:val="center"/>
          </w:tcPr>
          <w:p w14:paraId="682DF88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惠州市中盈新能源科技有限公司</w:t>
            </w:r>
          </w:p>
        </w:tc>
        <w:tc>
          <w:tcPr>
            <w:tcW w:w="617" w:type="pct"/>
            <w:vAlign w:val="center"/>
          </w:tcPr>
          <w:p w14:paraId="46A517C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55" w:type="pct"/>
            <w:vAlign w:val="center"/>
          </w:tcPr>
          <w:p w14:paraId="468E365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387.53</w:t>
            </w:r>
            <w:r w:rsidRPr="00DA3766">
              <w:rPr>
                <w:rFonts w:ascii="Times New Roman" w:hAnsi="Times New Roman" w:cs="Times New Roman"/>
                <w:bCs/>
                <w:color w:val="000000"/>
                <w:kern w:val="2"/>
                <w:sz w:val="21"/>
                <w14:ligatures w14:val="standardContextual"/>
              </w:rPr>
              <w:t>万元</w:t>
            </w:r>
          </w:p>
        </w:tc>
        <w:tc>
          <w:tcPr>
            <w:tcW w:w="790" w:type="pct"/>
            <w:vAlign w:val="center"/>
          </w:tcPr>
          <w:p w14:paraId="58C7638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791" w:type="pct"/>
            <w:vAlign w:val="center"/>
          </w:tcPr>
          <w:p w14:paraId="7442D7A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699" w:type="pct"/>
            <w:vAlign w:val="center"/>
          </w:tcPr>
          <w:p w14:paraId="43594F02"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7D1E3910" w14:textId="77777777" w:rsidTr="00635015">
        <w:trPr>
          <w:trHeight w:val="397"/>
          <w:jc w:val="center"/>
        </w:trPr>
        <w:tc>
          <w:tcPr>
            <w:tcW w:w="1248" w:type="pct"/>
            <w:vAlign w:val="center"/>
          </w:tcPr>
          <w:p w14:paraId="22DFEE4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广西西兴鑫数字生活科技有限责任公司</w:t>
            </w:r>
          </w:p>
        </w:tc>
        <w:tc>
          <w:tcPr>
            <w:tcW w:w="617" w:type="pct"/>
            <w:vAlign w:val="center"/>
          </w:tcPr>
          <w:p w14:paraId="03C50FA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55" w:type="pct"/>
            <w:vAlign w:val="center"/>
          </w:tcPr>
          <w:p w14:paraId="39F66F2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237.13</w:t>
            </w:r>
            <w:r w:rsidRPr="00DA3766">
              <w:rPr>
                <w:rFonts w:ascii="Times New Roman" w:hAnsi="Times New Roman" w:cs="Times New Roman"/>
                <w:bCs/>
                <w:color w:val="000000"/>
                <w:kern w:val="2"/>
                <w:sz w:val="21"/>
                <w14:ligatures w14:val="standardContextual"/>
              </w:rPr>
              <w:t>万元</w:t>
            </w:r>
          </w:p>
        </w:tc>
        <w:tc>
          <w:tcPr>
            <w:tcW w:w="790" w:type="pct"/>
            <w:vAlign w:val="center"/>
          </w:tcPr>
          <w:p w14:paraId="3E13242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791" w:type="pct"/>
            <w:vAlign w:val="center"/>
          </w:tcPr>
          <w:p w14:paraId="7F5FB99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699" w:type="pct"/>
            <w:vAlign w:val="center"/>
          </w:tcPr>
          <w:p w14:paraId="166007F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bl>
    <w:p w14:paraId="0B800CB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上市公司贸易业务主要采用</w:t>
      </w:r>
      <w:r w:rsidRPr="00DA3766">
        <w:rPr>
          <w:rFonts w:cs="Times New Roman"/>
          <w:kern w:val="2"/>
          <w14:ligatures w14:val="standardContextual"/>
        </w:rPr>
        <w:t>“</w:t>
      </w:r>
      <w:r w:rsidRPr="00DA3766">
        <w:rPr>
          <w:rFonts w:ascii="Times New Roman" w:hAnsi="Times New Roman" w:cs="Times New Roman"/>
          <w:kern w:val="2"/>
          <w14:ligatures w14:val="standardContextual"/>
        </w:rPr>
        <w:t>以销定采</w:t>
      </w:r>
      <w:r w:rsidRPr="00DA3766">
        <w:rPr>
          <w:rFonts w:cs="Times New Roman"/>
          <w:kern w:val="2"/>
          <w14:ligatures w14:val="standardContextual"/>
        </w:rPr>
        <w:t>”“</w:t>
      </w:r>
      <w:r w:rsidRPr="00DA3766">
        <w:rPr>
          <w:rFonts w:ascii="Times New Roman" w:hAnsi="Times New Roman" w:cs="Times New Roman"/>
          <w:kern w:val="2"/>
          <w14:ligatures w14:val="standardContextual"/>
        </w:rPr>
        <w:t>按需采购</w:t>
      </w:r>
      <w:r w:rsidRPr="00DA3766">
        <w:rPr>
          <w:rFonts w:cs="Times New Roman"/>
          <w:kern w:val="2"/>
          <w14:ligatures w14:val="standardContextual"/>
        </w:rPr>
        <w:t>”</w:t>
      </w:r>
      <w:r w:rsidRPr="00DA3766">
        <w:rPr>
          <w:rFonts w:ascii="Times New Roman" w:hAnsi="Times New Roman" w:cs="Times New Roman"/>
          <w:kern w:val="2"/>
          <w14:ligatures w14:val="standardContextual"/>
        </w:rPr>
        <w:t>的业务模式，公司凭借供应链优势并依据客户订单进行及时采购，相关产品均实现最终销售，采购定价依据询价结果确定，不存在显著异常情形。</w:t>
      </w:r>
    </w:p>
    <w:p w14:paraId="4A7432D3"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）是否存在闭环交易、利益输送、资金占用、体外资金循环情况</w:t>
      </w:r>
    </w:p>
    <w:p w14:paraId="66CEB5E5"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贸易交易属于上市公司经营过程延伸的非主业业务，系以赚取利差或辅助新业务赛道的延伸为目的，对上市公司经营业绩不存在显著的影响，该业务对应客户、供应商与上市公司均不存在关联关系，该业务不存在利益输送、资金占用及体外资金循环情况。</w:t>
      </w:r>
    </w:p>
    <w:p w14:paraId="23250BF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司均不存在关联关系，产品最终实现对外销售，不存在闭环交易、利益输送、资金占用、体外资金循环等情况。</w:t>
      </w:r>
    </w:p>
    <w:bookmarkEnd w:id="279"/>
    <w:p w14:paraId="5F48497C"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六、</w:t>
      </w:r>
      <w:bookmarkStart w:id="283" w:name="_Hlk219070734"/>
      <w:r w:rsidRPr="00DA3766">
        <w:rPr>
          <w:rFonts w:ascii="Times New Roman" w:hAnsi="Times New Roman" w:cs="Times New Roman"/>
          <w:b/>
          <w:bCs/>
          <w:kern w:val="2"/>
          <w:szCs w:val="28"/>
        </w:rPr>
        <w:t>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年第四季度收入确认比例存在较大波动的原因及合理性，与同行业可比公司各季度收入分布情况是否存在差异</w:t>
      </w:r>
      <w:bookmarkEnd w:id="283"/>
      <w:r w:rsidRPr="00DA3766">
        <w:rPr>
          <w:rFonts w:ascii="Times New Roman" w:hAnsi="Times New Roman" w:cs="Times New Roman"/>
          <w:b/>
          <w:bCs/>
          <w:kern w:val="2"/>
          <w:szCs w:val="28"/>
        </w:rPr>
        <w:t>，如是，说明原因及合理性；列表说明报告期各期第四季度收入确认的主要客户、合同签订时间、合同金额、合同的实施期间、验收日期、收入金额、收入确认的具体依据、相关收入期后回款情况。</w:t>
      </w:r>
    </w:p>
    <w:p w14:paraId="7337FC93"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年第四季度收入确认比例存在较大波动的原因及合理性，与同行业可比公司各季度收入分布情况是否存在差异，如是，说明原因及合理性</w:t>
      </w:r>
    </w:p>
    <w:p w14:paraId="45E18E23"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w:t>
      </w:r>
    </w:p>
    <w:p w14:paraId="79169C9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系统集成、软件开发项目的执行、安装调试、验收需要一定周期，往往导致收入确认集中在项目完工验收时点。公司客户主要为政府部门、事业单位及国有企业，该等客户通常实行预算管理及集中采购制度，采购招标和项目实施主要安排在年中和下半年，项目验收和结算集中在年底，尤其在第四季度集中财政预算结算，进而上市公司的收入确认也主要集中在第四季度。因此，年末为公司收入实现的季节性高峰期具备合理性。</w:t>
      </w:r>
    </w:p>
    <w:p w14:paraId="73816E4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年，上市公司各季度收入及占比情况如下：</w:t>
      </w:r>
    </w:p>
    <w:p w14:paraId="47712AC2"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217"/>
        <w:gridCol w:w="1218"/>
        <w:gridCol w:w="1220"/>
        <w:gridCol w:w="1220"/>
        <w:gridCol w:w="1220"/>
        <w:gridCol w:w="1220"/>
      </w:tblGrid>
      <w:tr w:rsidR="003F2129" w:rsidRPr="00DA3766" w14:paraId="066590B2" w14:textId="77777777" w:rsidTr="00DA3766">
        <w:trPr>
          <w:trHeight w:val="397"/>
          <w:tblHeader/>
          <w:jc w:val="center"/>
        </w:trPr>
        <w:tc>
          <w:tcPr>
            <w:tcW w:w="712" w:type="pct"/>
            <w:vMerge w:val="restart"/>
            <w:vAlign w:val="center"/>
          </w:tcPr>
          <w:p w14:paraId="5B82238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季度</w:t>
            </w:r>
          </w:p>
        </w:tc>
        <w:tc>
          <w:tcPr>
            <w:tcW w:w="1428" w:type="pct"/>
            <w:gridSpan w:val="2"/>
            <w:vAlign w:val="center"/>
          </w:tcPr>
          <w:p w14:paraId="2A99BDB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430" w:type="pct"/>
            <w:gridSpan w:val="2"/>
            <w:vAlign w:val="center"/>
          </w:tcPr>
          <w:p w14:paraId="6710273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430" w:type="pct"/>
            <w:gridSpan w:val="2"/>
            <w:vAlign w:val="center"/>
          </w:tcPr>
          <w:p w14:paraId="71BD4DF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75D90C6E" w14:textId="77777777" w:rsidTr="00DA3766">
        <w:trPr>
          <w:trHeight w:val="397"/>
          <w:tblHeader/>
          <w:jc w:val="center"/>
        </w:trPr>
        <w:tc>
          <w:tcPr>
            <w:tcW w:w="712" w:type="pct"/>
            <w:vMerge/>
            <w:vAlign w:val="center"/>
          </w:tcPr>
          <w:p w14:paraId="016CAF8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4" w:type="pct"/>
            <w:vAlign w:val="center"/>
          </w:tcPr>
          <w:p w14:paraId="419727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4" w:type="pct"/>
            <w:vAlign w:val="center"/>
          </w:tcPr>
          <w:p w14:paraId="5EDE1E0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c>
          <w:tcPr>
            <w:tcW w:w="715" w:type="pct"/>
            <w:vAlign w:val="center"/>
          </w:tcPr>
          <w:p w14:paraId="0A32562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5" w:type="pct"/>
            <w:vAlign w:val="center"/>
          </w:tcPr>
          <w:p w14:paraId="481FA9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c>
          <w:tcPr>
            <w:tcW w:w="715" w:type="pct"/>
            <w:vAlign w:val="center"/>
          </w:tcPr>
          <w:p w14:paraId="01B0A85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5" w:type="pct"/>
            <w:vAlign w:val="center"/>
          </w:tcPr>
          <w:p w14:paraId="713769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r>
      <w:tr w:rsidR="003F2129" w:rsidRPr="00DA3766" w14:paraId="64035F00" w14:textId="77777777" w:rsidTr="00DA3766">
        <w:trPr>
          <w:trHeight w:val="397"/>
          <w:jc w:val="center"/>
        </w:trPr>
        <w:tc>
          <w:tcPr>
            <w:tcW w:w="712" w:type="pct"/>
            <w:vAlign w:val="center"/>
          </w:tcPr>
          <w:p w14:paraId="22BED0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第一季度</w:t>
            </w:r>
          </w:p>
        </w:tc>
        <w:tc>
          <w:tcPr>
            <w:tcW w:w="714" w:type="pct"/>
            <w:vAlign w:val="center"/>
          </w:tcPr>
          <w:p w14:paraId="0D4CA27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3,970.85</w:t>
            </w:r>
          </w:p>
        </w:tc>
        <w:tc>
          <w:tcPr>
            <w:tcW w:w="714" w:type="pct"/>
            <w:vAlign w:val="center"/>
          </w:tcPr>
          <w:p w14:paraId="500123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17.76%</w:t>
            </w:r>
          </w:p>
        </w:tc>
        <w:tc>
          <w:tcPr>
            <w:tcW w:w="715" w:type="pct"/>
            <w:vAlign w:val="center"/>
          </w:tcPr>
          <w:p w14:paraId="56AC19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4,920.47</w:t>
            </w:r>
          </w:p>
        </w:tc>
        <w:tc>
          <w:tcPr>
            <w:tcW w:w="715" w:type="pct"/>
            <w:vAlign w:val="center"/>
          </w:tcPr>
          <w:p w14:paraId="235080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12.00%</w:t>
            </w:r>
          </w:p>
        </w:tc>
        <w:tc>
          <w:tcPr>
            <w:tcW w:w="715" w:type="pct"/>
            <w:vAlign w:val="center"/>
          </w:tcPr>
          <w:p w14:paraId="626A94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4,514.91</w:t>
            </w:r>
          </w:p>
        </w:tc>
        <w:tc>
          <w:tcPr>
            <w:tcW w:w="715" w:type="pct"/>
            <w:vAlign w:val="center"/>
          </w:tcPr>
          <w:p w14:paraId="2DE2773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10.28%</w:t>
            </w:r>
          </w:p>
        </w:tc>
      </w:tr>
      <w:tr w:rsidR="003F2129" w:rsidRPr="00DA3766" w14:paraId="4F3B5B44" w14:textId="77777777" w:rsidTr="00DA3766">
        <w:trPr>
          <w:trHeight w:val="397"/>
          <w:jc w:val="center"/>
        </w:trPr>
        <w:tc>
          <w:tcPr>
            <w:tcW w:w="712" w:type="pct"/>
            <w:vAlign w:val="center"/>
          </w:tcPr>
          <w:p w14:paraId="706078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第二季度</w:t>
            </w:r>
          </w:p>
        </w:tc>
        <w:tc>
          <w:tcPr>
            <w:tcW w:w="714" w:type="pct"/>
            <w:vAlign w:val="center"/>
          </w:tcPr>
          <w:p w14:paraId="4006A5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4,950.59</w:t>
            </w:r>
          </w:p>
        </w:tc>
        <w:tc>
          <w:tcPr>
            <w:tcW w:w="714" w:type="pct"/>
            <w:vAlign w:val="center"/>
          </w:tcPr>
          <w:p w14:paraId="5A0975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22.14%</w:t>
            </w:r>
          </w:p>
        </w:tc>
        <w:tc>
          <w:tcPr>
            <w:tcW w:w="715" w:type="pct"/>
            <w:vAlign w:val="center"/>
          </w:tcPr>
          <w:p w14:paraId="37FFBF4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6,087.50</w:t>
            </w:r>
          </w:p>
        </w:tc>
        <w:tc>
          <w:tcPr>
            <w:tcW w:w="715" w:type="pct"/>
            <w:vAlign w:val="center"/>
          </w:tcPr>
          <w:p w14:paraId="695AD1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14.85%</w:t>
            </w:r>
          </w:p>
        </w:tc>
        <w:tc>
          <w:tcPr>
            <w:tcW w:w="715" w:type="pct"/>
            <w:vAlign w:val="center"/>
          </w:tcPr>
          <w:p w14:paraId="5C2D98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9,008.95</w:t>
            </w:r>
          </w:p>
        </w:tc>
        <w:tc>
          <w:tcPr>
            <w:tcW w:w="715" w:type="pct"/>
            <w:vAlign w:val="center"/>
          </w:tcPr>
          <w:p w14:paraId="5C3A9A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20.51%</w:t>
            </w:r>
          </w:p>
        </w:tc>
      </w:tr>
      <w:tr w:rsidR="003F2129" w:rsidRPr="00DA3766" w14:paraId="63893FF4" w14:textId="77777777" w:rsidTr="00DA3766">
        <w:trPr>
          <w:trHeight w:val="397"/>
          <w:jc w:val="center"/>
        </w:trPr>
        <w:tc>
          <w:tcPr>
            <w:tcW w:w="712" w:type="pct"/>
            <w:vAlign w:val="center"/>
          </w:tcPr>
          <w:p w14:paraId="332922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第三季度</w:t>
            </w:r>
          </w:p>
        </w:tc>
        <w:tc>
          <w:tcPr>
            <w:tcW w:w="714" w:type="pct"/>
            <w:vAlign w:val="center"/>
          </w:tcPr>
          <w:p w14:paraId="4C18EB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6,606.03</w:t>
            </w:r>
          </w:p>
        </w:tc>
        <w:tc>
          <w:tcPr>
            <w:tcW w:w="714" w:type="pct"/>
            <w:vAlign w:val="center"/>
          </w:tcPr>
          <w:p w14:paraId="731F09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29.54%</w:t>
            </w:r>
          </w:p>
        </w:tc>
        <w:tc>
          <w:tcPr>
            <w:tcW w:w="715" w:type="pct"/>
            <w:vAlign w:val="center"/>
          </w:tcPr>
          <w:p w14:paraId="08AD4B3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6,544.01</w:t>
            </w:r>
          </w:p>
        </w:tc>
        <w:tc>
          <w:tcPr>
            <w:tcW w:w="715" w:type="pct"/>
            <w:vAlign w:val="center"/>
          </w:tcPr>
          <w:p w14:paraId="7B2C5B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15.96%</w:t>
            </w:r>
          </w:p>
        </w:tc>
        <w:tc>
          <w:tcPr>
            <w:tcW w:w="715" w:type="pct"/>
            <w:vAlign w:val="center"/>
          </w:tcPr>
          <w:p w14:paraId="6FCD45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9,707.17</w:t>
            </w:r>
          </w:p>
        </w:tc>
        <w:tc>
          <w:tcPr>
            <w:tcW w:w="715" w:type="pct"/>
            <w:vAlign w:val="center"/>
          </w:tcPr>
          <w:p w14:paraId="30EBDC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22.10%</w:t>
            </w:r>
          </w:p>
        </w:tc>
      </w:tr>
      <w:tr w:rsidR="003F2129" w:rsidRPr="00DA3766" w14:paraId="15987A7B" w14:textId="77777777" w:rsidTr="00DA3766">
        <w:trPr>
          <w:trHeight w:val="397"/>
          <w:jc w:val="center"/>
        </w:trPr>
        <w:tc>
          <w:tcPr>
            <w:tcW w:w="712" w:type="pct"/>
            <w:vAlign w:val="center"/>
          </w:tcPr>
          <w:p w14:paraId="23676B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第四季度</w:t>
            </w:r>
          </w:p>
        </w:tc>
        <w:tc>
          <w:tcPr>
            <w:tcW w:w="714" w:type="pct"/>
            <w:vAlign w:val="center"/>
          </w:tcPr>
          <w:p w14:paraId="518F25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6,835.83</w:t>
            </w:r>
          </w:p>
        </w:tc>
        <w:tc>
          <w:tcPr>
            <w:tcW w:w="714" w:type="pct"/>
            <w:vAlign w:val="center"/>
          </w:tcPr>
          <w:p w14:paraId="7BA83BD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30.57%</w:t>
            </w:r>
          </w:p>
        </w:tc>
        <w:tc>
          <w:tcPr>
            <w:tcW w:w="715" w:type="pct"/>
            <w:vAlign w:val="center"/>
          </w:tcPr>
          <w:p w14:paraId="000BD7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23,448.99</w:t>
            </w:r>
          </w:p>
        </w:tc>
        <w:tc>
          <w:tcPr>
            <w:tcW w:w="715" w:type="pct"/>
            <w:vAlign w:val="center"/>
          </w:tcPr>
          <w:p w14:paraId="6166B9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57.19%</w:t>
            </w:r>
          </w:p>
        </w:tc>
        <w:tc>
          <w:tcPr>
            <w:tcW w:w="715" w:type="pct"/>
            <w:vAlign w:val="center"/>
          </w:tcPr>
          <w:p w14:paraId="3CE42B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20,690.73</w:t>
            </w:r>
          </w:p>
        </w:tc>
        <w:tc>
          <w:tcPr>
            <w:tcW w:w="715" w:type="pct"/>
            <w:vAlign w:val="center"/>
          </w:tcPr>
          <w:p w14:paraId="18627E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47.11%</w:t>
            </w:r>
          </w:p>
        </w:tc>
      </w:tr>
      <w:tr w:rsidR="003F2129" w:rsidRPr="00DA3766" w14:paraId="4AC695A0" w14:textId="77777777" w:rsidTr="00DA3766">
        <w:trPr>
          <w:trHeight w:val="397"/>
          <w:jc w:val="center"/>
        </w:trPr>
        <w:tc>
          <w:tcPr>
            <w:tcW w:w="712" w:type="pct"/>
            <w:vAlign w:val="center"/>
          </w:tcPr>
          <w:p w14:paraId="159F8F9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714" w:type="pct"/>
            <w:vAlign w:val="center"/>
          </w:tcPr>
          <w:p w14:paraId="25542B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22,363.30</w:t>
            </w:r>
          </w:p>
        </w:tc>
        <w:tc>
          <w:tcPr>
            <w:tcW w:w="714" w:type="pct"/>
            <w:vAlign w:val="center"/>
          </w:tcPr>
          <w:p w14:paraId="290B6A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c>
          <w:tcPr>
            <w:tcW w:w="715" w:type="pct"/>
            <w:vAlign w:val="center"/>
          </w:tcPr>
          <w:p w14:paraId="35F032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41,000.98</w:t>
            </w:r>
          </w:p>
        </w:tc>
        <w:tc>
          <w:tcPr>
            <w:tcW w:w="715" w:type="pct"/>
            <w:vAlign w:val="center"/>
          </w:tcPr>
          <w:p w14:paraId="5AD28C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c>
          <w:tcPr>
            <w:tcW w:w="715" w:type="pct"/>
            <w:vAlign w:val="center"/>
          </w:tcPr>
          <w:p w14:paraId="5A5A42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43,921.75</w:t>
            </w:r>
          </w:p>
        </w:tc>
        <w:tc>
          <w:tcPr>
            <w:tcW w:w="715" w:type="pct"/>
            <w:vAlign w:val="center"/>
          </w:tcPr>
          <w:p w14:paraId="53BE68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r>
    </w:tbl>
    <w:p w14:paraId="3F66F43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年，上市公司第四季度收入确认金额分别为</w:t>
      </w:r>
      <w:r w:rsidRPr="00DA3766">
        <w:rPr>
          <w:rFonts w:ascii="Times New Roman" w:hAnsi="Times New Roman" w:cs="Times New Roman"/>
          <w:kern w:val="2"/>
          <w14:ligatures w14:val="standardContextual"/>
        </w:rPr>
        <w:t>20,690.73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23,448.99</w:t>
      </w:r>
      <w:r w:rsidRPr="00DA3766">
        <w:rPr>
          <w:rFonts w:ascii="Times New Roman" w:hAnsi="Times New Roman" w:cs="Times New Roman"/>
          <w:kern w:val="2"/>
          <w14:ligatures w14:val="standardContextual"/>
        </w:rPr>
        <w:t>万元和</w:t>
      </w:r>
      <w:r w:rsidRPr="00DA3766">
        <w:rPr>
          <w:rFonts w:ascii="Times New Roman" w:hAnsi="Times New Roman" w:cs="Times New Roman"/>
          <w:kern w:val="2"/>
          <w14:ligatures w14:val="standardContextual"/>
        </w:rPr>
        <w:t>6,835.83</w:t>
      </w:r>
      <w:r w:rsidRPr="00DA3766">
        <w:rPr>
          <w:rFonts w:ascii="Times New Roman" w:hAnsi="Times New Roman" w:cs="Times New Roman"/>
          <w:kern w:val="2"/>
          <w14:ligatures w14:val="standardContextual"/>
        </w:rPr>
        <w:t>万元，占对应年度收入比例分别为</w:t>
      </w:r>
      <w:r w:rsidRPr="00DA3766">
        <w:rPr>
          <w:rFonts w:ascii="Times New Roman" w:hAnsi="Times New Roman" w:cs="Times New Roman"/>
          <w:kern w:val="2"/>
          <w14:ligatures w14:val="standardContextual"/>
        </w:rPr>
        <w:t>47.11%</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57.19%</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30.57%</w:t>
      </w:r>
      <w:r w:rsidRPr="00DA3766">
        <w:rPr>
          <w:rFonts w:ascii="Times New Roman" w:hAnsi="Times New Roman" w:cs="Times New Roman"/>
          <w:kern w:val="2"/>
          <w14:ligatures w14:val="standardContextual"/>
        </w:rPr>
        <w:t>，呈现一定的波动性。公司收入确认以验收为主，且项目存在一定周期性，收入确认受到项目方验收进程以及项目金额的影响，</w:t>
      </w: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年第四季度与</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lastRenderedPageBreak/>
        <w:t>第四季度收入及占比情况存在一定波动属于正常情形。</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年，公司第四季度收入确认金额及占比下降主要系公司收入结构变动所致，具体而言：（</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受客户资金预算情况变化，公司部分项目无法按既定计划完工验收，导致智慧教育、智慧政务以及智慧医疗业务收入下滑，同时上市公司根据客户资金预算情况，谨慎承接业务并把控投入，带动公司整体营业收入下降；（</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）上市公司积极布局智慧企业、轨道交通、新能源电力以及算力服务集群业务，该部分业务收入确认政策及周期与传统业务存在一定差异。</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年，上市公司在智慧企业、轨道交通、新能源电力领域分别实现收入</w:t>
      </w:r>
      <w:r w:rsidRPr="00DA3766">
        <w:rPr>
          <w:rFonts w:ascii="Times New Roman" w:hAnsi="Times New Roman" w:cs="Times New Roman"/>
          <w:kern w:val="2"/>
          <w14:ligatures w14:val="standardContextual"/>
        </w:rPr>
        <w:t>4,338.66</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2,342.73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64.34</w:t>
      </w:r>
      <w:r w:rsidRPr="00DA3766">
        <w:rPr>
          <w:rFonts w:ascii="Times New Roman" w:hAnsi="Times New Roman" w:cs="Times New Roman"/>
          <w:kern w:val="2"/>
          <w14:ligatures w14:val="standardContextual"/>
        </w:rPr>
        <w:t>万元，收入占比分别为</w:t>
      </w:r>
      <w:r w:rsidRPr="00DA3766">
        <w:rPr>
          <w:rFonts w:ascii="Times New Roman" w:hAnsi="Times New Roman" w:cs="Times New Roman"/>
          <w:kern w:val="2"/>
          <w14:ligatures w14:val="standardContextual"/>
        </w:rPr>
        <w:t>19.40%</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10.47%</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0.29%</w:t>
      </w:r>
      <w:r w:rsidRPr="00DA3766">
        <w:rPr>
          <w:rFonts w:ascii="Times New Roman" w:hAnsi="Times New Roman" w:cs="Times New Roman"/>
          <w:kern w:val="2"/>
          <w14:ligatures w14:val="standardContextual"/>
        </w:rPr>
        <w:t>。</w:t>
      </w:r>
    </w:p>
    <w:p w14:paraId="6BB3BAB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、与同行业可比公司各季度收入分布情况对比</w:t>
      </w:r>
    </w:p>
    <w:p w14:paraId="690E1AE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年，上市公司及同行业可比公司第四季度收入确认比例情况如下：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15"/>
        <w:gridCol w:w="2071"/>
        <w:gridCol w:w="2071"/>
        <w:gridCol w:w="2071"/>
      </w:tblGrid>
      <w:tr w:rsidR="003F2129" w:rsidRPr="00DA3766" w14:paraId="757E94CD" w14:textId="77777777" w:rsidTr="00BF5BFE">
        <w:trPr>
          <w:trHeight w:val="397"/>
          <w:tblHeader/>
          <w:jc w:val="center"/>
        </w:trPr>
        <w:tc>
          <w:tcPr>
            <w:tcW w:w="1357" w:type="pct"/>
            <w:vAlign w:val="center"/>
          </w:tcPr>
          <w:p w14:paraId="5D2ADA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w:t>
            </w:r>
          </w:p>
        </w:tc>
        <w:tc>
          <w:tcPr>
            <w:tcW w:w="1214" w:type="pct"/>
            <w:vAlign w:val="center"/>
          </w:tcPr>
          <w:p w14:paraId="500C238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214" w:type="pct"/>
            <w:vAlign w:val="center"/>
          </w:tcPr>
          <w:p w14:paraId="7CBBEE7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214" w:type="pct"/>
            <w:vAlign w:val="center"/>
          </w:tcPr>
          <w:p w14:paraId="50B9730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292557D3" w14:textId="77777777" w:rsidTr="00BF5BFE">
        <w:trPr>
          <w:trHeight w:val="397"/>
          <w:jc w:val="center"/>
        </w:trPr>
        <w:tc>
          <w:tcPr>
            <w:tcW w:w="1357" w:type="pct"/>
            <w:vAlign w:val="center"/>
          </w:tcPr>
          <w:p w14:paraId="141F84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214" w:type="pct"/>
            <w:vAlign w:val="center"/>
          </w:tcPr>
          <w:p w14:paraId="18325C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44.34%</w:t>
            </w:r>
          </w:p>
        </w:tc>
        <w:tc>
          <w:tcPr>
            <w:tcW w:w="1214" w:type="pct"/>
            <w:vAlign w:val="center"/>
          </w:tcPr>
          <w:p w14:paraId="5F202B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46.82%</w:t>
            </w:r>
          </w:p>
        </w:tc>
        <w:tc>
          <w:tcPr>
            <w:tcW w:w="1214" w:type="pct"/>
            <w:vAlign w:val="center"/>
          </w:tcPr>
          <w:p w14:paraId="703B2C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53.06%</w:t>
            </w:r>
          </w:p>
        </w:tc>
      </w:tr>
      <w:tr w:rsidR="003F2129" w:rsidRPr="00DA3766" w14:paraId="434C2F9D" w14:textId="77777777" w:rsidTr="00BF5BFE">
        <w:trPr>
          <w:trHeight w:val="397"/>
          <w:jc w:val="center"/>
        </w:trPr>
        <w:tc>
          <w:tcPr>
            <w:tcW w:w="1357" w:type="pct"/>
            <w:vAlign w:val="center"/>
          </w:tcPr>
          <w:p w14:paraId="18A712E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214" w:type="pct"/>
            <w:vAlign w:val="center"/>
          </w:tcPr>
          <w:p w14:paraId="5C8C9B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21.37%</w:t>
            </w:r>
          </w:p>
        </w:tc>
        <w:tc>
          <w:tcPr>
            <w:tcW w:w="1214" w:type="pct"/>
            <w:vAlign w:val="center"/>
          </w:tcPr>
          <w:p w14:paraId="193591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27.86%</w:t>
            </w:r>
          </w:p>
        </w:tc>
        <w:tc>
          <w:tcPr>
            <w:tcW w:w="1214" w:type="pct"/>
            <w:vAlign w:val="center"/>
          </w:tcPr>
          <w:p w14:paraId="37228B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15.04%</w:t>
            </w:r>
          </w:p>
        </w:tc>
      </w:tr>
      <w:tr w:rsidR="003F2129" w:rsidRPr="00DA3766" w14:paraId="4F514566" w14:textId="77777777" w:rsidTr="00BF5BFE">
        <w:trPr>
          <w:trHeight w:val="397"/>
          <w:jc w:val="center"/>
        </w:trPr>
        <w:tc>
          <w:tcPr>
            <w:tcW w:w="1357" w:type="pct"/>
            <w:vAlign w:val="center"/>
          </w:tcPr>
          <w:p w14:paraId="5CCB71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214" w:type="pct"/>
            <w:vAlign w:val="center"/>
          </w:tcPr>
          <w:p w14:paraId="03CA4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62.86%</w:t>
            </w:r>
          </w:p>
        </w:tc>
        <w:tc>
          <w:tcPr>
            <w:tcW w:w="1214" w:type="pct"/>
            <w:vAlign w:val="center"/>
          </w:tcPr>
          <w:p w14:paraId="032B41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76.29%</w:t>
            </w:r>
          </w:p>
        </w:tc>
        <w:tc>
          <w:tcPr>
            <w:tcW w:w="1214" w:type="pct"/>
            <w:vAlign w:val="center"/>
          </w:tcPr>
          <w:p w14:paraId="2D77284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63.90%</w:t>
            </w:r>
          </w:p>
        </w:tc>
      </w:tr>
      <w:tr w:rsidR="003F2129" w:rsidRPr="00DA3766" w14:paraId="4EB63D89" w14:textId="77777777" w:rsidTr="00BF5BFE">
        <w:trPr>
          <w:trHeight w:val="397"/>
          <w:jc w:val="center"/>
        </w:trPr>
        <w:tc>
          <w:tcPr>
            <w:tcW w:w="1357" w:type="pct"/>
            <w:vAlign w:val="center"/>
          </w:tcPr>
          <w:p w14:paraId="7BE032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214" w:type="pct"/>
            <w:vAlign w:val="center"/>
          </w:tcPr>
          <w:p w14:paraId="62FD0C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28.88%</w:t>
            </w:r>
          </w:p>
        </w:tc>
        <w:tc>
          <w:tcPr>
            <w:tcW w:w="1214" w:type="pct"/>
            <w:vAlign w:val="center"/>
          </w:tcPr>
          <w:p w14:paraId="20CE80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29.10%</w:t>
            </w:r>
          </w:p>
        </w:tc>
        <w:tc>
          <w:tcPr>
            <w:tcW w:w="1214" w:type="pct"/>
            <w:vAlign w:val="center"/>
          </w:tcPr>
          <w:p w14:paraId="2D3113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21.76%</w:t>
            </w:r>
          </w:p>
        </w:tc>
      </w:tr>
      <w:tr w:rsidR="003F2129" w:rsidRPr="00DA3766" w14:paraId="0EBE2363" w14:textId="77777777" w:rsidTr="00BF5BFE">
        <w:trPr>
          <w:trHeight w:val="397"/>
          <w:jc w:val="center"/>
        </w:trPr>
        <w:tc>
          <w:tcPr>
            <w:tcW w:w="1357" w:type="pct"/>
            <w:vAlign w:val="center"/>
          </w:tcPr>
          <w:p w14:paraId="406384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214" w:type="pct"/>
            <w:vAlign w:val="center"/>
          </w:tcPr>
          <w:p w14:paraId="44F1BE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66.10%</w:t>
            </w:r>
          </w:p>
        </w:tc>
        <w:tc>
          <w:tcPr>
            <w:tcW w:w="1214" w:type="pct"/>
            <w:vAlign w:val="center"/>
          </w:tcPr>
          <w:p w14:paraId="091487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48.86%</w:t>
            </w:r>
          </w:p>
        </w:tc>
        <w:tc>
          <w:tcPr>
            <w:tcW w:w="1214" w:type="pct"/>
            <w:vAlign w:val="center"/>
          </w:tcPr>
          <w:p w14:paraId="73A151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44.59%</w:t>
            </w:r>
          </w:p>
        </w:tc>
      </w:tr>
      <w:tr w:rsidR="003F2129" w:rsidRPr="00DA3766" w14:paraId="5D54BB31" w14:textId="77777777" w:rsidTr="00BF5BFE">
        <w:trPr>
          <w:trHeight w:val="397"/>
          <w:jc w:val="center"/>
        </w:trPr>
        <w:tc>
          <w:tcPr>
            <w:tcW w:w="1357" w:type="pct"/>
            <w:vAlign w:val="center"/>
          </w:tcPr>
          <w:p w14:paraId="2F603D7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平均数</w:t>
            </w:r>
          </w:p>
        </w:tc>
        <w:tc>
          <w:tcPr>
            <w:tcW w:w="1214" w:type="pct"/>
            <w:vAlign w:val="center"/>
          </w:tcPr>
          <w:p w14:paraId="1A2205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44.71%</w:t>
            </w:r>
          </w:p>
        </w:tc>
        <w:tc>
          <w:tcPr>
            <w:tcW w:w="1214" w:type="pct"/>
            <w:vAlign w:val="center"/>
          </w:tcPr>
          <w:p w14:paraId="264906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45.78%</w:t>
            </w:r>
          </w:p>
        </w:tc>
        <w:tc>
          <w:tcPr>
            <w:tcW w:w="1214" w:type="pct"/>
            <w:vAlign w:val="center"/>
          </w:tcPr>
          <w:p w14:paraId="5A9D3DB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39.67%</w:t>
            </w:r>
          </w:p>
        </w:tc>
      </w:tr>
      <w:tr w:rsidR="003F2129" w:rsidRPr="00DA3766" w14:paraId="1EA3F0D6" w14:textId="77777777" w:rsidTr="00BF5BFE">
        <w:trPr>
          <w:trHeight w:val="397"/>
          <w:jc w:val="center"/>
        </w:trPr>
        <w:tc>
          <w:tcPr>
            <w:tcW w:w="1357" w:type="pct"/>
            <w:vAlign w:val="center"/>
          </w:tcPr>
          <w:p w14:paraId="169E255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214" w:type="pct"/>
            <w:vAlign w:val="center"/>
          </w:tcPr>
          <w:p w14:paraId="4C0C1D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30.57%</w:t>
            </w:r>
          </w:p>
        </w:tc>
        <w:tc>
          <w:tcPr>
            <w:tcW w:w="1214" w:type="pct"/>
            <w:vAlign w:val="center"/>
          </w:tcPr>
          <w:p w14:paraId="07C550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57.19%</w:t>
            </w:r>
          </w:p>
        </w:tc>
        <w:tc>
          <w:tcPr>
            <w:tcW w:w="1214" w:type="pct"/>
            <w:vAlign w:val="center"/>
          </w:tcPr>
          <w:p w14:paraId="37B7BB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47.11%</w:t>
            </w:r>
          </w:p>
        </w:tc>
      </w:tr>
    </w:tbl>
    <w:p w14:paraId="125B13F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年，上市公司与同行业可比公司均存在第四季度集中确认收入的情形，考虑到该类业务的具体实施和验收场景，上市公司第四季度集中确认收入具备商业合理性；</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年，上市公司因传统业务明显下滑，同时新业务拓展顺利，收入结构发生变化，导致第四季度收入确认比例与同行业可比公司存在一定差异，具备合理性。</w:t>
      </w:r>
    </w:p>
    <w:p w14:paraId="4B18C1FE"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（二）列表说明报告期各期第四季度收入确认的主要客户、合同签订时间、合同金额、合同的实施期间、验收日期、收入金额、收入确认的具体依据、相关收入期后回款情况。</w:t>
      </w:r>
    </w:p>
    <w:p w14:paraId="2C10C7BB" w14:textId="77777777" w:rsidR="003F2129" w:rsidRPr="00DA3766" w:rsidRDefault="003F2129" w:rsidP="005E039F">
      <w:pPr>
        <w:pStyle w:val="005"/>
        <w:spacing w:before="120" w:after="120"/>
        <w:ind w:firstLine="480"/>
      </w:pPr>
    </w:p>
    <w:p w14:paraId="4EFED81B" w14:textId="26B74EDB" w:rsidR="00271340" w:rsidRPr="00DA3766" w:rsidRDefault="00271340" w:rsidP="004F0D74">
      <w:pPr>
        <w:keepNext/>
        <w:keepLines/>
        <w:widowControl w:val="0"/>
        <w:spacing w:before="120" w:after="120"/>
        <w:ind w:firstLine="480"/>
        <w:jc w:val="both"/>
        <w:outlineLvl w:val="2"/>
        <w:rPr>
          <w:rFonts w:ascii="Times New Roman" w:hAnsi="Times New Roman" w:cs="Times New Roman"/>
          <w:szCs w:val="23"/>
        </w:rPr>
        <w:sectPr w:rsidR="00271340" w:rsidRPr="00DA3766" w:rsidSect="00407341">
          <w:pgSz w:w="11906" w:h="16838"/>
          <w:pgMar w:top="1440" w:right="1797" w:bottom="1440" w:left="1797" w:header="851" w:footer="992" w:gutter="0"/>
          <w:cols w:space="425"/>
          <w:docGrid w:linePitch="312"/>
        </w:sectPr>
      </w:pPr>
    </w:p>
    <w:p w14:paraId="153067A6" w14:textId="77777777" w:rsidR="004F0D74" w:rsidRPr="00DA3766" w:rsidRDefault="004F0D74" w:rsidP="004F0D74">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lastRenderedPageBreak/>
        <w:t>报告期各期，上市公司第四季度收入确认的主要客户、合同签订时间、合同金额、合同的实施期间、验收日期、收入金额、收入确认的具体依据、相关收入期后回款情况如下：</w:t>
      </w:r>
    </w:p>
    <w:p w14:paraId="3B1DDD5A" w14:textId="77777777" w:rsidR="003F2129" w:rsidRPr="00DA3766" w:rsidRDefault="003F2129" w:rsidP="00BF5BFE">
      <w:pPr>
        <w:pStyle w:val="009"/>
      </w:pPr>
      <w:r w:rsidRPr="00DA3766">
        <w:t>单位：万元</w:t>
      </w:r>
    </w:p>
    <w:tbl>
      <w:tblPr>
        <w:tblW w:w="1592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5"/>
        <w:gridCol w:w="1228"/>
        <w:gridCol w:w="1606"/>
        <w:gridCol w:w="1203"/>
        <w:gridCol w:w="1065"/>
        <w:gridCol w:w="3213"/>
        <w:gridCol w:w="850"/>
        <w:gridCol w:w="1276"/>
        <w:gridCol w:w="1240"/>
        <w:gridCol w:w="1333"/>
        <w:gridCol w:w="1370"/>
      </w:tblGrid>
      <w:tr w:rsidR="003F2129" w:rsidRPr="00DA3766" w14:paraId="34183334" w14:textId="77777777" w:rsidTr="00635015">
        <w:trPr>
          <w:trHeight w:val="397"/>
          <w:tblHeader/>
          <w:jc w:val="center"/>
        </w:trPr>
        <w:tc>
          <w:tcPr>
            <w:tcW w:w="15929" w:type="dxa"/>
            <w:gridSpan w:val="11"/>
            <w:vAlign w:val="center"/>
          </w:tcPr>
          <w:p w14:paraId="03C1925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年第四季度</w:t>
            </w:r>
          </w:p>
        </w:tc>
      </w:tr>
      <w:tr w:rsidR="003F2129" w:rsidRPr="00DA3766" w14:paraId="3003BF9B" w14:textId="77777777" w:rsidTr="00635015">
        <w:trPr>
          <w:trHeight w:val="397"/>
          <w:tblHeader/>
          <w:jc w:val="center"/>
        </w:trPr>
        <w:tc>
          <w:tcPr>
            <w:tcW w:w="1545" w:type="dxa"/>
            <w:vAlign w:val="center"/>
          </w:tcPr>
          <w:p w14:paraId="1F7127B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主要客户</w:t>
            </w:r>
          </w:p>
        </w:tc>
        <w:tc>
          <w:tcPr>
            <w:tcW w:w="1228" w:type="dxa"/>
            <w:vAlign w:val="center"/>
          </w:tcPr>
          <w:p w14:paraId="530C3D9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客户类型</w:t>
            </w:r>
          </w:p>
        </w:tc>
        <w:tc>
          <w:tcPr>
            <w:tcW w:w="1606" w:type="dxa"/>
            <w:vAlign w:val="center"/>
          </w:tcPr>
          <w:p w14:paraId="17A39B9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项目类型</w:t>
            </w:r>
          </w:p>
        </w:tc>
        <w:tc>
          <w:tcPr>
            <w:tcW w:w="1203" w:type="dxa"/>
            <w:vAlign w:val="center"/>
          </w:tcPr>
          <w:p w14:paraId="7A95434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合同签订时间</w:t>
            </w:r>
          </w:p>
        </w:tc>
        <w:tc>
          <w:tcPr>
            <w:tcW w:w="1065" w:type="dxa"/>
            <w:vAlign w:val="center"/>
          </w:tcPr>
          <w:p w14:paraId="4B43D17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合同金额</w:t>
            </w:r>
          </w:p>
        </w:tc>
        <w:tc>
          <w:tcPr>
            <w:tcW w:w="3213" w:type="dxa"/>
            <w:vAlign w:val="center"/>
          </w:tcPr>
          <w:p w14:paraId="03C6A842"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合同的实施期间项目名称</w:t>
            </w:r>
          </w:p>
        </w:tc>
        <w:tc>
          <w:tcPr>
            <w:tcW w:w="850" w:type="dxa"/>
            <w:vAlign w:val="center"/>
          </w:tcPr>
          <w:p w14:paraId="7731950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合同施工周期（天）</w:t>
            </w:r>
          </w:p>
        </w:tc>
        <w:tc>
          <w:tcPr>
            <w:tcW w:w="1276" w:type="dxa"/>
            <w:vAlign w:val="center"/>
          </w:tcPr>
          <w:p w14:paraId="442F68C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终验日期</w:t>
            </w:r>
          </w:p>
        </w:tc>
        <w:tc>
          <w:tcPr>
            <w:tcW w:w="1240" w:type="dxa"/>
            <w:vAlign w:val="center"/>
          </w:tcPr>
          <w:p w14:paraId="69D3E43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收入金额</w:t>
            </w:r>
          </w:p>
        </w:tc>
        <w:tc>
          <w:tcPr>
            <w:tcW w:w="1333" w:type="dxa"/>
            <w:vAlign w:val="center"/>
          </w:tcPr>
          <w:p w14:paraId="00E74C8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收入确认的具体依据</w:t>
            </w:r>
          </w:p>
        </w:tc>
        <w:tc>
          <w:tcPr>
            <w:tcW w:w="1370" w:type="dxa"/>
            <w:vAlign w:val="center"/>
          </w:tcPr>
          <w:p w14:paraId="4470A20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相关收入期后回款情况</w:t>
            </w:r>
          </w:p>
        </w:tc>
      </w:tr>
      <w:tr w:rsidR="003F2129" w:rsidRPr="00DA3766" w14:paraId="492D4270" w14:textId="77777777" w:rsidTr="00635015">
        <w:trPr>
          <w:trHeight w:val="397"/>
          <w:jc w:val="center"/>
        </w:trPr>
        <w:tc>
          <w:tcPr>
            <w:tcW w:w="1545" w:type="dxa"/>
            <w:vAlign w:val="center"/>
          </w:tcPr>
          <w:p w14:paraId="1ADA67F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祥云县住房和城乡建设局</w:t>
            </w:r>
          </w:p>
        </w:tc>
        <w:tc>
          <w:tcPr>
            <w:tcW w:w="1228" w:type="dxa"/>
            <w:vAlign w:val="center"/>
          </w:tcPr>
          <w:p w14:paraId="47D238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66D72F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6855A6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2023/6/9</w:t>
            </w:r>
          </w:p>
        </w:tc>
        <w:tc>
          <w:tcPr>
            <w:tcW w:w="1065" w:type="dxa"/>
            <w:vAlign w:val="center"/>
          </w:tcPr>
          <w:p w14:paraId="38D516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4,886.53</w:t>
            </w:r>
          </w:p>
        </w:tc>
        <w:tc>
          <w:tcPr>
            <w:tcW w:w="3213" w:type="dxa"/>
            <w:vAlign w:val="center"/>
          </w:tcPr>
          <w:p w14:paraId="61D91D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大理市祥云县城市建设智能化提级改造项目</w:t>
            </w:r>
          </w:p>
        </w:tc>
        <w:tc>
          <w:tcPr>
            <w:tcW w:w="850" w:type="dxa"/>
            <w:vAlign w:val="center"/>
          </w:tcPr>
          <w:p w14:paraId="61412B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w:t>
            </w:r>
          </w:p>
        </w:tc>
        <w:tc>
          <w:tcPr>
            <w:tcW w:w="1276" w:type="dxa"/>
            <w:vAlign w:val="center"/>
          </w:tcPr>
          <w:p w14:paraId="1C328E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5A838A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1,168.42</w:t>
            </w:r>
          </w:p>
        </w:tc>
        <w:tc>
          <w:tcPr>
            <w:tcW w:w="1333" w:type="dxa"/>
            <w:vAlign w:val="center"/>
          </w:tcPr>
          <w:p w14:paraId="035FED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122FA72E"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04054FB4" w14:textId="77777777" w:rsidTr="00635015">
        <w:trPr>
          <w:trHeight w:val="397"/>
          <w:jc w:val="center"/>
        </w:trPr>
        <w:tc>
          <w:tcPr>
            <w:tcW w:w="1545" w:type="dxa"/>
            <w:vMerge w:val="restart"/>
            <w:vAlign w:val="center"/>
          </w:tcPr>
          <w:p w14:paraId="685A9B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数字广东网络建设有限公司</w:t>
            </w:r>
          </w:p>
        </w:tc>
        <w:tc>
          <w:tcPr>
            <w:tcW w:w="1228" w:type="dxa"/>
            <w:vMerge w:val="restart"/>
            <w:vAlign w:val="center"/>
          </w:tcPr>
          <w:p w14:paraId="77089A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021E9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50080F5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2023/9/7</w:t>
            </w:r>
          </w:p>
        </w:tc>
        <w:tc>
          <w:tcPr>
            <w:tcW w:w="1065" w:type="dxa"/>
            <w:vAlign w:val="center"/>
          </w:tcPr>
          <w:p w14:paraId="60418B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825.81</w:t>
            </w:r>
          </w:p>
        </w:tc>
        <w:tc>
          <w:tcPr>
            <w:tcW w:w="3213" w:type="dxa"/>
            <w:vAlign w:val="center"/>
          </w:tcPr>
          <w:p w14:paraId="4D82EA2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汕头市一体化政务服务平台</w:t>
            </w:r>
          </w:p>
        </w:tc>
        <w:tc>
          <w:tcPr>
            <w:tcW w:w="850" w:type="dxa"/>
            <w:vAlign w:val="center"/>
          </w:tcPr>
          <w:p w14:paraId="325E5F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448</w:t>
            </w:r>
          </w:p>
        </w:tc>
        <w:tc>
          <w:tcPr>
            <w:tcW w:w="1276" w:type="dxa"/>
            <w:vAlign w:val="center"/>
          </w:tcPr>
          <w:p w14:paraId="69833A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2024/11/28</w:t>
            </w:r>
          </w:p>
        </w:tc>
        <w:tc>
          <w:tcPr>
            <w:tcW w:w="1240" w:type="dxa"/>
            <w:vAlign w:val="center"/>
          </w:tcPr>
          <w:p w14:paraId="6A632C2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776.34</w:t>
            </w:r>
          </w:p>
        </w:tc>
        <w:tc>
          <w:tcPr>
            <w:tcW w:w="1333" w:type="dxa"/>
            <w:vAlign w:val="center"/>
          </w:tcPr>
          <w:p w14:paraId="79A26F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7A6C5F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552.00</w:t>
            </w:r>
          </w:p>
        </w:tc>
      </w:tr>
      <w:tr w:rsidR="003F2129" w:rsidRPr="00DA3766" w14:paraId="74D8EB49" w14:textId="77777777" w:rsidTr="00635015">
        <w:trPr>
          <w:trHeight w:val="397"/>
          <w:jc w:val="center"/>
        </w:trPr>
        <w:tc>
          <w:tcPr>
            <w:tcW w:w="1545" w:type="dxa"/>
            <w:vMerge/>
            <w:vAlign w:val="center"/>
          </w:tcPr>
          <w:p w14:paraId="5ACF5D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055BC8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542F60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8A5B5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2024/2/7</w:t>
            </w:r>
          </w:p>
        </w:tc>
        <w:tc>
          <w:tcPr>
            <w:tcW w:w="1065" w:type="dxa"/>
            <w:vAlign w:val="center"/>
          </w:tcPr>
          <w:p w14:paraId="483EDC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22.58</w:t>
            </w:r>
          </w:p>
        </w:tc>
        <w:tc>
          <w:tcPr>
            <w:tcW w:w="3213" w:type="dxa"/>
            <w:vAlign w:val="center"/>
          </w:tcPr>
          <w:p w14:paraId="2EA634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汕头市政务服务数据管理局</w:t>
            </w:r>
            <w:r w:rsidRPr="00DA3766">
              <w:rPr>
                <w:rFonts w:ascii="Times New Roman" w:hAnsi="Times New Roman" w:cs="Times New Roman"/>
                <w:color w:val="000000"/>
                <w:kern w:val="2"/>
                <w:sz w:val="21"/>
                <w14:ligatures w14:val="standardContextual"/>
              </w:rPr>
              <w:t>2023</w:t>
            </w:r>
            <w:r w:rsidRPr="00DA3766">
              <w:rPr>
                <w:rFonts w:ascii="Times New Roman" w:hAnsi="Times New Roman" w:cs="Times New Roman"/>
                <w:color w:val="000000"/>
                <w:kern w:val="2"/>
                <w:sz w:val="21"/>
                <w14:ligatures w14:val="standardContextual"/>
              </w:rPr>
              <w:t>年提升便利化项目（不见面审批专区）</w:t>
            </w:r>
          </w:p>
        </w:tc>
        <w:tc>
          <w:tcPr>
            <w:tcW w:w="850" w:type="dxa"/>
            <w:vAlign w:val="center"/>
          </w:tcPr>
          <w:p w14:paraId="394701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w:t>
            </w:r>
          </w:p>
        </w:tc>
        <w:tc>
          <w:tcPr>
            <w:tcW w:w="1276" w:type="dxa"/>
            <w:vAlign w:val="center"/>
          </w:tcPr>
          <w:p w14:paraId="7400A9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2024/10/31</w:t>
            </w:r>
          </w:p>
        </w:tc>
        <w:tc>
          <w:tcPr>
            <w:tcW w:w="1240" w:type="dxa"/>
            <w:vAlign w:val="center"/>
          </w:tcPr>
          <w:p w14:paraId="5874EE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21.30</w:t>
            </w:r>
          </w:p>
        </w:tc>
        <w:tc>
          <w:tcPr>
            <w:tcW w:w="1333" w:type="dxa"/>
            <w:vAlign w:val="center"/>
          </w:tcPr>
          <w:p w14:paraId="18DEFC5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D83657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22.58</w:t>
            </w:r>
          </w:p>
        </w:tc>
      </w:tr>
      <w:tr w:rsidR="003F2129" w:rsidRPr="00DA3766" w14:paraId="4F029A1F" w14:textId="77777777" w:rsidTr="00635015">
        <w:trPr>
          <w:trHeight w:val="397"/>
          <w:jc w:val="center"/>
        </w:trPr>
        <w:tc>
          <w:tcPr>
            <w:tcW w:w="1545" w:type="dxa"/>
            <w:vMerge w:val="restart"/>
            <w:vAlign w:val="center"/>
          </w:tcPr>
          <w:p w14:paraId="40C733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14:paraId="351FCD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02944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6A3D16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2024/11/7</w:t>
            </w:r>
          </w:p>
        </w:tc>
        <w:tc>
          <w:tcPr>
            <w:tcW w:w="1065" w:type="dxa"/>
            <w:vAlign w:val="center"/>
          </w:tcPr>
          <w:p w14:paraId="44A7B5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96.36</w:t>
            </w:r>
          </w:p>
        </w:tc>
        <w:tc>
          <w:tcPr>
            <w:tcW w:w="3213" w:type="dxa"/>
            <w:vAlign w:val="center"/>
          </w:tcPr>
          <w:p w14:paraId="70F7A8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网上督察视频系统升级改造项目</w:t>
            </w:r>
          </w:p>
        </w:tc>
        <w:tc>
          <w:tcPr>
            <w:tcW w:w="850" w:type="dxa"/>
            <w:vAlign w:val="center"/>
          </w:tcPr>
          <w:p w14:paraId="681AA8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w:t>
            </w:r>
          </w:p>
        </w:tc>
        <w:tc>
          <w:tcPr>
            <w:tcW w:w="1276" w:type="dxa"/>
            <w:vAlign w:val="center"/>
          </w:tcPr>
          <w:p w14:paraId="61AC34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265DB8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126.01</w:t>
            </w:r>
          </w:p>
        </w:tc>
        <w:tc>
          <w:tcPr>
            <w:tcW w:w="1333" w:type="dxa"/>
            <w:vAlign w:val="center"/>
          </w:tcPr>
          <w:p w14:paraId="747C99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B163BD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0459C6BD" w14:textId="77777777" w:rsidTr="00635015">
        <w:trPr>
          <w:trHeight w:val="397"/>
          <w:jc w:val="center"/>
        </w:trPr>
        <w:tc>
          <w:tcPr>
            <w:tcW w:w="1545" w:type="dxa"/>
            <w:vMerge/>
            <w:vAlign w:val="center"/>
          </w:tcPr>
          <w:p w14:paraId="31DF6A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2FA50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37DC7E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0E7EE7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2024/6/27</w:t>
            </w:r>
          </w:p>
        </w:tc>
        <w:tc>
          <w:tcPr>
            <w:tcW w:w="1065" w:type="dxa"/>
            <w:vAlign w:val="center"/>
          </w:tcPr>
          <w:p w14:paraId="7CB3B4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135.69</w:t>
            </w:r>
          </w:p>
        </w:tc>
        <w:tc>
          <w:tcPr>
            <w:tcW w:w="3213" w:type="dxa"/>
            <w:vAlign w:val="center"/>
          </w:tcPr>
          <w:p w14:paraId="1532B6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年南澳政务外网升级改造项目</w:t>
            </w:r>
          </w:p>
        </w:tc>
        <w:tc>
          <w:tcPr>
            <w:tcW w:w="850" w:type="dxa"/>
            <w:vAlign w:val="center"/>
          </w:tcPr>
          <w:p w14:paraId="559725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160</w:t>
            </w:r>
          </w:p>
        </w:tc>
        <w:tc>
          <w:tcPr>
            <w:tcW w:w="1276" w:type="dxa"/>
            <w:vAlign w:val="center"/>
          </w:tcPr>
          <w:p w14:paraId="228F15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2024/12/4</w:t>
            </w:r>
          </w:p>
        </w:tc>
        <w:tc>
          <w:tcPr>
            <w:tcW w:w="1240" w:type="dxa"/>
            <w:vAlign w:val="center"/>
          </w:tcPr>
          <w:p w14:paraId="6633142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120.08</w:t>
            </w:r>
          </w:p>
        </w:tc>
        <w:tc>
          <w:tcPr>
            <w:tcW w:w="1333" w:type="dxa"/>
            <w:vAlign w:val="center"/>
          </w:tcPr>
          <w:p w14:paraId="509923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1DE20EA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135.69</w:t>
            </w:r>
          </w:p>
        </w:tc>
      </w:tr>
      <w:tr w:rsidR="003F2129" w:rsidRPr="00DA3766" w14:paraId="25A9623D" w14:textId="77777777" w:rsidTr="00635015">
        <w:trPr>
          <w:trHeight w:val="397"/>
          <w:jc w:val="center"/>
        </w:trPr>
        <w:tc>
          <w:tcPr>
            <w:tcW w:w="1545" w:type="dxa"/>
            <w:vMerge/>
            <w:vAlign w:val="center"/>
          </w:tcPr>
          <w:p w14:paraId="0329E3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790991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F103F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D65E2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2024/6/26</w:t>
            </w:r>
          </w:p>
        </w:tc>
        <w:tc>
          <w:tcPr>
            <w:tcW w:w="1065" w:type="dxa"/>
            <w:vAlign w:val="center"/>
          </w:tcPr>
          <w:p w14:paraId="38A668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89.00</w:t>
            </w:r>
          </w:p>
        </w:tc>
        <w:tc>
          <w:tcPr>
            <w:tcW w:w="3213" w:type="dxa"/>
            <w:vAlign w:val="center"/>
          </w:tcPr>
          <w:p w14:paraId="630C847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弱电系统室内基础装修项目</w:t>
            </w:r>
          </w:p>
        </w:tc>
        <w:tc>
          <w:tcPr>
            <w:tcW w:w="850" w:type="dxa"/>
            <w:vAlign w:val="center"/>
          </w:tcPr>
          <w:p w14:paraId="724345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180</w:t>
            </w:r>
          </w:p>
        </w:tc>
        <w:tc>
          <w:tcPr>
            <w:tcW w:w="1276" w:type="dxa"/>
            <w:vAlign w:val="center"/>
          </w:tcPr>
          <w:p w14:paraId="19CEA2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2024/12/23</w:t>
            </w:r>
          </w:p>
        </w:tc>
        <w:tc>
          <w:tcPr>
            <w:tcW w:w="1240" w:type="dxa"/>
            <w:vAlign w:val="center"/>
          </w:tcPr>
          <w:p w14:paraId="2749A3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81.65</w:t>
            </w:r>
          </w:p>
        </w:tc>
        <w:tc>
          <w:tcPr>
            <w:tcW w:w="1333" w:type="dxa"/>
            <w:vAlign w:val="center"/>
          </w:tcPr>
          <w:p w14:paraId="4F03724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2446A28"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607ABB75" w14:textId="77777777" w:rsidTr="00635015">
        <w:trPr>
          <w:trHeight w:val="397"/>
          <w:jc w:val="center"/>
        </w:trPr>
        <w:tc>
          <w:tcPr>
            <w:tcW w:w="1545" w:type="dxa"/>
            <w:vAlign w:val="center"/>
          </w:tcPr>
          <w:p w14:paraId="6E2A929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中山大学附属仁济医院</w:t>
            </w:r>
          </w:p>
        </w:tc>
        <w:tc>
          <w:tcPr>
            <w:tcW w:w="1228" w:type="dxa"/>
            <w:vAlign w:val="center"/>
          </w:tcPr>
          <w:p w14:paraId="724712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医疗系统</w:t>
            </w:r>
          </w:p>
        </w:tc>
        <w:tc>
          <w:tcPr>
            <w:tcW w:w="1606" w:type="dxa"/>
            <w:vAlign w:val="center"/>
          </w:tcPr>
          <w:p w14:paraId="2BB01C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1E5164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2024/10/31</w:t>
            </w:r>
          </w:p>
        </w:tc>
        <w:tc>
          <w:tcPr>
            <w:tcW w:w="1065" w:type="dxa"/>
            <w:vAlign w:val="center"/>
          </w:tcPr>
          <w:p w14:paraId="339587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334.53</w:t>
            </w:r>
          </w:p>
        </w:tc>
        <w:tc>
          <w:tcPr>
            <w:tcW w:w="3213" w:type="dxa"/>
            <w:vAlign w:val="center"/>
          </w:tcPr>
          <w:p w14:paraId="0A86E6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省第四季度集采</w:t>
            </w:r>
          </w:p>
        </w:tc>
        <w:tc>
          <w:tcPr>
            <w:tcW w:w="850" w:type="dxa"/>
            <w:vAlign w:val="center"/>
          </w:tcPr>
          <w:p w14:paraId="7433D4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w:t>
            </w:r>
          </w:p>
        </w:tc>
        <w:tc>
          <w:tcPr>
            <w:tcW w:w="1276" w:type="dxa"/>
            <w:vAlign w:val="center"/>
          </w:tcPr>
          <w:p w14:paraId="035B60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63837E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296.04</w:t>
            </w:r>
          </w:p>
        </w:tc>
        <w:tc>
          <w:tcPr>
            <w:tcW w:w="1333" w:type="dxa"/>
            <w:vAlign w:val="center"/>
          </w:tcPr>
          <w:p w14:paraId="469004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1E027CCE"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334.53</w:t>
            </w:r>
          </w:p>
        </w:tc>
      </w:tr>
      <w:tr w:rsidR="003F2129" w:rsidRPr="00DA3766" w14:paraId="0313C927" w14:textId="77777777" w:rsidTr="00635015">
        <w:trPr>
          <w:trHeight w:val="397"/>
          <w:jc w:val="center"/>
        </w:trPr>
        <w:tc>
          <w:tcPr>
            <w:tcW w:w="1545" w:type="dxa"/>
            <w:vAlign w:val="center"/>
          </w:tcPr>
          <w:p w14:paraId="5F7662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汕头市公安局濠江分局</w:t>
            </w:r>
          </w:p>
        </w:tc>
        <w:tc>
          <w:tcPr>
            <w:tcW w:w="1228" w:type="dxa"/>
            <w:vAlign w:val="center"/>
          </w:tcPr>
          <w:p w14:paraId="5BAAD1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4326B2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E89008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2024/4/19</w:t>
            </w:r>
          </w:p>
        </w:tc>
        <w:tc>
          <w:tcPr>
            <w:tcW w:w="1065" w:type="dxa"/>
            <w:vAlign w:val="center"/>
          </w:tcPr>
          <w:p w14:paraId="28E6EFA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518.84</w:t>
            </w:r>
          </w:p>
        </w:tc>
        <w:tc>
          <w:tcPr>
            <w:tcW w:w="3213" w:type="dxa"/>
            <w:vAlign w:val="center"/>
          </w:tcPr>
          <w:p w14:paraId="3E857A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汕头市公安局濠江分局</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平安濠江</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视频监控系统维护保养项目</w:t>
            </w:r>
          </w:p>
        </w:tc>
        <w:tc>
          <w:tcPr>
            <w:tcW w:w="850" w:type="dxa"/>
            <w:vAlign w:val="center"/>
          </w:tcPr>
          <w:p w14:paraId="21AB9D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w:t>
            </w:r>
          </w:p>
        </w:tc>
        <w:tc>
          <w:tcPr>
            <w:tcW w:w="1276" w:type="dxa"/>
            <w:vAlign w:val="center"/>
          </w:tcPr>
          <w:p w14:paraId="4FB504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2024/11/7</w:t>
            </w:r>
          </w:p>
        </w:tc>
        <w:tc>
          <w:tcPr>
            <w:tcW w:w="1240" w:type="dxa"/>
            <w:vAlign w:val="center"/>
          </w:tcPr>
          <w:p w14:paraId="6E6AD6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272.02</w:t>
            </w:r>
          </w:p>
        </w:tc>
        <w:tc>
          <w:tcPr>
            <w:tcW w:w="1333" w:type="dxa"/>
            <w:vAlign w:val="center"/>
          </w:tcPr>
          <w:p w14:paraId="13BA69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15C757A"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r>
      <w:tr w:rsidR="003F2129" w:rsidRPr="00DA3766" w14:paraId="088234FE" w14:textId="77777777" w:rsidTr="00635015">
        <w:trPr>
          <w:trHeight w:val="397"/>
          <w:jc w:val="center"/>
        </w:trPr>
        <w:tc>
          <w:tcPr>
            <w:tcW w:w="14559" w:type="dxa"/>
            <w:gridSpan w:val="10"/>
            <w:vAlign w:val="center"/>
          </w:tcPr>
          <w:p w14:paraId="29188C2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2DC5636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36.68%</w:t>
            </w:r>
          </w:p>
        </w:tc>
      </w:tr>
      <w:tr w:rsidR="003F2129" w:rsidRPr="00BF5BFE" w14:paraId="1F734AB3" w14:textId="77777777" w:rsidTr="00635015">
        <w:trPr>
          <w:trHeight w:val="397"/>
          <w:jc w:val="center"/>
        </w:trPr>
        <w:tc>
          <w:tcPr>
            <w:tcW w:w="15929" w:type="dxa"/>
            <w:gridSpan w:val="11"/>
            <w:vAlign w:val="center"/>
          </w:tcPr>
          <w:p w14:paraId="0637A2F5" w14:textId="77777777" w:rsidR="003F2129" w:rsidRPr="00BF5BFE"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BF5BFE">
              <w:rPr>
                <w:rFonts w:ascii="Times New Roman" w:hAnsi="Times New Roman" w:cs="Times New Roman"/>
                <w:b/>
                <w:color w:val="000000"/>
                <w:kern w:val="2"/>
                <w:sz w:val="21"/>
                <w14:ligatures w14:val="standardContextual"/>
              </w:rPr>
              <w:t>2023</w:t>
            </w:r>
            <w:r w:rsidRPr="00BF5BFE">
              <w:rPr>
                <w:rFonts w:ascii="Times New Roman" w:hAnsi="Times New Roman" w:cs="Times New Roman"/>
                <w:b/>
                <w:color w:val="000000"/>
                <w:kern w:val="2"/>
                <w:sz w:val="21"/>
                <w14:ligatures w14:val="standardContextual"/>
              </w:rPr>
              <w:t>年第四季度</w:t>
            </w:r>
          </w:p>
        </w:tc>
      </w:tr>
      <w:tr w:rsidR="003F2129" w:rsidRPr="00DA3766" w14:paraId="4FBB574D" w14:textId="77777777" w:rsidTr="00635015">
        <w:trPr>
          <w:trHeight w:val="397"/>
          <w:jc w:val="center"/>
        </w:trPr>
        <w:tc>
          <w:tcPr>
            <w:tcW w:w="1545" w:type="dxa"/>
            <w:vAlign w:val="center"/>
          </w:tcPr>
          <w:p w14:paraId="250589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w:t>
            </w:r>
            <w:r w:rsidRPr="00DA3766">
              <w:rPr>
                <w:rFonts w:ascii="Times New Roman" w:hAnsi="Times New Roman" w:cs="Times New Roman"/>
                <w:color w:val="000000"/>
                <w:kern w:val="2"/>
                <w:sz w:val="21"/>
                <w14:ligatures w14:val="standardContextual"/>
              </w:rPr>
              <w:lastRenderedPageBreak/>
              <w:t>有限公司汕头分公司</w:t>
            </w:r>
          </w:p>
        </w:tc>
        <w:tc>
          <w:tcPr>
            <w:tcW w:w="1228" w:type="dxa"/>
            <w:vAlign w:val="center"/>
          </w:tcPr>
          <w:p w14:paraId="607D75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央国企</w:t>
            </w:r>
          </w:p>
        </w:tc>
        <w:tc>
          <w:tcPr>
            <w:tcW w:w="1606" w:type="dxa"/>
            <w:vAlign w:val="center"/>
          </w:tcPr>
          <w:p w14:paraId="480CAA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90287B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2022/11/16</w:t>
            </w:r>
          </w:p>
        </w:tc>
        <w:tc>
          <w:tcPr>
            <w:tcW w:w="1065" w:type="dxa"/>
            <w:vAlign w:val="center"/>
          </w:tcPr>
          <w:p w14:paraId="611E601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4,847.84</w:t>
            </w:r>
          </w:p>
        </w:tc>
        <w:tc>
          <w:tcPr>
            <w:tcW w:w="3213" w:type="dxa"/>
            <w:vAlign w:val="center"/>
          </w:tcPr>
          <w:p w14:paraId="6559F5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汕头市潮南区智慧交通建设项目</w:t>
            </w:r>
          </w:p>
        </w:tc>
        <w:tc>
          <w:tcPr>
            <w:tcW w:w="850" w:type="dxa"/>
            <w:vAlign w:val="center"/>
          </w:tcPr>
          <w:p w14:paraId="471BD11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408</w:t>
            </w:r>
          </w:p>
        </w:tc>
        <w:tc>
          <w:tcPr>
            <w:tcW w:w="1276" w:type="dxa"/>
            <w:vAlign w:val="center"/>
          </w:tcPr>
          <w:p w14:paraId="11321F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4ADC183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4,304.06</w:t>
            </w:r>
          </w:p>
        </w:tc>
        <w:tc>
          <w:tcPr>
            <w:tcW w:w="1333" w:type="dxa"/>
            <w:vAlign w:val="center"/>
          </w:tcPr>
          <w:p w14:paraId="7898FD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04D477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4,090.06</w:t>
            </w:r>
          </w:p>
        </w:tc>
      </w:tr>
      <w:tr w:rsidR="003F2129" w:rsidRPr="00DA3766" w14:paraId="3AB61C96" w14:textId="77777777" w:rsidTr="00635015">
        <w:trPr>
          <w:trHeight w:val="397"/>
          <w:jc w:val="center"/>
        </w:trPr>
        <w:tc>
          <w:tcPr>
            <w:tcW w:w="1545" w:type="dxa"/>
            <w:vMerge w:val="restart"/>
            <w:vAlign w:val="center"/>
          </w:tcPr>
          <w:p w14:paraId="6111123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w:t>
            </w:r>
          </w:p>
        </w:tc>
        <w:tc>
          <w:tcPr>
            <w:tcW w:w="1228" w:type="dxa"/>
            <w:vMerge w:val="restart"/>
            <w:vAlign w:val="center"/>
          </w:tcPr>
          <w:p w14:paraId="66F4C1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56B94F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1E39DA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2023/6/13</w:t>
            </w:r>
          </w:p>
        </w:tc>
        <w:tc>
          <w:tcPr>
            <w:tcW w:w="1065" w:type="dxa"/>
            <w:vAlign w:val="center"/>
          </w:tcPr>
          <w:p w14:paraId="2C73EB1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1,911.56</w:t>
            </w:r>
          </w:p>
        </w:tc>
        <w:tc>
          <w:tcPr>
            <w:tcW w:w="3213" w:type="dxa"/>
            <w:vAlign w:val="center"/>
          </w:tcPr>
          <w:p w14:paraId="760E4C5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广东南方通信建设有限公司系统集成项目</w:t>
            </w:r>
          </w:p>
        </w:tc>
        <w:tc>
          <w:tcPr>
            <w:tcW w:w="850" w:type="dxa"/>
            <w:vAlign w:val="center"/>
          </w:tcPr>
          <w:p w14:paraId="1D9352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w:t>
            </w:r>
          </w:p>
        </w:tc>
        <w:tc>
          <w:tcPr>
            <w:tcW w:w="1276" w:type="dxa"/>
            <w:vAlign w:val="center"/>
          </w:tcPr>
          <w:p w14:paraId="37D337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D0702E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1,696.77</w:t>
            </w:r>
          </w:p>
        </w:tc>
        <w:tc>
          <w:tcPr>
            <w:tcW w:w="1333" w:type="dxa"/>
            <w:vAlign w:val="center"/>
          </w:tcPr>
          <w:p w14:paraId="51061F5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2EE4AB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1,805.09</w:t>
            </w:r>
          </w:p>
        </w:tc>
      </w:tr>
      <w:tr w:rsidR="003F2129" w:rsidRPr="00DA3766" w14:paraId="62CCCD6F" w14:textId="77777777" w:rsidTr="00635015">
        <w:trPr>
          <w:trHeight w:val="397"/>
          <w:jc w:val="center"/>
        </w:trPr>
        <w:tc>
          <w:tcPr>
            <w:tcW w:w="1545" w:type="dxa"/>
            <w:vMerge/>
            <w:vAlign w:val="center"/>
          </w:tcPr>
          <w:p w14:paraId="77737D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24B312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04E0D4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403BDE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2023/6/25</w:t>
            </w:r>
          </w:p>
        </w:tc>
        <w:tc>
          <w:tcPr>
            <w:tcW w:w="1065" w:type="dxa"/>
            <w:vAlign w:val="center"/>
          </w:tcPr>
          <w:p w14:paraId="53D42F1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751.00</w:t>
            </w:r>
          </w:p>
        </w:tc>
        <w:tc>
          <w:tcPr>
            <w:tcW w:w="3213" w:type="dxa"/>
            <w:vAlign w:val="center"/>
          </w:tcPr>
          <w:p w14:paraId="0E1E731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广东南方通信建设有限公司材料采购合同</w:t>
            </w:r>
          </w:p>
        </w:tc>
        <w:tc>
          <w:tcPr>
            <w:tcW w:w="850" w:type="dxa"/>
            <w:vAlign w:val="center"/>
          </w:tcPr>
          <w:p w14:paraId="41324A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128</w:t>
            </w:r>
          </w:p>
        </w:tc>
        <w:tc>
          <w:tcPr>
            <w:tcW w:w="1276" w:type="dxa"/>
            <w:vAlign w:val="center"/>
          </w:tcPr>
          <w:p w14:paraId="415AD7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2023/10/31</w:t>
            </w:r>
          </w:p>
        </w:tc>
        <w:tc>
          <w:tcPr>
            <w:tcW w:w="1240" w:type="dxa"/>
            <w:vAlign w:val="center"/>
          </w:tcPr>
          <w:p w14:paraId="550FF8A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664.60</w:t>
            </w:r>
          </w:p>
        </w:tc>
        <w:tc>
          <w:tcPr>
            <w:tcW w:w="1333" w:type="dxa"/>
            <w:vAlign w:val="center"/>
          </w:tcPr>
          <w:p w14:paraId="60C340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3D9A481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751.00</w:t>
            </w:r>
          </w:p>
        </w:tc>
      </w:tr>
      <w:tr w:rsidR="003F2129" w:rsidRPr="00DA3766" w14:paraId="691BD1C0" w14:textId="77777777" w:rsidTr="00635015">
        <w:trPr>
          <w:trHeight w:val="397"/>
          <w:jc w:val="center"/>
        </w:trPr>
        <w:tc>
          <w:tcPr>
            <w:tcW w:w="1545" w:type="dxa"/>
            <w:vAlign w:val="center"/>
          </w:tcPr>
          <w:p w14:paraId="65F1F9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中铁十一局集团第四工程有限公司</w:t>
            </w:r>
          </w:p>
        </w:tc>
        <w:tc>
          <w:tcPr>
            <w:tcW w:w="1228" w:type="dxa"/>
            <w:vAlign w:val="center"/>
          </w:tcPr>
          <w:p w14:paraId="0F0955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7431B2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18941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2023/2/28</w:t>
            </w:r>
          </w:p>
        </w:tc>
        <w:tc>
          <w:tcPr>
            <w:tcW w:w="1065" w:type="dxa"/>
            <w:vAlign w:val="center"/>
          </w:tcPr>
          <w:p w14:paraId="79B58503"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6,025.83</w:t>
            </w:r>
          </w:p>
        </w:tc>
        <w:tc>
          <w:tcPr>
            <w:tcW w:w="3213" w:type="dxa"/>
            <w:vAlign w:val="center"/>
          </w:tcPr>
          <w:p w14:paraId="43BCB8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深汕西高速改扩建</w:t>
            </w:r>
            <w:r w:rsidRPr="00DA3766">
              <w:rPr>
                <w:rFonts w:ascii="Times New Roman" w:hAnsi="Times New Roman" w:cs="Times New Roman"/>
                <w:color w:val="000000"/>
                <w:kern w:val="2"/>
                <w:sz w:val="21"/>
                <w14:ligatures w14:val="standardContextual"/>
              </w:rPr>
              <w:t>TJ8</w:t>
            </w:r>
            <w:r w:rsidRPr="00DA3766">
              <w:rPr>
                <w:rFonts w:ascii="Times New Roman" w:hAnsi="Times New Roman" w:cs="Times New Roman"/>
                <w:color w:val="000000"/>
                <w:kern w:val="2"/>
                <w:sz w:val="21"/>
                <w14:ligatures w14:val="standardContextual"/>
              </w:rPr>
              <w:t>合同段交安工程项目</w:t>
            </w:r>
          </w:p>
        </w:tc>
        <w:tc>
          <w:tcPr>
            <w:tcW w:w="850" w:type="dxa"/>
            <w:vAlign w:val="center"/>
          </w:tcPr>
          <w:p w14:paraId="3A0B76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304</w:t>
            </w:r>
          </w:p>
        </w:tc>
        <w:tc>
          <w:tcPr>
            <w:tcW w:w="1276" w:type="dxa"/>
            <w:vAlign w:val="center"/>
          </w:tcPr>
          <w:p w14:paraId="64DB81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3F98DD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2,007.83</w:t>
            </w:r>
          </w:p>
        </w:tc>
        <w:tc>
          <w:tcPr>
            <w:tcW w:w="1333" w:type="dxa"/>
            <w:vAlign w:val="center"/>
          </w:tcPr>
          <w:p w14:paraId="27C2A5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162747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108.45</w:t>
            </w:r>
          </w:p>
        </w:tc>
      </w:tr>
      <w:tr w:rsidR="003F2129" w:rsidRPr="00DA3766" w14:paraId="5B372FFB" w14:textId="77777777" w:rsidTr="00635015">
        <w:trPr>
          <w:trHeight w:val="397"/>
          <w:jc w:val="center"/>
        </w:trPr>
        <w:tc>
          <w:tcPr>
            <w:tcW w:w="1545" w:type="dxa"/>
            <w:vMerge w:val="restart"/>
            <w:vAlign w:val="center"/>
          </w:tcPr>
          <w:p w14:paraId="6B4A93C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华海智汇技术有限公司东莞分公司</w:t>
            </w:r>
          </w:p>
        </w:tc>
        <w:tc>
          <w:tcPr>
            <w:tcW w:w="1228" w:type="dxa"/>
            <w:vMerge w:val="restart"/>
            <w:vAlign w:val="center"/>
          </w:tcPr>
          <w:p w14:paraId="271442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企业</w:t>
            </w:r>
          </w:p>
        </w:tc>
        <w:tc>
          <w:tcPr>
            <w:tcW w:w="1606" w:type="dxa"/>
            <w:vAlign w:val="center"/>
          </w:tcPr>
          <w:p w14:paraId="4F3920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D90C5C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2022/8/12</w:t>
            </w:r>
          </w:p>
        </w:tc>
        <w:tc>
          <w:tcPr>
            <w:tcW w:w="1065" w:type="dxa"/>
            <w:vAlign w:val="center"/>
          </w:tcPr>
          <w:p w14:paraId="15FF6E2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1,490.08</w:t>
            </w:r>
          </w:p>
        </w:tc>
        <w:tc>
          <w:tcPr>
            <w:tcW w:w="3213" w:type="dxa"/>
            <w:vAlign w:val="center"/>
          </w:tcPr>
          <w:p w14:paraId="0332B8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东莞市智慧交通建设项目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外场部分采购协议</w:t>
            </w:r>
          </w:p>
        </w:tc>
        <w:tc>
          <w:tcPr>
            <w:tcW w:w="850" w:type="dxa"/>
            <w:vAlign w:val="center"/>
          </w:tcPr>
          <w:p w14:paraId="4BD230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504</w:t>
            </w:r>
          </w:p>
        </w:tc>
        <w:tc>
          <w:tcPr>
            <w:tcW w:w="1276" w:type="dxa"/>
            <w:vAlign w:val="center"/>
          </w:tcPr>
          <w:p w14:paraId="599DAD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110B5B4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1,363.02</w:t>
            </w:r>
          </w:p>
        </w:tc>
        <w:tc>
          <w:tcPr>
            <w:tcW w:w="1333" w:type="dxa"/>
            <w:vAlign w:val="center"/>
          </w:tcPr>
          <w:p w14:paraId="7BBA22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EBE726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1,345.25</w:t>
            </w:r>
          </w:p>
        </w:tc>
      </w:tr>
      <w:tr w:rsidR="003F2129" w:rsidRPr="00DA3766" w14:paraId="653C497A" w14:textId="77777777" w:rsidTr="00635015">
        <w:trPr>
          <w:trHeight w:val="397"/>
          <w:jc w:val="center"/>
        </w:trPr>
        <w:tc>
          <w:tcPr>
            <w:tcW w:w="1545" w:type="dxa"/>
            <w:vMerge/>
            <w:vAlign w:val="center"/>
          </w:tcPr>
          <w:p w14:paraId="6F389F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A41554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677068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E6E26F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2022/7/28</w:t>
            </w:r>
          </w:p>
        </w:tc>
        <w:tc>
          <w:tcPr>
            <w:tcW w:w="1065" w:type="dxa"/>
            <w:vAlign w:val="center"/>
          </w:tcPr>
          <w:p w14:paraId="42D9E6EA"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205.00</w:t>
            </w:r>
          </w:p>
        </w:tc>
        <w:tc>
          <w:tcPr>
            <w:tcW w:w="3213" w:type="dxa"/>
            <w:vAlign w:val="center"/>
          </w:tcPr>
          <w:p w14:paraId="3C7C6B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东莞市智慧交通建设项目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交警指挥大厅部分采购协议</w:t>
            </w:r>
          </w:p>
        </w:tc>
        <w:tc>
          <w:tcPr>
            <w:tcW w:w="850" w:type="dxa"/>
            <w:vAlign w:val="center"/>
          </w:tcPr>
          <w:p w14:paraId="0C2CA5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519</w:t>
            </w:r>
          </w:p>
        </w:tc>
        <w:tc>
          <w:tcPr>
            <w:tcW w:w="1276" w:type="dxa"/>
            <w:vAlign w:val="center"/>
          </w:tcPr>
          <w:p w14:paraId="27E5C6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4EB6B2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183.85</w:t>
            </w:r>
          </w:p>
        </w:tc>
        <w:tc>
          <w:tcPr>
            <w:tcW w:w="1333" w:type="dxa"/>
            <w:vAlign w:val="center"/>
          </w:tcPr>
          <w:p w14:paraId="467A01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187E3D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205.00</w:t>
            </w:r>
          </w:p>
        </w:tc>
      </w:tr>
      <w:tr w:rsidR="003F2129" w:rsidRPr="00DA3766" w14:paraId="75BADE0A" w14:textId="77777777" w:rsidTr="00635015">
        <w:trPr>
          <w:trHeight w:val="397"/>
          <w:jc w:val="center"/>
        </w:trPr>
        <w:tc>
          <w:tcPr>
            <w:tcW w:w="1545" w:type="dxa"/>
            <w:vMerge/>
            <w:vAlign w:val="center"/>
          </w:tcPr>
          <w:p w14:paraId="54DBCB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F0C63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69519C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7AF0E8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2023/5/14</w:t>
            </w:r>
          </w:p>
        </w:tc>
        <w:tc>
          <w:tcPr>
            <w:tcW w:w="1065" w:type="dxa"/>
            <w:vAlign w:val="center"/>
          </w:tcPr>
          <w:p w14:paraId="071D174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144.94</w:t>
            </w:r>
          </w:p>
        </w:tc>
        <w:tc>
          <w:tcPr>
            <w:tcW w:w="3213" w:type="dxa"/>
            <w:vAlign w:val="center"/>
          </w:tcPr>
          <w:p w14:paraId="021345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东莞市智慧城管二期项目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调度中心（弱电集成）</w:t>
            </w:r>
          </w:p>
        </w:tc>
        <w:tc>
          <w:tcPr>
            <w:tcW w:w="850" w:type="dxa"/>
            <w:vAlign w:val="center"/>
          </w:tcPr>
          <w:p w14:paraId="384FD5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229</w:t>
            </w:r>
          </w:p>
        </w:tc>
        <w:tc>
          <w:tcPr>
            <w:tcW w:w="1276" w:type="dxa"/>
            <w:vAlign w:val="center"/>
          </w:tcPr>
          <w:p w14:paraId="69B52F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66F5C35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129.78</w:t>
            </w:r>
          </w:p>
        </w:tc>
        <w:tc>
          <w:tcPr>
            <w:tcW w:w="1333" w:type="dxa"/>
            <w:vAlign w:val="center"/>
          </w:tcPr>
          <w:p w14:paraId="7D54FF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40DCE7F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144.94</w:t>
            </w:r>
          </w:p>
        </w:tc>
      </w:tr>
      <w:tr w:rsidR="003F2129" w:rsidRPr="00DA3766" w14:paraId="6610F544" w14:textId="77777777" w:rsidTr="00635015">
        <w:trPr>
          <w:trHeight w:val="397"/>
          <w:jc w:val="center"/>
        </w:trPr>
        <w:tc>
          <w:tcPr>
            <w:tcW w:w="1545" w:type="dxa"/>
            <w:vMerge/>
            <w:vAlign w:val="center"/>
          </w:tcPr>
          <w:p w14:paraId="1CE52F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1F5C23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2CD39B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4D0C92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2022/3/10</w:t>
            </w:r>
          </w:p>
        </w:tc>
        <w:tc>
          <w:tcPr>
            <w:tcW w:w="1065" w:type="dxa"/>
            <w:vAlign w:val="center"/>
          </w:tcPr>
          <w:p w14:paraId="766DD30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118.67</w:t>
            </w:r>
          </w:p>
        </w:tc>
        <w:tc>
          <w:tcPr>
            <w:tcW w:w="3213" w:type="dxa"/>
            <w:vAlign w:val="center"/>
          </w:tcPr>
          <w:p w14:paraId="6E44DB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东莞智慧交通项目交通指挥中心建设项目</w:t>
            </w:r>
          </w:p>
        </w:tc>
        <w:tc>
          <w:tcPr>
            <w:tcW w:w="850" w:type="dxa"/>
            <w:vAlign w:val="center"/>
          </w:tcPr>
          <w:p w14:paraId="62946E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659</w:t>
            </w:r>
          </w:p>
        </w:tc>
        <w:tc>
          <w:tcPr>
            <w:tcW w:w="1276" w:type="dxa"/>
            <w:vAlign w:val="center"/>
          </w:tcPr>
          <w:p w14:paraId="735254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89335B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105.90</w:t>
            </w:r>
          </w:p>
        </w:tc>
        <w:tc>
          <w:tcPr>
            <w:tcW w:w="1333" w:type="dxa"/>
            <w:vAlign w:val="center"/>
          </w:tcPr>
          <w:p w14:paraId="027FA1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56CB2B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112.74</w:t>
            </w:r>
          </w:p>
        </w:tc>
      </w:tr>
      <w:tr w:rsidR="003F2129" w:rsidRPr="00DA3766" w14:paraId="5E481C5B" w14:textId="77777777" w:rsidTr="00635015">
        <w:trPr>
          <w:trHeight w:val="397"/>
          <w:jc w:val="center"/>
        </w:trPr>
        <w:tc>
          <w:tcPr>
            <w:tcW w:w="1545" w:type="dxa"/>
            <w:vMerge/>
            <w:vAlign w:val="center"/>
          </w:tcPr>
          <w:p w14:paraId="339E19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3558C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3F5A7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21534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2022/11/29</w:t>
            </w:r>
          </w:p>
        </w:tc>
        <w:tc>
          <w:tcPr>
            <w:tcW w:w="1065" w:type="dxa"/>
            <w:vAlign w:val="center"/>
          </w:tcPr>
          <w:p w14:paraId="12822F0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42.41</w:t>
            </w:r>
          </w:p>
        </w:tc>
        <w:tc>
          <w:tcPr>
            <w:tcW w:w="3213" w:type="dxa"/>
            <w:vAlign w:val="center"/>
          </w:tcPr>
          <w:p w14:paraId="2752E6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东莞市医疗救护</w:t>
            </w:r>
            <w:r w:rsidRPr="00DA3766">
              <w:rPr>
                <w:rFonts w:ascii="Times New Roman" w:hAnsi="Times New Roman" w:cs="Times New Roman"/>
                <w:color w:val="000000"/>
                <w:kern w:val="2"/>
                <w:sz w:val="21"/>
                <w14:ligatures w14:val="standardContextual"/>
              </w:rPr>
              <w:t>120</w:t>
            </w:r>
            <w:r w:rsidRPr="00DA3766">
              <w:rPr>
                <w:rFonts w:ascii="Times New Roman" w:hAnsi="Times New Roman" w:cs="Times New Roman"/>
                <w:color w:val="000000"/>
                <w:kern w:val="2"/>
                <w:sz w:val="21"/>
                <w14:ligatures w14:val="standardContextual"/>
              </w:rPr>
              <w:t>指挥中心</w:t>
            </w:r>
            <w:r w:rsidRPr="00DA3766">
              <w:rPr>
                <w:rFonts w:ascii="Times New Roman" w:hAnsi="Times New Roman" w:cs="Times New Roman"/>
                <w:color w:val="000000"/>
                <w:kern w:val="2"/>
                <w:sz w:val="21"/>
                <w14:ligatures w14:val="standardContextual"/>
              </w:rPr>
              <w:t>120</w:t>
            </w:r>
            <w:r w:rsidRPr="00DA3766">
              <w:rPr>
                <w:rFonts w:ascii="Times New Roman" w:hAnsi="Times New Roman" w:cs="Times New Roman"/>
                <w:color w:val="000000"/>
                <w:kern w:val="2"/>
                <w:sz w:val="21"/>
                <w14:ligatures w14:val="standardContextual"/>
              </w:rPr>
              <w:t>指挥调度升级项目采购协议</w:t>
            </w:r>
          </w:p>
        </w:tc>
        <w:tc>
          <w:tcPr>
            <w:tcW w:w="850" w:type="dxa"/>
            <w:vAlign w:val="center"/>
          </w:tcPr>
          <w:p w14:paraId="326A36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w:t>
            </w:r>
          </w:p>
        </w:tc>
        <w:tc>
          <w:tcPr>
            <w:tcW w:w="1276" w:type="dxa"/>
            <w:vAlign w:val="center"/>
          </w:tcPr>
          <w:p w14:paraId="2FB8B6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C2CA80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38.15</w:t>
            </w:r>
          </w:p>
        </w:tc>
        <w:tc>
          <w:tcPr>
            <w:tcW w:w="1333" w:type="dxa"/>
            <w:vAlign w:val="center"/>
          </w:tcPr>
          <w:p w14:paraId="3836DA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B75B90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39.29</w:t>
            </w:r>
          </w:p>
        </w:tc>
      </w:tr>
      <w:tr w:rsidR="003F2129" w:rsidRPr="00DA3766" w14:paraId="3F0512B5" w14:textId="77777777" w:rsidTr="00635015">
        <w:trPr>
          <w:trHeight w:val="397"/>
          <w:jc w:val="center"/>
        </w:trPr>
        <w:tc>
          <w:tcPr>
            <w:tcW w:w="1545" w:type="dxa"/>
            <w:vMerge/>
            <w:vAlign w:val="center"/>
          </w:tcPr>
          <w:p w14:paraId="0F74AE9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A5AC7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57A067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3FA207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2023/8/7</w:t>
            </w:r>
          </w:p>
        </w:tc>
        <w:tc>
          <w:tcPr>
            <w:tcW w:w="1065" w:type="dxa"/>
            <w:vAlign w:val="center"/>
          </w:tcPr>
          <w:p w14:paraId="4606AC8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c>
          <w:tcPr>
            <w:tcW w:w="3213" w:type="dxa"/>
            <w:vAlign w:val="center"/>
          </w:tcPr>
          <w:p w14:paraId="091516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雪亮工程项目前期现场踏勘服务二期</w:t>
            </w:r>
          </w:p>
        </w:tc>
        <w:tc>
          <w:tcPr>
            <w:tcW w:w="850" w:type="dxa"/>
            <w:vAlign w:val="center"/>
          </w:tcPr>
          <w:p w14:paraId="091972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w:t>
            </w:r>
          </w:p>
        </w:tc>
        <w:tc>
          <w:tcPr>
            <w:tcW w:w="1276" w:type="dxa"/>
            <w:vAlign w:val="center"/>
          </w:tcPr>
          <w:p w14:paraId="304858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627545B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15.18</w:t>
            </w:r>
          </w:p>
        </w:tc>
        <w:tc>
          <w:tcPr>
            <w:tcW w:w="1333" w:type="dxa"/>
            <w:vAlign w:val="center"/>
          </w:tcPr>
          <w:p w14:paraId="480011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459D4FA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r>
      <w:tr w:rsidR="003F2129" w:rsidRPr="00DA3766" w14:paraId="52807486" w14:textId="77777777" w:rsidTr="00635015">
        <w:trPr>
          <w:trHeight w:val="397"/>
          <w:jc w:val="center"/>
        </w:trPr>
        <w:tc>
          <w:tcPr>
            <w:tcW w:w="1545" w:type="dxa"/>
            <w:vMerge/>
            <w:vAlign w:val="center"/>
          </w:tcPr>
          <w:p w14:paraId="40AB72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C494D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33E20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3174DE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2022/12/30</w:t>
            </w:r>
          </w:p>
        </w:tc>
        <w:tc>
          <w:tcPr>
            <w:tcW w:w="1065" w:type="dxa"/>
            <w:vAlign w:val="center"/>
          </w:tcPr>
          <w:p w14:paraId="6B89B8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c>
          <w:tcPr>
            <w:tcW w:w="3213" w:type="dxa"/>
            <w:vAlign w:val="center"/>
          </w:tcPr>
          <w:p w14:paraId="1D6BC6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雪亮工程项目前期现场踏勘服务</w:t>
            </w:r>
          </w:p>
        </w:tc>
        <w:tc>
          <w:tcPr>
            <w:tcW w:w="850" w:type="dxa"/>
            <w:vAlign w:val="center"/>
          </w:tcPr>
          <w:p w14:paraId="4AA83E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355</w:t>
            </w:r>
          </w:p>
        </w:tc>
        <w:tc>
          <w:tcPr>
            <w:tcW w:w="1276" w:type="dxa"/>
            <w:vAlign w:val="center"/>
          </w:tcPr>
          <w:p w14:paraId="336EEA7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2023/12/20</w:t>
            </w:r>
          </w:p>
        </w:tc>
        <w:tc>
          <w:tcPr>
            <w:tcW w:w="1240" w:type="dxa"/>
            <w:vAlign w:val="center"/>
          </w:tcPr>
          <w:p w14:paraId="412559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15.18</w:t>
            </w:r>
          </w:p>
        </w:tc>
        <w:tc>
          <w:tcPr>
            <w:tcW w:w="1333" w:type="dxa"/>
            <w:vAlign w:val="center"/>
          </w:tcPr>
          <w:p w14:paraId="50EF28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01DE91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r>
      <w:tr w:rsidR="003F2129" w:rsidRPr="00DA3766" w14:paraId="1B9831E0" w14:textId="77777777" w:rsidTr="00635015">
        <w:trPr>
          <w:trHeight w:val="397"/>
          <w:jc w:val="center"/>
        </w:trPr>
        <w:tc>
          <w:tcPr>
            <w:tcW w:w="1545" w:type="dxa"/>
            <w:vAlign w:val="center"/>
          </w:tcPr>
          <w:p w14:paraId="25032C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广东中都建筑</w:t>
            </w:r>
            <w:r w:rsidRPr="00DA3766">
              <w:rPr>
                <w:rFonts w:ascii="Times New Roman" w:hAnsi="Times New Roman" w:cs="Times New Roman"/>
                <w:color w:val="000000"/>
                <w:kern w:val="2"/>
                <w:sz w:val="21"/>
                <w14:ligatures w14:val="standardContextual"/>
              </w:rPr>
              <w:lastRenderedPageBreak/>
              <w:t>集团有限公司</w:t>
            </w:r>
          </w:p>
        </w:tc>
        <w:tc>
          <w:tcPr>
            <w:tcW w:w="1228" w:type="dxa"/>
            <w:vAlign w:val="center"/>
          </w:tcPr>
          <w:p w14:paraId="05C174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企业</w:t>
            </w:r>
          </w:p>
        </w:tc>
        <w:tc>
          <w:tcPr>
            <w:tcW w:w="1606" w:type="dxa"/>
            <w:vAlign w:val="center"/>
          </w:tcPr>
          <w:p w14:paraId="69A937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w:t>
            </w:r>
            <w:r w:rsidRPr="00DA3766">
              <w:rPr>
                <w:rFonts w:ascii="Times New Roman" w:hAnsi="Times New Roman" w:cs="Times New Roman"/>
                <w:color w:val="000000"/>
                <w:kern w:val="2"/>
                <w:sz w:val="21"/>
                <w14:ligatures w14:val="standardContextual"/>
              </w:rPr>
              <w:lastRenderedPageBreak/>
              <w:t>术服务</w:t>
            </w:r>
          </w:p>
        </w:tc>
        <w:tc>
          <w:tcPr>
            <w:tcW w:w="1203" w:type="dxa"/>
            <w:vAlign w:val="center"/>
          </w:tcPr>
          <w:p w14:paraId="1BB7A1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2022/11/25</w:t>
            </w:r>
          </w:p>
        </w:tc>
        <w:tc>
          <w:tcPr>
            <w:tcW w:w="1065" w:type="dxa"/>
            <w:vAlign w:val="center"/>
          </w:tcPr>
          <w:p w14:paraId="6ECDD6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1,559.67</w:t>
            </w:r>
          </w:p>
        </w:tc>
        <w:tc>
          <w:tcPr>
            <w:tcW w:w="3213" w:type="dxa"/>
            <w:vAlign w:val="center"/>
          </w:tcPr>
          <w:p w14:paraId="69B36E6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道路交通安全设施</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综合杆、交通</w:t>
            </w:r>
            <w:r w:rsidRPr="00DA3766">
              <w:rPr>
                <w:rFonts w:ascii="Times New Roman" w:hAnsi="Times New Roman" w:cs="Times New Roman"/>
                <w:color w:val="000000"/>
                <w:kern w:val="2"/>
                <w:sz w:val="21"/>
                <w14:ligatures w14:val="standardContextual"/>
              </w:rPr>
              <w:lastRenderedPageBreak/>
              <w:t>标志、交通信号灯、交通监控、照明分项工程</w:t>
            </w:r>
          </w:p>
        </w:tc>
        <w:tc>
          <w:tcPr>
            <w:tcW w:w="850" w:type="dxa"/>
            <w:vAlign w:val="center"/>
          </w:tcPr>
          <w:p w14:paraId="239FD8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399</w:t>
            </w:r>
          </w:p>
        </w:tc>
        <w:tc>
          <w:tcPr>
            <w:tcW w:w="1276" w:type="dxa"/>
            <w:vAlign w:val="center"/>
          </w:tcPr>
          <w:p w14:paraId="463E10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6046A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1,430.89</w:t>
            </w:r>
          </w:p>
        </w:tc>
        <w:tc>
          <w:tcPr>
            <w:tcW w:w="1333" w:type="dxa"/>
            <w:vAlign w:val="center"/>
          </w:tcPr>
          <w:p w14:paraId="026B66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D4217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131.00</w:t>
            </w:r>
          </w:p>
        </w:tc>
      </w:tr>
      <w:tr w:rsidR="003F2129" w:rsidRPr="00DA3766" w14:paraId="60F56E04" w14:textId="77777777" w:rsidTr="00635015">
        <w:trPr>
          <w:trHeight w:val="397"/>
          <w:jc w:val="center"/>
        </w:trPr>
        <w:tc>
          <w:tcPr>
            <w:tcW w:w="14559" w:type="dxa"/>
            <w:gridSpan w:val="10"/>
            <w:vAlign w:val="center"/>
          </w:tcPr>
          <w:p w14:paraId="38BE287B"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7223C2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73.32%</w:t>
            </w:r>
          </w:p>
        </w:tc>
      </w:tr>
      <w:tr w:rsidR="003F2129" w:rsidRPr="00DA3766" w14:paraId="56B088FB" w14:textId="77777777" w:rsidTr="00635015">
        <w:trPr>
          <w:trHeight w:val="397"/>
          <w:jc w:val="center"/>
        </w:trPr>
        <w:tc>
          <w:tcPr>
            <w:tcW w:w="15929" w:type="dxa"/>
            <w:gridSpan w:val="11"/>
            <w:vAlign w:val="center"/>
          </w:tcPr>
          <w:p w14:paraId="428A822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2022</w:t>
            </w:r>
            <w:r w:rsidRPr="00DA3766">
              <w:rPr>
                <w:rFonts w:ascii="Times New Roman" w:hAnsi="Times New Roman" w:cs="Times New Roman"/>
                <w:b/>
                <w:bCs/>
                <w:color w:val="000000"/>
                <w:kern w:val="2"/>
                <w:sz w:val="21"/>
                <w14:ligatures w14:val="standardContextual"/>
              </w:rPr>
              <w:t>年第四季度</w:t>
            </w:r>
          </w:p>
        </w:tc>
      </w:tr>
      <w:tr w:rsidR="003F2129" w:rsidRPr="00DA3766" w14:paraId="6CFF6759" w14:textId="77777777" w:rsidTr="00635015">
        <w:trPr>
          <w:trHeight w:val="397"/>
          <w:jc w:val="center"/>
        </w:trPr>
        <w:tc>
          <w:tcPr>
            <w:tcW w:w="1545" w:type="dxa"/>
            <w:vMerge w:val="restart"/>
            <w:vAlign w:val="center"/>
          </w:tcPr>
          <w:p w14:paraId="4D83EB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14:paraId="58ECE5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1328C0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1D6B48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2022/11/16</w:t>
            </w:r>
          </w:p>
        </w:tc>
        <w:tc>
          <w:tcPr>
            <w:tcW w:w="1065" w:type="dxa"/>
            <w:vAlign w:val="center"/>
          </w:tcPr>
          <w:p w14:paraId="37C473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3,468.47</w:t>
            </w:r>
          </w:p>
        </w:tc>
        <w:tc>
          <w:tcPr>
            <w:tcW w:w="3213" w:type="dxa"/>
            <w:vAlign w:val="center"/>
          </w:tcPr>
          <w:p w14:paraId="069D38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汕头市潮南区智慧交通建设项目</w:t>
            </w:r>
          </w:p>
        </w:tc>
        <w:tc>
          <w:tcPr>
            <w:tcW w:w="850" w:type="dxa"/>
            <w:vAlign w:val="center"/>
          </w:tcPr>
          <w:p w14:paraId="587B49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w:t>
            </w:r>
          </w:p>
        </w:tc>
        <w:tc>
          <w:tcPr>
            <w:tcW w:w="1276" w:type="dxa"/>
            <w:vAlign w:val="center"/>
          </w:tcPr>
          <w:p w14:paraId="0CBE74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2022/12/30</w:t>
            </w:r>
          </w:p>
        </w:tc>
        <w:tc>
          <w:tcPr>
            <w:tcW w:w="1240" w:type="dxa"/>
            <w:vAlign w:val="center"/>
          </w:tcPr>
          <w:p w14:paraId="017A19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3,127.08</w:t>
            </w:r>
          </w:p>
        </w:tc>
        <w:tc>
          <w:tcPr>
            <w:tcW w:w="1333" w:type="dxa"/>
            <w:vAlign w:val="center"/>
          </w:tcPr>
          <w:p w14:paraId="443661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5482D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3,364.41</w:t>
            </w:r>
          </w:p>
        </w:tc>
      </w:tr>
      <w:tr w:rsidR="003F2129" w:rsidRPr="00DA3766" w14:paraId="0A8D26B7" w14:textId="77777777" w:rsidTr="00635015">
        <w:trPr>
          <w:trHeight w:val="397"/>
          <w:jc w:val="center"/>
        </w:trPr>
        <w:tc>
          <w:tcPr>
            <w:tcW w:w="1545" w:type="dxa"/>
            <w:vMerge/>
            <w:vAlign w:val="center"/>
          </w:tcPr>
          <w:p w14:paraId="1D2CA2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474AB4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ADBC2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7BD1A2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2020/9/28</w:t>
            </w:r>
          </w:p>
        </w:tc>
        <w:tc>
          <w:tcPr>
            <w:tcW w:w="1065" w:type="dxa"/>
            <w:vAlign w:val="center"/>
          </w:tcPr>
          <w:p w14:paraId="345180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3,033.06</w:t>
            </w:r>
          </w:p>
        </w:tc>
        <w:tc>
          <w:tcPr>
            <w:tcW w:w="3213" w:type="dxa"/>
            <w:vAlign w:val="center"/>
          </w:tcPr>
          <w:p w14:paraId="35AFF2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高清监控、警报及配套设施建设项目</w:t>
            </w:r>
          </w:p>
        </w:tc>
        <w:tc>
          <w:tcPr>
            <w:tcW w:w="850" w:type="dxa"/>
            <w:vAlign w:val="center"/>
          </w:tcPr>
          <w:p w14:paraId="39F242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w:t>
            </w:r>
          </w:p>
        </w:tc>
        <w:tc>
          <w:tcPr>
            <w:tcW w:w="1276" w:type="dxa"/>
            <w:vAlign w:val="center"/>
          </w:tcPr>
          <w:p w14:paraId="1DEE7C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2022/12/23</w:t>
            </w:r>
          </w:p>
        </w:tc>
        <w:tc>
          <w:tcPr>
            <w:tcW w:w="1240" w:type="dxa"/>
            <w:vAlign w:val="center"/>
          </w:tcPr>
          <w:p w14:paraId="611E82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2,684.12</w:t>
            </w:r>
          </w:p>
        </w:tc>
        <w:tc>
          <w:tcPr>
            <w:tcW w:w="1333" w:type="dxa"/>
            <w:vAlign w:val="center"/>
          </w:tcPr>
          <w:p w14:paraId="6A9430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211A8F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41C6F074" w14:textId="77777777" w:rsidTr="00635015">
        <w:trPr>
          <w:trHeight w:val="397"/>
          <w:jc w:val="center"/>
        </w:trPr>
        <w:tc>
          <w:tcPr>
            <w:tcW w:w="1545" w:type="dxa"/>
            <w:vMerge/>
            <w:vAlign w:val="center"/>
          </w:tcPr>
          <w:p w14:paraId="6412F96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46F76DE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D3F8C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9FE38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2020/9/28</w:t>
            </w:r>
          </w:p>
        </w:tc>
        <w:tc>
          <w:tcPr>
            <w:tcW w:w="1065" w:type="dxa"/>
            <w:vAlign w:val="center"/>
          </w:tcPr>
          <w:p w14:paraId="18C6DE2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1,945.63</w:t>
            </w:r>
          </w:p>
        </w:tc>
        <w:tc>
          <w:tcPr>
            <w:tcW w:w="3213" w:type="dxa"/>
            <w:vAlign w:val="center"/>
          </w:tcPr>
          <w:p w14:paraId="204629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智能识别、检测、管理及配套设施建设项目</w:t>
            </w:r>
          </w:p>
        </w:tc>
        <w:tc>
          <w:tcPr>
            <w:tcW w:w="850" w:type="dxa"/>
            <w:vAlign w:val="center"/>
          </w:tcPr>
          <w:p w14:paraId="3EB32C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w:t>
            </w:r>
          </w:p>
        </w:tc>
        <w:tc>
          <w:tcPr>
            <w:tcW w:w="1276" w:type="dxa"/>
            <w:vAlign w:val="center"/>
          </w:tcPr>
          <w:p w14:paraId="7ACAA6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2022/12/23</w:t>
            </w:r>
          </w:p>
        </w:tc>
        <w:tc>
          <w:tcPr>
            <w:tcW w:w="1240" w:type="dxa"/>
            <w:vAlign w:val="center"/>
          </w:tcPr>
          <w:p w14:paraId="4B6B7A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1,721.80</w:t>
            </w:r>
          </w:p>
        </w:tc>
        <w:tc>
          <w:tcPr>
            <w:tcW w:w="1333" w:type="dxa"/>
            <w:vAlign w:val="center"/>
          </w:tcPr>
          <w:p w14:paraId="754A32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A6EA54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267.71</w:t>
            </w:r>
          </w:p>
        </w:tc>
      </w:tr>
      <w:tr w:rsidR="003F2129" w:rsidRPr="00DA3766" w14:paraId="1C3CFE81" w14:textId="77777777" w:rsidTr="00635015">
        <w:trPr>
          <w:trHeight w:val="397"/>
          <w:jc w:val="center"/>
        </w:trPr>
        <w:tc>
          <w:tcPr>
            <w:tcW w:w="1545" w:type="dxa"/>
            <w:vMerge w:val="restart"/>
            <w:vAlign w:val="center"/>
          </w:tcPr>
          <w:p w14:paraId="080368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珠海城市职业技术学院</w:t>
            </w:r>
          </w:p>
        </w:tc>
        <w:tc>
          <w:tcPr>
            <w:tcW w:w="1228" w:type="dxa"/>
            <w:vMerge w:val="restart"/>
            <w:vAlign w:val="center"/>
          </w:tcPr>
          <w:p w14:paraId="05C574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教育系统</w:t>
            </w:r>
          </w:p>
        </w:tc>
        <w:tc>
          <w:tcPr>
            <w:tcW w:w="1606" w:type="dxa"/>
            <w:vAlign w:val="center"/>
          </w:tcPr>
          <w:p w14:paraId="03075F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4CE015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2022/9/21</w:t>
            </w:r>
          </w:p>
        </w:tc>
        <w:tc>
          <w:tcPr>
            <w:tcW w:w="1065" w:type="dxa"/>
            <w:vAlign w:val="center"/>
          </w:tcPr>
          <w:p w14:paraId="4BA83A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895.30</w:t>
            </w:r>
          </w:p>
        </w:tc>
        <w:tc>
          <w:tcPr>
            <w:tcW w:w="3213" w:type="dxa"/>
            <w:vAlign w:val="center"/>
          </w:tcPr>
          <w:p w14:paraId="0FDA88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珠海城市职业技术学院教学实训中心项目（电脑等设备购置部分）（第二批）</w:t>
            </w:r>
          </w:p>
        </w:tc>
        <w:tc>
          <w:tcPr>
            <w:tcW w:w="850" w:type="dxa"/>
            <w:vAlign w:val="center"/>
          </w:tcPr>
          <w:p w14:paraId="4DC534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w:t>
            </w:r>
          </w:p>
        </w:tc>
        <w:tc>
          <w:tcPr>
            <w:tcW w:w="1276" w:type="dxa"/>
            <w:vAlign w:val="center"/>
          </w:tcPr>
          <w:p w14:paraId="217B61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154CA7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792.30</w:t>
            </w:r>
          </w:p>
        </w:tc>
        <w:tc>
          <w:tcPr>
            <w:tcW w:w="1333" w:type="dxa"/>
            <w:vAlign w:val="center"/>
          </w:tcPr>
          <w:p w14:paraId="38C039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416008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895.29</w:t>
            </w:r>
          </w:p>
        </w:tc>
      </w:tr>
      <w:tr w:rsidR="003F2129" w:rsidRPr="00DA3766" w14:paraId="5F487FE5" w14:textId="77777777" w:rsidTr="00635015">
        <w:trPr>
          <w:trHeight w:val="397"/>
          <w:jc w:val="center"/>
        </w:trPr>
        <w:tc>
          <w:tcPr>
            <w:tcW w:w="1545" w:type="dxa"/>
            <w:vMerge/>
            <w:vAlign w:val="center"/>
          </w:tcPr>
          <w:p w14:paraId="6AFC50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CA0ED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4D40B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05C3E0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2022/9/28</w:t>
            </w:r>
          </w:p>
        </w:tc>
        <w:tc>
          <w:tcPr>
            <w:tcW w:w="1065" w:type="dxa"/>
            <w:vAlign w:val="center"/>
          </w:tcPr>
          <w:p w14:paraId="468E044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0.44</w:t>
            </w:r>
          </w:p>
        </w:tc>
        <w:tc>
          <w:tcPr>
            <w:tcW w:w="3213" w:type="dxa"/>
            <w:vAlign w:val="center"/>
          </w:tcPr>
          <w:p w14:paraId="514674E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省第三季度</w:t>
            </w:r>
          </w:p>
        </w:tc>
        <w:tc>
          <w:tcPr>
            <w:tcW w:w="850" w:type="dxa"/>
            <w:vAlign w:val="center"/>
          </w:tcPr>
          <w:p w14:paraId="16FE9C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w:t>
            </w:r>
          </w:p>
        </w:tc>
        <w:tc>
          <w:tcPr>
            <w:tcW w:w="1276" w:type="dxa"/>
            <w:vAlign w:val="center"/>
          </w:tcPr>
          <w:p w14:paraId="40D42B1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2686E2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0.39</w:t>
            </w:r>
          </w:p>
        </w:tc>
        <w:tc>
          <w:tcPr>
            <w:tcW w:w="1333" w:type="dxa"/>
            <w:vAlign w:val="center"/>
          </w:tcPr>
          <w:p w14:paraId="1F9F04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327F78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0.44</w:t>
            </w:r>
          </w:p>
        </w:tc>
      </w:tr>
      <w:tr w:rsidR="003F2129" w:rsidRPr="00DA3766" w14:paraId="439FBAE1" w14:textId="77777777" w:rsidTr="00635015">
        <w:trPr>
          <w:trHeight w:val="397"/>
          <w:jc w:val="center"/>
        </w:trPr>
        <w:tc>
          <w:tcPr>
            <w:tcW w:w="1545" w:type="dxa"/>
            <w:vMerge/>
            <w:vAlign w:val="center"/>
          </w:tcPr>
          <w:p w14:paraId="7B5F50B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12A8D5E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2239D5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5B5908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2022/11/30</w:t>
            </w:r>
          </w:p>
        </w:tc>
        <w:tc>
          <w:tcPr>
            <w:tcW w:w="1065" w:type="dxa"/>
            <w:vAlign w:val="center"/>
          </w:tcPr>
          <w:p w14:paraId="01B358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3.09</w:t>
            </w:r>
          </w:p>
        </w:tc>
        <w:tc>
          <w:tcPr>
            <w:tcW w:w="3213" w:type="dxa"/>
            <w:vAlign w:val="center"/>
          </w:tcPr>
          <w:p w14:paraId="5854DB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省第四季度</w:t>
            </w:r>
          </w:p>
        </w:tc>
        <w:tc>
          <w:tcPr>
            <w:tcW w:w="850" w:type="dxa"/>
            <w:vAlign w:val="center"/>
          </w:tcPr>
          <w:p w14:paraId="4A69AF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w:t>
            </w:r>
          </w:p>
        </w:tc>
        <w:tc>
          <w:tcPr>
            <w:tcW w:w="1276" w:type="dxa"/>
            <w:vAlign w:val="center"/>
          </w:tcPr>
          <w:p w14:paraId="536F9A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7B878F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2.73</w:t>
            </w:r>
          </w:p>
        </w:tc>
        <w:tc>
          <w:tcPr>
            <w:tcW w:w="1333" w:type="dxa"/>
            <w:vAlign w:val="center"/>
          </w:tcPr>
          <w:p w14:paraId="1A99CB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192BE2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3.09</w:t>
            </w:r>
          </w:p>
        </w:tc>
      </w:tr>
      <w:tr w:rsidR="003F2129" w:rsidRPr="00DA3766" w14:paraId="4FB55066" w14:textId="77777777" w:rsidTr="00635015">
        <w:trPr>
          <w:trHeight w:val="397"/>
          <w:jc w:val="center"/>
        </w:trPr>
        <w:tc>
          <w:tcPr>
            <w:tcW w:w="1545" w:type="dxa"/>
            <w:vAlign w:val="center"/>
          </w:tcPr>
          <w:p w14:paraId="61D11A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汕头市自然资源局</w:t>
            </w:r>
          </w:p>
        </w:tc>
        <w:tc>
          <w:tcPr>
            <w:tcW w:w="1228" w:type="dxa"/>
            <w:vAlign w:val="center"/>
          </w:tcPr>
          <w:p w14:paraId="2DEA46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0F9E75A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4D13B4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2019/4/17</w:t>
            </w:r>
          </w:p>
        </w:tc>
        <w:tc>
          <w:tcPr>
            <w:tcW w:w="1065" w:type="dxa"/>
            <w:vAlign w:val="center"/>
          </w:tcPr>
          <w:p w14:paraId="07FA94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1,618.00</w:t>
            </w:r>
          </w:p>
        </w:tc>
        <w:tc>
          <w:tcPr>
            <w:tcW w:w="3213" w:type="dxa"/>
            <w:vAlign w:val="center"/>
          </w:tcPr>
          <w:p w14:paraId="332A2C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汕头市国土资源局房地产档案扫描加工服务项目</w:t>
            </w:r>
          </w:p>
        </w:tc>
        <w:tc>
          <w:tcPr>
            <w:tcW w:w="850" w:type="dxa"/>
            <w:vAlign w:val="center"/>
          </w:tcPr>
          <w:p w14:paraId="73FEAE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1354</w:t>
            </w:r>
          </w:p>
        </w:tc>
        <w:tc>
          <w:tcPr>
            <w:tcW w:w="1276" w:type="dxa"/>
            <w:vAlign w:val="center"/>
          </w:tcPr>
          <w:p w14:paraId="0C7B02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660BB5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790.23</w:t>
            </w:r>
          </w:p>
        </w:tc>
        <w:tc>
          <w:tcPr>
            <w:tcW w:w="1333" w:type="dxa"/>
            <w:vAlign w:val="center"/>
          </w:tcPr>
          <w:p w14:paraId="6A4188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F3141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836.82</w:t>
            </w:r>
          </w:p>
        </w:tc>
      </w:tr>
      <w:tr w:rsidR="003F2129" w:rsidRPr="00DA3766" w14:paraId="5FD58D4B" w14:textId="77777777" w:rsidTr="00635015">
        <w:trPr>
          <w:trHeight w:val="397"/>
          <w:jc w:val="center"/>
        </w:trPr>
        <w:tc>
          <w:tcPr>
            <w:tcW w:w="1545" w:type="dxa"/>
            <w:vAlign w:val="center"/>
          </w:tcPr>
          <w:p w14:paraId="79DA42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中交机电工程局有限公司</w:t>
            </w:r>
          </w:p>
        </w:tc>
        <w:tc>
          <w:tcPr>
            <w:tcW w:w="1228" w:type="dxa"/>
            <w:vAlign w:val="center"/>
          </w:tcPr>
          <w:p w14:paraId="453531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4CA9D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0BF90B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2021-4-25</w:t>
            </w:r>
          </w:p>
        </w:tc>
        <w:tc>
          <w:tcPr>
            <w:tcW w:w="1065" w:type="dxa"/>
            <w:vAlign w:val="center"/>
          </w:tcPr>
          <w:p w14:paraId="6C4DCF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1,665.86</w:t>
            </w:r>
          </w:p>
        </w:tc>
        <w:tc>
          <w:tcPr>
            <w:tcW w:w="3213" w:type="dxa"/>
            <w:vAlign w:val="center"/>
          </w:tcPr>
          <w:p w14:paraId="00123B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汕头市东部城市经济带市政基础设备项目塔岗围片区（含新溪片区支河涌工程）项目交通信号及监控</w:t>
            </w:r>
          </w:p>
        </w:tc>
        <w:tc>
          <w:tcPr>
            <w:tcW w:w="850" w:type="dxa"/>
            <w:vAlign w:val="center"/>
          </w:tcPr>
          <w:p w14:paraId="5692DF7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584</w:t>
            </w:r>
          </w:p>
        </w:tc>
        <w:tc>
          <w:tcPr>
            <w:tcW w:w="1276" w:type="dxa"/>
            <w:vAlign w:val="center"/>
          </w:tcPr>
          <w:p w14:paraId="5B940B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2022/11/30</w:t>
            </w:r>
          </w:p>
        </w:tc>
        <w:tc>
          <w:tcPr>
            <w:tcW w:w="1240" w:type="dxa"/>
            <w:vAlign w:val="center"/>
          </w:tcPr>
          <w:p w14:paraId="597742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607.37</w:t>
            </w:r>
          </w:p>
        </w:tc>
        <w:tc>
          <w:tcPr>
            <w:tcW w:w="1333" w:type="dxa"/>
            <w:vAlign w:val="center"/>
          </w:tcPr>
          <w:p w14:paraId="4F38CB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0EAEE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4E48C215" w14:textId="77777777" w:rsidTr="00635015">
        <w:trPr>
          <w:trHeight w:val="397"/>
          <w:jc w:val="center"/>
        </w:trPr>
        <w:tc>
          <w:tcPr>
            <w:tcW w:w="1545" w:type="dxa"/>
            <w:vMerge w:val="restart"/>
            <w:vAlign w:val="center"/>
          </w:tcPr>
          <w:p w14:paraId="1E9A5E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w:t>
            </w:r>
          </w:p>
        </w:tc>
        <w:tc>
          <w:tcPr>
            <w:tcW w:w="1228" w:type="dxa"/>
            <w:vMerge w:val="restart"/>
            <w:vAlign w:val="center"/>
          </w:tcPr>
          <w:p w14:paraId="233294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教育系统</w:t>
            </w:r>
          </w:p>
        </w:tc>
        <w:tc>
          <w:tcPr>
            <w:tcW w:w="1606" w:type="dxa"/>
            <w:vAlign w:val="center"/>
          </w:tcPr>
          <w:p w14:paraId="6670BE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0E5163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2022/9/15</w:t>
            </w:r>
          </w:p>
        </w:tc>
        <w:tc>
          <w:tcPr>
            <w:tcW w:w="1065" w:type="dxa"/>
            <w:vAlign w:val="center"/>
          </w:tcPr>
          <w:p w14:paraId="636D6E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442.13</w:t>
            </w:r>
          </w:p>
        </w:tc>
        <w:tc>
          <w:tcPr>
            <w:tcW w:w="3213" w:type="dxa"/>
            <w:vAlign w:val="center"/>
          </w:tcPr>
          <w:p w14:paraId="78477B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汕头大学东校区</w:t>
            </w:r>
            <w:r w:rsidRPr="00DA3766">
              <w:rPr>
                <w:rFonts w:ascii="Times New Roman" w:hAnsi="Times New Roman" w:cs="Times New Roman"/>
                <w:color w:val="000000"/>
                <w:kern w:val="2"/>
                <w:sz w:val="21"/>
                <w14:ligatures w14:val="standardContextual"/>
              </w:rPr>
              <w:t>E</w:t>
            </w:r>
            <w:r w:rsidRPr="00DA3766">
              <w:rPr>
                <w:rFonts w:ascii="Times New Roman" w:hAnsi="Times New Roman" w:cs="Times New Roman"/>
                <w:color w:val="000000"/>
                <w:kern w:val="2"/>
                <w:sz w:val="21"/>
                <w14:ligatures w14:val="standardContextual"/>
              </w:rPr>
              <w:t>栋教室配套多媒体设备等采购项目（包组</w:t>
            </w:r>
            <w:r w:rsidRPr="00DA3766">
              <w:rPr>
                <w:rFonts w:ascii="Times New Roman" w:hAnsi="Times New Roman" w:cs="Times New Roman"/>
                <w:color w:val="000000"/>
                <w:kern w:val="2"/>
                <w:sz w:val="21"/>
                <w14:ligatures w14:val="standardContextual"/>
              </w:rPr>
              <w:t>8</w:t>
            </w:r>
            <w:r w:rsidRPr="00DA3766">
              <w:rPr>
                <w:rFonts w:ascii="Times New Roman" w:hAnsi="Times New Roman" w:cs="Times New Roman"/>
                <w:color w:val="000000"/>
                <w:kern w:val="2"/>
                <w:sz w:val="21"/>
                <w14:ligatures w14:val="standardContextual"/>
              </w:rPr>
              <w:t>：计</w:t>
            </w:r>
            <w:r w:rsidRPr="00DA3766">
              <w:rPr>
                <w:rFonts w:ascii="Times New Roman" w:hAnsi="Times New Roman" w:cs="Times New Roman"/>
                <w:color w:val="000000"/>
                <w:kern w:val="2"/>
                <w:sz w:val="21"/>
                <w14:ligatures w14:val="standardContextual"/>
              </w:rPr>
              <w:lastRenderedPageBreak/>
              <w:t>算机机房配套设备）</w:t>
            </w:r>
          </w:p>
        </w:tc>
        <w:tc>
          <w:tcPr>
            <w:tcW w:w="850" w:type="dxa"/>
            <w:vAlign w:val="center"/>
          </w:tcPr>
          <w:p w14:paraId="6947D8A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97</w:t>
            </w:r>
          </w:p>
        </w:tc>
        <w:tc>
          <w:tcPr>
            <w:tcW w:w="1276" w:type="dxa"/>
            <w:vAlign w:val="center"/>
          </w:tcPr>
          <w:p w14:paraId="044FEE3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2022/12/21</w:t>
            </w:r>
          </w:p>
        </w:tc>
        <w:tc>
          <w:tcPr>
            <w:tcW w:w="1240" w:type="dxa"/>
            <w:vAlign w:val="center"/>
          </w:tcPr>
          <w:p w14:paraId="097282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391.52</w:t>
            </w:r>
          </w:p>
        </w:tc>
        <w:tc>
          <w:tcPr>
            <w:tcW w:w="1333" w:type="dxa"/>
            <w:vAlign w:val="center"/>
          </w:tcPr>
          <w:p w14:paraId="090576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19F7B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442.13</w:t>
            </w:r>
          </w:p>
        </w:tc>
      </w:tr>
      <w:tr w:rsidR="003F2129" w:rsidRPr="00DA3766" w14:paraId="2E13671D" w14:textId="77777777" w:rsidTr="00635015">
        <w:trPr>
          <w:trHeight w:val="397"/>
          <w:jc w:val="center"/>
        </w:trPr>
        <w:tc>
          <w:tcPr>
            <w:tcW w:w="1545" w:type="dxa"/>
            <w:vMerge/>
            <w:vAlign w:val="center"/>
          </w:tcPr>
          <w:p w14:paraId="584A8C6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3EFA01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81A2A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EDA9E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2022/9/15</w:t>
            </w:r>
          </w:p>
        </w:tc>
        <w:tc>
          <w:tcPr>
            <w:tcW w:w="1065" w:type="dxa"/>
            <w:vAlign w:val="center"/>
          </w:tcPr>
          <w:p w14:paraId="63F59A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77.41</w:t>
            </w:r>
          </w:p>
        </w:tc>
        <w:tc>
          <w:tcPr>
            <w:tcW w:w="3213" w:type="dxa"/>
            <w:vAlign w:val="center"/>
          </w:tcPr>
          <w:p w14:paraId="6022A8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汕头大学东校区</w:t>
            </w:r>
            <w:r w:rsidRPr="00DA3766">
              <w:rPr>
                <w:rFonts w:ascii="Times New Roman" w:hAnsi="Times New Roman" w:cs="Times New Roman"/>
                <w:color w:val="000000"/>
                <w:kern w:val="2"/>
                <w:sz w:val="21"/>
                <w14:ligatures w14:val="standardContextual"/>
              </w:rPr>
              <w:t>E</w:t>
            </w:r>
            <w:r w:rsidRPr="00DA3766">
              <w:rPr>
                <w:rFonts w:ascii="Times New Roman" w:hAnsi="Times New Roman" w:cs="Times New Roman"/>
                <w:color w:val="000000"/>
                <w:kern w:val="2"/>
                <w:sz w:val="21"/>
                <w14:ligatures w14:val="standardContextual"/>
              </w:rPr>
              <w:t>栋教室配套多媒体设备等采购项目（包组</w:t>
            </w:r>
            <w:r w:rsidRPr="00DA3766">
              <w:rPr>
                <w:rFonts w:ascii="Times New Roman" w:hAnsi="Times New Roman" w:cs="Times New Roman"/>
                <w:color w:val="000000"/>
                <w:kern w:val="2"/>
                <w:sz w:val="21"/>
                <w14:ligatures w14:val="standardContextual"/>
              </w:rPr>
              <w:t>7</w:t>
            </w:r>
            <w:r w:rsidRPr="00DA3766">
              <w:rPr>
                <w:rFonts w:ascii="Times New Roman" w:hAnsi="Times New Roman" w:cs="Times New Roman"/>
                <w:color w:val="000000"/>
                <w:kern w:val="2"/>
                <w:sz w:val="21"/>
                <w14:ligatures w14:val="standardContextual"/>
              </w:rPr>
              <w:t>：听音系统建设）</w:t>
            </w:r>
          </w:p>
        </w:tc>
        <w:tc>
          <w:tcPr>
            <w:tcW w:w="850" w:type="dxa"/>
            <w:vAlign w:val="center"/>
          </w:tcPr>
          <w:p w14:paraId="2CA44C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97</w:t>
            </w:r>
          </w:p>
        </w:tc>
        <w:tc>
          <w:tcPr>
            <w:tcW w:w="1276" w:type="dxa"/>
            <w:vAlign w:val="center"/>
          </w:tcPr>
          <w:p w14:paraId="360611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2022/12/21</w:t>
            </w:r>
          </w:p>
        </w:tc>
        <w:tc>
          <w:tcPr>
            <w:tcW w:w="1240" w:type="dxa"/>
            <w:vAlign w:val="center"/>
          </w:tcPr>
          <w:p w14:paraId="21E583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68.67</w:t>
            </w:r>
          </w:p>
        </w:tc>
        <w:tc>
          <w:tcPr>
            <w:tcW w:w="1333" w:type="dxa"/>
            <w:vAlign w:val="center"/>
          </w:tcPr>
          <w:p w14:paraId="7CFBF8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97AFB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77.41</w:t>
            </w:r>
          </w:p>
        </w:tc>
      </w:tr>
      <w:tr w:rsidR="003F2129" w:rsidRPr="00DA3766" w14:paraId="7142219C" w14:textId="77777777" w:rsidTr="00635015">
        <w:trPr>
          <w:trHeight w:val="397"/>
          <w:jc w:val="center"/>
        </w:trPr>
        <w:tc>
          <w:tcPr>
            <w:tcW w:w="1545" w:type="dxa"/>
            <w:vMerge/>
            <w:vAlign w:val="center"/>
          </w:tcPr>
          <w:p w14:paraId="39679C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6E7DF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86B9C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73663B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2022/10/6</w:t>
            </w:r>
          </w:p>
        </w:tc>
        <w:tc>
          <w:tcPr>
            <w:tcW w:w="1065" w:type="dxa"/>
            <w:vAlign w:val="center"/>
          </w:tcPr>
          <w:p w14:paraId="34127A4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w:t>
            </w:r>
          </w:p>
        </w:tc>
        <w:tc>
          <w:tcPr>
            <w:tcW w:w="3213" w:type="dxa"/>
            <w:vAlign w:val="center"/>
          </w:tcPr>
          <w:p w14:paraId="43E9C1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省第三季度集采</w:t>
            </w:r>
          </w:p>
        </w:tc>
        <w:tc>
          <w:tcPr>
            <w:tcW w:w="850" w:type="dxa"/>
            <w:vAlign w:val="center"/>
          </w:tcPr>
          <w:p w14:paraId="79A764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w:t>
            </w:r>
          </w:p>
        </w:tc>
        <w:tc>
          <w:tcPr>
            <w:tcW w:w="1276" w:type="dxa"/>
            <w:vAlign w:val="center"/>
          </w:tcPr>
          <w:p w14:paraId="25C1C2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153EB2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4.32</w:t>
            </w:r>
          </w:p>
        </w:tc>
        <w:tc>
          <w:tcPr>
            <w:tcW w:w="1333" w:type="dxa"/>
            <w:vAlign w:val="center"/>
          </w:tcPr>
          <w:p w14:paraId="216258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54FC61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w:t>
            </w:r>
          </w:p>
        </w:tc>
      </w:tr>
      <w:tr w:rsidR="003F2129" w:rsidRPr="00DA3766" w14:paraId="1A04E957" w14:textId="77777777" w:rsidTr="00635015">
        <w:trPr>
          <w:trHeight w:val="397"/>
          <w:jc w:val="center"/>
        </w:trPr>
        <w:tc>
          <w:tcPr>
            <w:tcW w:w="1545" w:type="dxa"/>
            <w:vMerge/>
            <w:vAlign w:val="center"/>
          </w:tcPr>
          <w:p w14:paraId="111059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3B52F3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8452B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10A38F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2022/10/30</w:t>
            </w:r>
          </w:p>
        </w:tc>
        <w:tc>
          <w:tcPr>
            <w:tcW w:w="1065" w:type="dxa"/>
            <w:vAlign w:val="center"/>
          </w:tcPr>
          <w:p w14:paraId="6DD4F4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63.03</w:t>
            </w:r>
          </w:p>
        </w:tc>
        <w:tc>
          <w:tcPr>
            <w:tcW w:w="3213" w:type="dxa"/>
            <w:vAlign w:val="center"/>
          </w:tcPr>
          <w:p w14:paraId="1DC4F7A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省第四季度集采</w:t>
            </w:r>
          </w:p>
        </w:tc>
        <w:tc>
          <w:tcPr>
            <w:tcW w:w="850" w:type="dxa"/>
            <w:vAlign w:val="center"/>
          </w:tcPr>
          <w:p w14:paraId="285E57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w:t>
            </w:r>
          </w:p>
        </w:tc>
        <w:tc>
          <w:tcPr>
            <w:tcW w:w="1276" w:type="dxa"/>
            <w:vAlign w:val="center"/>
          </w:tcPr>
          <w:p w14:paraId="465857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460FAD4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55.78</w:t>
            </w:r>
          </w:p>
        </w:tc>
        <w:tc>
          <w:tcPr>
            <w:tcW w:w="1333" w:type="dxa"/>
            <w:vAlign w:val="center"/>
          </w:tcPr>
          <w:p w14:paraId="6277D27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29D2E0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63.03</w:t>
            </w:r>
          </w:p>
        </w:tc>
      </w:tr>
      <w:tr w:rsidR="003F2129" w:rsidRPr="00DA3766" w14:paraId="29E02554" w14:textId="77777777" w:rsidTr="00635015">
        <w:trPr>
          <w:trHeight w:val="397"/>
          <w:jc w:val="center"/>
        </w:trPr>
        <w:tc>
          <w:tcPr>
            <w:tcW w:w="14559" w:type="dxa"/>
            <w:gridSpan w:val="10"/>
            <w:vAlign w:val="center"/>
          </w:tcPr>
          <w:p w14:paraId="49785BF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296BDB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58.12%</w:t>
            </w:r>
          </w:p>
        </w:tc>
      </w:tr>
    </w:tbl>
    <w:p w14:paraId="1704DD63" w14:textId="77777777" w:rsidR="003F2129" w:rsidRPr="00DA3766" w:rsidRDefault="003F2129" w:rsidP="00BF5BFE">
      <w:pPr>
        <w:pStyle w:val="006"/>
        <w:ind w:firstLine="420"/>
      </w:pPr>
      <w:r w:rsidRPr="00DA3766">
        <w:t>注</w:t>
      </w:r>
      <w:r w:rsidRPr="00DA3766">
        <w:t>1</w:t>
      </w:r>
      <w:r w:rsidRPr="00DA3766">
        <w:t>：收入金额为当年确认收入的金额，系不含税金额，期后回款金额为该项目的合同金额即含税金额，因此，收入确认金额存在小于回款金额的情形；</w:t>
      </w:r>
    </w:p>
    <w:p w14:paraId="30ADD896" w14:textId="77777777" w:rsidR="003F2129" w:rsidRPr="00DA3766" w:rsidRDefault="003F2129" w:rsidP="00BF5BFE">
      <w:pPr>
        <w:pStyle w:val="006"/>
        <w:ind w:firstLine="420"/>
      </w:pPr>
      <w:r w:rsidRPr="00DA3766">
        <w:t>注</w:t>
      </w:r>
      <w:r w:rsidRPr="00DA3766">
        <w:t>2</w:t>
      </w:r>
      <w:r w:rsidRPr="00DA3766">
        <w:t>：表格中收入确认方式为验收单的客户，对应合同主要为硬件销售合同；</w:t>
      </w:r>
    </w:p>
    <w:p w14:paraId="185AC01F" w14:textId="77777777" w:rsidR="003F2129" w:rsidRPr="00DA3766" w:rsidRDefault="003F2129" w:rsidP="00BF5BFE">
      <w:pPr>
        <w:pStyle w:val="006"/>
        <w:ind w:firstLine="420"/>
      </w:pPr>
      <w:r w:rsidRPr="00DA3766">
        <w:t>注</w:t>
      </w:r>
      <w:r w:rsidRPr="00DA3766">
        <w:t>3</w:t>
      </w:r>
      <w:r w:rsidRPr="00DA3766">
        <w:t>：应收账款期后回款统计</w:t>
      </w:r>
      <w:r w:rsidRPr="00DA3766">
        <w:t xml:space="preserve"> </w:t>
      </w:r>
      <w:r w:rsidRPr="00DA3766">
        <w:t>截至</w:t>
      </w:r>
      <w:r w:rsidRPr="00DA3766">
        <w:t>2025</w:t>
      </w:r>
      <w:r w:rsidRPr="00DA3766">
        <w:t>年</w:t>
      </w:r>
      <w:r w:rsidRPr="00DA3766">
        <w:t>12</w:t>
      </w:r>
      <w:r w:rsidRPr="00DA3766">
        <w:t>月</w:t>
      </w:r>
      <w:r w:rsidRPr="00DA3766">
        <w:t>31</w:t>
      </w:r>
      <w:r w:rsidRPr="00DA3766">
        <w:t>日。</w:t>
      </w:r>
    </w:p>
    <w:p w14:paraId="6C891FA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各期第四季度，上市公司大客户均变化较大，新合作的客户较多，这是由于上市公司以项目制的形式开展业务，通常以招投标方式获取项目，由于客户项目需求的不固定以及招投标结果的不确定性所致。上市公司最终客户主要为政府部门、事业单位及大型国有企业。客户实行严格的预算管理和集中采购制度，项目结算审计流程长、环节多。自</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年以来，上市公司主要客户预算收紧，相关项目付款流程延长，导致部分项目回款进度较慢。上市公司已经采取积极措施催收，并审慎计提坏账准备。</w:t>
      </w:r>
    </w:p>
    <w:p w14:paraId="19C38139" w14:textId="404993C3" w:rsidR="00271340" w:rsidRPr="00DA3766" w:rsidRDefault="003F2129" w:rsidP="003F2129">
      <w:pPr>
        <w:pStyle w:val="005"/>
        <w:spacing w:before="120" w:after="120"/>
        <w:ind w:firstLine="480"/>
      </w:pPr>
      <w:r w:rsidRPr="00DA3766">
        <w:rPr>
          <w:szCs w:val="23"/>
        </w:rPr>
        <w:t>上市公司报告期各期第四季度各项目收入确认政策及依据与整体收入确认依据一致，截至</w:t>
      </w:r>
      <w:r w:rsidRPr="00DA3766">
        <w:rPr>
          <w:szCs w:val="23"/>
        </w:rPr>
        <w:t>2025</w:t>
      </w:r>
      <w:r w:rsidRPr="00DA3766">
        <w:rPr>
          <w:szCs w:val="23"/>
        </w:rPr>
        <w:t>年</w:t>
      </w:r>
      <w:r w:rsidRPr="00DA3766">
        <w:rPr>
          <w:szCs w:val="23"/>
        </w:rPr>
        <w:t>12</w:t>
      </w:r>
      <w:r w:rsidRPr="00DA3766">
        <w:rPr>
          <w:szCs w:val="23"/>
        </w:rPr>
        <w:t>月</w:t>
      </w:r>
      <w:r w:rsidRPr="00DA3766">
        <w:rPr>
          <w:szCs w:val="23"/>
        </w:rPr>
        <w:t>31</w:t>
      </w:r>
      <w:r w:rsidRPr="00DA3766">
        <w:rPr>
          <w:szCs w:val="23"/>
        </w:rPr>
        <w:t>日，公司</w:t>
      </w:r>
      <w:r w:rsidRPr="00DA3766">
        <w:rPr>
          <w:szCs w:val="23"/>
        </w:rPr>
        <w:t>2022</w:t>
      </w:r>
      <w:r w:rsidRPr="00DA3766">
        <w:rPr>
          <w:szCs w:val="23"/>
        </w:rPr>
        <w:t>年至</w:t>
      </w:r>
      <w:r w:rsidRPr="00DA3766">
        <w:rPr>
          <w:szCs w:val="23"/>
        </w:rPr>
        <w:t>2024</w:t>
      </w:r>
      <w:r w:rsidRPr="00DA3766">
        <w:rPr>
          <w:szCs w:val="23"/>
        </w:rPr>
        <w:t>年第四季度主要客户回款比例分别为</w:t>
      </w:r>
      <w:r w:rsidRPr="00DA3766">
        <w:rPr>
          <w:szCs w:val="23"/>
        </w:rPr>
        <w:t>58.12%</w:t>
      </w:r>
      <w:r w:rsidRPr="00DA3766">
        <w:rPr>
          <w:szCs w:val="23"/>
        </w:rPr>
        <w:t>、</w:t>
      </w:r>
      <w:r w:rsidRPr="00DA3766">
        <w:rPr>
          <w:szCs w:val="23"/>
        </w:rPr>
        <w:t>73.32%</w:t>
      </w:r>
      <w:r w:rsidRPr="00DA3766">
        <w:rPr>
          <w:szCs w:val="23"/>
        </w:rPr>
        <w:t>、</w:t>
      </w:r>
      <w:r w:rsidRPr="00DA3766">
        <w:rPr>
          <w:szCs w:val="23"/>
        </w:rPr>
        <w:t>36.68%</w:t>
      </w:r>
      <w:r w:rsidRPr="00DA3766">
        <w:rPr>
          <w:szCs w:val="23"/>
        </w:rPr>
        <w:t>，相关客户主要系政府机关、事业单位以及国有企业，资质较好，期后回款主要受到客户财务预算以及审批流程影响，公司营业收入季节性特征符合其行业特征及</w:t>
      </w:r>
      <w:r w:rsidR="001307D4">
        <w:rPr>
          <w:szCs w:val="23"/>
        </w:rPr>
        <w:t>上市公司</w:t>
      </w:r>
      <w:r w:rsidRPr="00DA3766">
        <w:rPr>
          <w:szCs w:val="23"/>
        </w:rPr>
        <w:t>经营实际情况，具有合理性。</w:t>
      </w:r>
    </w:p>
    <w:p w14:paraId="21B57002" w14:textId="77777777" w:rsidR="00271340" w:rsidRPr="00DA3766" w:rsidRDefault="00271340" w:rsidP="00494545">
      <w:pPr>
        <w:pStyle w:val="001"/>
        <w:spacing w:before="120" w:after="120"/>
        <w:ind w:firstLine="480"/>
        <w:sectPr w:rsidR="00271340" w:rsidRPr="00DA3766" w:rsidSect="00271340">
          <w:pgSz w:w="16838" w:h="11906" w:orient="landscape"/>
          <w:pgMar w:top="1797" w:right="1440" w:bottom="1797" w:left="1440" w:header="851" w:footer="992" w:gutter="0"/>
          <w:cols w:space="425"/>
          <w:docGrid w:linePitch="312"/>
        </w:sectPr>
      </w:pPr>
    </w:p>
    <w:p w14:paraId="6BF8FAA8" w14:textId="77777777" w:rsidR="003F2129" w:rsidRPr="00DA3766" w:rsidRDefault="003F2129" w:rsidP="00BF5BFE">
      <w:pPr>
        <w:keepNext/>
        <w:keepLines/>
        <w:widowControl w:val="0"/>
        <w:spacing w:before="120" w:after="120"/>
        <w:ind w:firstLine="482"/>
        <w:jc w:val="both"/>
        <w:outlineLvl w:val="1"/>
        <w:rPr>
          <w:rFonts w:ascii="Times New Roman" w:hAnsi="Times New Roman" w:cs="Times New Roman"/>
          <w:b/>
          <w:bCs/>
          <w:kern w:val="2"/>
          <w:szCs w:val="28"/>
        </w:rPr>
      </w:pPr>
      <w:bookmarkStart w:id="284" w:name="_Hlk219843289"/>
      <w:r w:rsidRPr="00DA3766">
        <w:rPr>
          <w:rFonts w:ascii="Times New Roman" w:hAnsi="Times New Roman" w:cs="Times New Roman"/>
          <w:b/>
          <w:bCs/>
          <w:kern w:val="2"/>
          <w:szCs w:val="28"/>
        </w:rPr>
        <w:lastRenderedPageBreak/>
        <w:t>七、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p>
    <w:p w14:paraId="49B4F6C4"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（一）应收账款占营业收入比例较高并快速上升、应收账款周转率持续下降的原因及合理性，是否符合行业特征</w:t>
      </w:r>
    </w:p>
    <w:p w14:paraId="3E6BA13C"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、应收账款占营业收入比例较高并快速上升、应收账款周转率持续下降的原因</w:t>
      </w:r>
    </w:p>
    <w:p w14:paraId="4215411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年度，上市公司应收账款及占营业收入的比例、应收账款周转率具体情况如下：</w:t>
      </w:r>
    </w:p>
    <w:p w14:paraId="446E84A4" w14:textId="77777777" w:rsidR="003F2129" w:rsidRPr="00DA3766" w:rsidRDefault="003F2129" w:rsidP="00BF5BFE">
      <w:pPr>
        <w:pStyle w:val="009"/>
      </w:pPr>
      <w:r w:rsidRPr="00DA3766">
        <w:t>单位：万元、次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117"/>
        <w:gridCol w:w="2118"/>
        <w:gridCol w:w="2117"/>
      </w:tblGrid>
      <w:tr w:rsidR="003F2129" w:rsidRPr="00DA3766" w14:paraId="5533D3D9" w14:textId="77777777" w:rsidTr="00DA3766">
        <w:trPr>
          <w:trHeight w:val="397"/>
          <w:tblHeader/>
          <w:jc w:val="center"/>
        </w:trPr>
        <w:tc>
          <w:tcPr>
            <w:tcW w:w="1276" w:type="pct"/>
            <w:vAlign w:val="center"/>
          </w:tcPr>
          <w:p w14:paraId="5EE3626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241" w:type="pct"/>
            <w:vAlign w:val="center"/>
          </w:tcPr>
          <w:p w14:paraId="544275D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c>
          <w:tcPr>
            <w:tcW w:w="1242" w:type="pct"/>
            <w:vAlign w:val="center"/>
          </w:tcPr>
          <w:p w14:paraId="14B069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c>
          <w:tcPr>
            <w:tcW w:w="1241" w:type="pct"/>
            <w:vAlign w:val="center"/>
          </w:tcPr>
          <w:p w14:paraId="4ECACD5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r>
      <w:tr w:rsidR="003F2129" w:rsidRPr="00DA3766" w14:paraId="69FED01A" w14:textId="77777777" w:rsidTr="00DA3766">
        <w:trPr>
          <w:trHeight w:val="397"/>
          <w:jc w:val="center"/>
        </w:trPr>
        <w:tc>
          <w:tcPr>
            <w:tcW w:w="1276" w:type="pct"/>
            <w:vAlign w:val="center"/>
          </w:tcPr>
          <w:p w14:paraId="40531E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应收账款余额</w:t>
            </w:r>
          </w:p>
        </w:tc>
        <w:tc>
          <w:tcPr>
            <w:tcW w:w="1241" w:type="pct"/>
            <w:vAlign w:val="center"/>
          </w:tcPr>
          <w:p w14:paraId="4FD33D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35,820.76</w:t>
            </w:r>
          </w:p>
        </w:tc>
        <w:tc>
          <w:tcPr>
            <w:tcW w:w="1242" w:type="pct"/>
            <w:vAlign w:val="center"/>
          </w:tcPr>
          <w:p w14:paraId="75F2F8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36,530.02</w:t>
            </w:r>
          </w:p>
        </w:tc>
        <w:tc>
          <w:tcPr>
            <w:tcW w:w="1241" w:type="pct"/>
            <w:vAlign w:val="center"/>
          </w:tcPr>
          <w:p w14:paraId="0527FC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30,621.76</w:t>
            </w:r>
          </w:p>
        </w:tc>
      </w:tr>
      <w:tr w:rsidR="003F2129" w:rsidRPr="00DA3766" w14:paraId="2C2FE329" w14:textId="77777777" w:rsidTr="00DA3766">
        <w:trPr>
          <w:trHeight w:val="397"/>
          <w:jc w:val="center"/>
        </w:trPr>
        <w:tc>
          <w:tcPr>
            <w:tcW w:w="1276" w:type="pct"/>
            <w:vAlign w:val="center"/>
          </w:tcPr>
          <w:p w14:paraId="6F8255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应收账款坏账准备</w:t>
            </w:r>
          </w:p>
        </w:tc>
        <w:tc>
          <w:tcPr>
            <w:tcW w:w="1241" w:type="pct"/>
            <w:vAlign w:val="center"/>
          </w:tcPr>
          <w:p w14:paraId="762289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8,333.77</w:t>
            </w:r>
          </w:p>
        </w:tc>
        <w:tc>
          <w:tcPr>
            <w:tcW w:w="1242" w:type="pct"/>
            <w:vAlign w:val="center"/>
          </w:tcPr>
          <w:p w14:paraId="2612AE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6,542.68</w:t>
            </w:r>
          </w:p>
        </w:tc>
        <w:tc>
          <w:tcPr>
            <w:tcW w:w="1241" w:type="pct"/>
            <w:vAlign w:val="center"/>
          </w:tcPr>
          <w:p w14:paraId="35C6F1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4,019.54</w:t>
            </w:r>
          </w:p>
        </w:tc>
      </w:tr>
      <w:tr w:rsidR="003F2129" w:rsidRPr="00DA3766" w14:paraId="158C4DC3" w14:textId="77777777" w:rsidTr="00DA3766">
        <w:trPr>
          <w:trHeight w:val="397"/>
          <w:jc w:val="center"/>
        </w:trPr>
        <w:tc>
          <w:tcPr>
            <w:tcW w:w="1276" w:type="pct"/>
            <w:vAlign w:val="center"/>
          </w:tcPr>
          <w:p w14:paraId="442A6E8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应收账款账面价值</w:t>
            </w:r>
          </w:p>
        </w:tc>
        <w:tc>
          <w:tcPr>
            <w:tcW w:w="1241" w:type="pct"/>
            <w:vAlign w:val="center"/>
          </w:tcPr>
          <w:p w14:paraId="2ADF8B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27,486.99</w:t>
            </w:r>
          </w:p>
        </w:tc>
        <w:tc>
          <w:tcPr>
            <w:tcW w:w="1242" w:type="pct"/>
            <w:vAlign w:val="center"/>
          </w:tcPr>
          <w:p w14:paraId="5CF313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29,987.35</w:t>
            </w:r>
          </w:p>
        </w:tc>
        <w:tc>
          <w:tcPr>
            <w:tcW w:w="1241" w:type="pct"/>
            <w:vAlign w:val="center"/>
          </w:tcPr>
          <w:p w14:paraId="745254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26,602.22</w:t>
            </w:r>
          </w:p>
        </w:tc>
      </w:tr>
      <w:tr w:rsidR="003F2129" w:rsidRPr="00DA3766" w14:paraId="79099B33" w14:textId="77777777" w:rsidTr="00DA3766">
        <w:trPr>
          <w:trHeight w:val="397"/>
          <w:jc w:val="center"/>
        </w:trPr>
        <w:tc>
          <w:tcPr>
            <w:tcW w:w="1276" w:type="pct"/>
            <w:vAlign w:val="center"/>
          </w:tcPr>
          <w:p w14:paraId="428FED1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营业收入金额</w:t>
            </w:r>
          </w:p>
        </w:tc>
        <w:tc>
          <w:tcPr>
            <w:tcW w:w="1241" w:type="pct"/>
            <w:vAlign w:val="center"/>
          </w:tcPr>
          <w:p w14:paraId="268818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22,363.30</w:t>
            </w:r>
          </w:p>
        </w:tc>
        <w:tc>
          <w:tcPr>
            <w:tcW w:w="1242" w:type="pct"/>
            <w:vAlign w:val="center"/>
          </w:tcPr>
          <w:p w14:paraId="4E266B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41,000.98</w:t>
            </w:r>
          </w:p>
        </w:tc>
        <w:tc>
          <w:tcPr>
            <w:tcW w:w="1241" w:type="pct"/>
            <w:vAlign w:val="center"/>
          </w:tcPr>
          <w:p w14:paraId="32E793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43,921.75</w:t>
            </w:r>
          </w:p>
        </w:tc>
      </w:tr>
      <w:tr w:rsidR="003F2129" w:rsidRPr="00DA3766" w14:paraId="185FE34A" w14:textId="77777777" w:rsidTr="00DA3766">
        <w:trPr>
          <w:trHeight w:val="397"/>
          <w:jc w:val="center"/>
        </w:trPr>
        <w:tc>
          <w:tcPr>
            <w:tcW w:w="1276" w:type="pct"/>
            <w:vAlign w:val="center"/>
          </w:tcPr>
          <w:p w14:paraId="0093EB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应收账款余额占营业收入比例</w:t>
            </w:r>
          </w:p>
        </w:tc>
        <w:tc>
          <w:tcPr>
            <w:tcW w:w="1241" w:type="pct"/>
            <w:vAlign w:val="center"/>
          </w:tcPr>
          <w:p w14:paraId="45B54D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160.18%</w:t>
            </w:r>
          </w:p>
        </w:tc>
        <w:tc>
          <w:tcPr>
            <w:tcW w:w="1242" w:type="pct"/>
            <w:vAlign w:val="center"/>
          </w:tcPr>
          <w:p w14:paraId="5765FB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89.10%</w:t>
            </w:r>
          </w:p>
        </w:tc>
        <w:tc>
          <w:tcPr>
            <w:tcW w:w="1241" w:type="pct"/>
            <w:vAlign w:val="center"/>
          </w:tcPr>
          <w:p w14:paraId="7E798E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69.72%</w:t>
            </w:r>
          </w:p>
        </w:tc>
      </w:tr>
      <w:tr w:rsidR="003F2129" w:rsidRPr="00DA3766" w14:paraId="2A1897DC" w14:textId="77777777" w:rsidTr="00DA3766">
        <w:trPr>
          <w:trHeight w:val="397"/>
          <w:jc w:val="center"/>
        </w:trPr>
        <w:tc>
          <w:tcPr>
            <w:tcW w:w="1276" w:type="pct"/>
            <w:vAlign w:val="center"/>
          </w:tcPr>
          <w:p w14:paraId="319F5C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应收账款周转率</w:t>
            </w:r>
          </w:p>
        </w:tc>
        <w:tc>
          <w:tcPr>
            <w:tcW w:w="1241" w:type="pct"/>
            <w:vAlign w:val="center"/>
          </w:tcPr>
          <w:p w14:paraId="49B748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0.78</w:t>
            </w:r>
          </w:p>
        </w:tc>
        <w:tc>
          <w:tcPr>
            <w:tcW w:w="1242" w:type="pct"/>
            <w:vAlign w:val="center"/>
          </w:tcPr>
          <w:p w14:paraId="176F2E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1.45</w:t>
            </w:r>
          </w:p>
        </w:tc>
        <w:tc>
          <w:tcPr>
            <w:tcW w:w="1241" w:type="pct"/>
            <w:vAlign w:val="center"/>
          </w:tcPr>
          <w:p w14:paraId="1F480C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1.97</w:t>
            </w:r>
          </w:p>
        </w:tc>
      </w:tr>
    </w:tbl>
    <w:p w14:paraId="0C86AEF0" w14:textId="77777777" w:rsidR="003F2129" w:rsidRPr="00DA3766" w:rsidRDefault="003F2129" w:rsidP="00635015">
      <w:pPr>
        <w:widowControl w:val="0"/>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年，上市公司应收账款余额占营业收入的比重分别为</w:t>
      </w:r>
      <w:r w:rsidRPr="00DA3766">
        <w:rPr>
          <w:rFonts w:ascii="Times New Roman" w:hAnsi="Times New Roman" w:cs="Times New Roman"/>
          <w:kern w:val="2"/>
          <w:szCs w:val="23"/>
        </w:rPr>
        <w:t>69.72%</w:t>
      </w:r>
      <w:r w:rsidRPr="00DA3766">
        <w:rPr>
          <w:rFonts w:ascii="Times New Roman" w:hAnsi="Times New Roman" w:cs="Times New Roman"/>
          <w:kern w:val="2"/>
          <w:szCs w:val="23"/>
        </w:rPr>
        <w:t>、</w:t>
      </w:r>
      <w:r w:rsidRPr="00DA3766">
        <w:rPr>
          <w:rFonts w:ascii="Times New Roman" w:hAnsi="Times New Roman" w:cs="Times New Roman"/>
          <w:kern w:val="2"/>
          <w:szCs w:val="23"/>
        </w:rPr>
        <w:t>89.10%</w:t>
      </w:r>
      <w:r w:rsidRPr="00DA3766">
        <w:rPr>
          <w:rFonts w:ascii="Times New Roman" w:hAnsi="Times New Roman" w:cs="Times New Roman"/>
          <w:kern w:val="2"/>
          <w:szCs w:val="23"/>
        </w:rPr>
        <w:t>和</w:t>
      </w:r>
      <w:r w:rsidRPr="00DA3766">
        <w:rPr>
          <w:rFonts w:ascii="Times New Roman" w:hAnsi="Times New Roman" w:cs="Times New Roman"/>
          <w:kern w:val="2"/>
          <w:szCs w:val="23"/>
        </w:rPr>
        <w:t>160.18%</w:t>
      </w:r>
      <w:r w:rsidRPr="00DA3766">
        <w:rPr>
          <w:rFonts w:ascii="Times New Roman" w:hAnsi="Times New Roman" w:cs="Times New Roman"/>
          <w:kern w:val="2"/>
          <w:szCs w:val="23"/>
        </w:rPr>
        <w:t>，比重快速上升，应收账款周转率分别为</w:t>
      </w:r>
      <w:r w:rsidRPr="00DA3766">
        <w:rPr>
          <w:rFonts w:ascii="Times New Roman" w:hAnsi="Times New Roman" w:cs="Times New Roman"/>
          <w:kern w:val="2"/>
          <w:szCs w:val="23"/>
        </w:rPr>
        <w:t>1.97</w:t>
      </w:r>
      <w:r w:rsidRPr="00DA3766">
        <w:rPr>
          <w:rFonts w:ascii="Times New Roman" w:hAnsi="Times New Roman" w:cs="Times New Roman"/>
          <w:kern w:val="2"/>
          <w:szCs w:val="23"/>
        </w:rPr>
        <w:t>次、</w:t>
      </w:r>
      <w:r w:rsidRPr="00DA3766">
        <w:rPr>
          <w:rFonts w:ascii="Times New Roman" w:hAnsi="Times New Roman" w:cs="Times New Roman"/>
          <w:kern w:val="2"/>
          <w:szCs w:val="23"/>
        </w:rPr>
        <w:t>1.45</w:t>
      </w:r>
      <w:r w:rsidRPr="00DA3766">
        <w:rPr>
          <w:rFonts w:ascii="Times New Roman" w:hAnsi="Times New Roman" w:cs="Times New Roman"/>
          <w:kern w:val="2"/>
          <w:szCs w:val="23"/>
        </w:rPr>
        <w:t>次、</w:t>
      </w:r>
      <w:r w:rsidRPr="00DA3766">
        <w:rPr>
          <w:rFonts w:ascii="Times New Roman" w:hAnsi="Times New Roman" w:cs="Times New Roman"/>
          <w:kern w:val="2"/>
          <w:szCs w:val="23"/>
        </w:rPr>
        <w:t>0.78</w:t>
      </w:r>
      <w:r w:rsidRPr="00DA3766">
        <w:rPr>
          <w:rFonts w:ascii="Times New Roman" w:hAnsi="Times New Roman" w:cs="Times New Roman"/>
          <w:kern w:val="2"/>
          <w:szCs w:val="23"/>
        </w:rPr>
        <w:t>次，持续下降。该变化的主要原因为：（</w:t>
      </w:r>
      <w:r w:rsidRPr="00DA3766">
        <w:rPr>
          <w:rFonts w:ascii="Times New Roman" w:hAnsi="Times New Roman" w:cs="Times New Roman"/>
          <w:kern w:val="2"/>
          <w:szCs w:val="23"/>
        </w:rPr>
        <w:t>1</w:t>
      </w:r>
      <w:r w:rsidRPr="00DA3766">
        <w:rPr>
          <w:rFonts w:ascii="Times New Roman" w:hAnsi="Times New Roman" w:cs="Times New Roman"/>
          <w:kern w:val="2"/>
          <w:szCs w:val="23"/>
        </w:rPr>
        <w:t>）</w:t>
      </w:r>
      <w:r w:rsidRPr="00DA3766">
        <w:rPr>
          <w:rFonts w:ascii="Times New Roman" w:hAnsi="Times New Roman" w:cs="Times New Roman"/>
          <w:kern w:val="2"/>
          <w:szCs w:val="23"/>
        </w:rPr>
        <w:t>2023</w:t>
      </w:r>
      <w:r w:rsidRPr="00DA3766">
        <w:rPr>
          <w:rFonts w:ascii="Times New Roman" w:hAnsi="Times New Roman" w:cs="Times New Roman"/>
          <w:kern w:val="2"/>
          <w:szCs w:val="23"/>
        </w:rPr>
        <w:t>年度，上市公司主要所面向的智慧政务市场需求不足，行业竞争加剧，上市公司营业收入同比减少</w:t>
      </w:r>
      <w:r w:rsidRPr="00DA3766">
        <w:rPr>
          <w:rFonts w:ascii="Times New Roman" w:hAnsi="Times New Roman" w:cs="Times New Roman"/>
          <w:kern w:val="2"/>
          <w:szCs w:val="23"/>
        </w:rPr>
        <w:t>2,920.77</w:t>
      </w:r>
      <w:r w:rsidRPr="00DA3766">
        <w:rPr>
          <w:rFonts w:ascii="Times New Roman" w:hAnsi="Times New Roman" w:cs="Times New Roman"/>
          <w:kern w:val="2"/>
          <w:szCs w:val="23"/>
        </w:rPr>
        <w:t>万元。</w:t>
      </w:r>
      <w:r w:rsidRPr="00DA3766">
        <w:rPr>
          <w:rFonts w:ascii="Times New Roman" w:hAnsi="Times New Roman" w:cs="Times New Roman"/>
          <w:kern w:val="2"/>
          <w:szCs w:val="23"/>
        </w:rPr>
        <w:t>2024</w:t>
      </w:r>
      <w:r w:rsidRPr="00DA3766">
        <w:rPr>
          <w:rFonts w:ascii="Times New Roman" w:hAnsi="Times New Roman" w:cs="Times New Roman"/>
          <w:kern w:val="2"/>
          <w:szCs w:val="23"/>
        </w:rPr>
        <w:t>年度，基层政府财政压力进一步加大，伴随经济景气度降低及企业客户需求不足，公司谨慎承接业务，</w:t>
      </w:r>
      <w:r w:rsidRPr="00DA3766">
        <w:rPr>
          <w:rFonts w:ascii="Times New Roman" w:hAnsi="Times New Roman" w:cs="Times New Roman"/>
          <w:kern w:val="2"/>
          <w:szCs w:val="23"/>
        </w:rPr>
        <w:t>2024</w:t>
      </w:r>
      <w:r w:rsidRPr="00DA3766">
        <w:rPr>
          <w:rFonts w:ascii="Times New Roman" w:hAnsi="Times New Roman" w:cs="Times New Roman"/>
          <w:kern w:val="2"/>
          <w:szCs w:val="23"/>
        </w:rPr>
        <w:t>年度营业收入同比大幅下滑</w:t>
      </w:r>
      <w:r w:rsidRPr="00DA3766">
        <w:rPr>
          <w:rFonts w:ascii="Times New Roman" w:hAnsi="Times New Roman" w:cs="Times New Roman"/>
          <w:kern w:val="2"/>
          <w:szCs w:val="23"/>
        </w:rPr>
        <w:t>1.86</w:t>
      </w:r>
      <w:r w:rsidRPr="00DA3766">
        <w:rPr>
          <w:rFonts w:ascii="Times New Roman" w:hAnsi="Times New Roman" w:cs="Times New Roman"/>
          <w:kern w:val="2"/>
          <w:szCs w:val="23"/>
        </w:rPr>
        <w:t>亿元，下滑幅度为</w:t>
      </w:r>
      <w:r w:rsidRPr="00DA3766">
        <w:rPr>
          <w:rFonts w:ascii="Times New Roman" w:hAnsi="Times New Roman" w:cs="Times New Roman"/>
          <w:kern w:val="2"/>
          <w:szCs w:val="23"/>
        </w:rPr>
        <w:t>45.46%</w:t>
      </w:r>
      <w:r w:rsidRPr="00DA3766">
        <w:rPr>
          <w:rFonts w:ascii="Times New Roman" w:hAnsi="Times New Roman" w:cs="Times New Roman"/>
          <w:kern w:val="2"/>
          <w:szCs w:val="23"/>
        </w:rPr>
        <w:t>；（</w:t>
      </w:r>
      <w:r w:rsidRPr="00DA3766">
        <w:rPr>
          <w:rFonts w:ascii="Times New Roman" w:hAnsi="Times New Roman" w:cs="Times New Roman"/>
          <w:kern w:val="2"/>
          <w:szCs w:val="23"/>
        </w:rPr>
        <w:t>2</w:t>
      </w:r>
      <w:r w:rsidRPr="00DA3766">
        <w:rPr>
          <w:rFonts w:ascii="Times New Roman" w:hAnsi="Times New Roman" w:cs="Times New Roman"/>
          <w:kern w:val="2"/>
          <w:szCs w:val="23"/>
        </w:rPr>
        <w:t>）上市公司主营业务为智慧城市解决方案，该类业务最终客户主要为政府部门、事业单位及大型国有企业。客户实行严格的预算管理和集中采购制度，项目结算审计流程长、环节多。自</w:t>
      </w:r>
      <w:r w:rsidRPr="00DA3766">
        <w:rPr>
          <w:rFonts w:ascii="Times New Roman" w:hAnsi="Times New Roman" w:cs="Times New Roman"/>
          <w:kern w:val="2"/>
          <w:szCs w:val="23"/>
        </w:rPr>
        <w:t>2023</w:t>
      </w:r>
      <w:r w:rsidRPr="00DA3766">
        <w:rPr>
          <w:rFonts w:ascii="Times New Roman" w:hAnsi="Times New Roman" w:cs="Times New Roman"/>
          <w:kern w:val="2"/>
          <w:szCs w:val="23"/>
        </w:rPr>
        <w:t>年以来，上市公司主要客户预算收紧，相关项目付款流程延长，导致公司应收账款快速增长，促进应收</w:t>
      </w:r>
      <w:r w:rsidRPr="00DA3766">
        <w:rPr>
          <w:rFonts w:ascii="Times New Roman" w:hAnsi="Times New Roman" w:cs="Times New Roman"/>
          <w:kern w:val="2"/>
          <w:szCs w:val="23"/>
        </w:rPr>
        <w:lastRenderedPageBreak/>
        <w:t>账款余额占营业收入比例快速上升。</w:t>
      </w:r>
    </w:p>
    <w:p w14:paraId="25F1E2C3"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、同行业可比公司情况</w:t>
      </w:r>
    </w:p>
    <w:p w14:paraId="4B9527CF"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报告期各期末，上市公司与同行业可比公司应收账款余额占营业收入的比例情况如下：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F2129" w:rsidRPr="00DA3766" w14:paraId="0D931D2D" w14:textId="77777777" w:rsidTr="00DA3766">
        <w:trPr>
          <w:trHeight w:val="397"/>
          <w:tblHeader/>
          <w:jc w:val="center"/>
        </w:trPr>
        <w:tc>
          <w:tcPr>
            <w:tcW w:w="894" w:type="pct"/>
            <w:vAlign w:val="center"/>
            <w:hideMark/>
          </w:tcPr>
          <w:p w14:paraId="3425094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69" w:type="pct"/>
            <w:vAlign w:val="center"/>
            <w:hideMark/>
          </w:tcPr>
          <w:p w14:paraId="0BE2349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0008AD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68011BC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21DB4BF7" w14:textId="77777777" w:rsidTr="00DA3766">
        <w:trPr>
          <w:trHeight w:val="397"/>
          <w:jc w:val="center"/>
        </w:trPr>
        <w:tc>
          <w:tcPr>
            <w:tcW w:w="894" w:type="pct"/>
            <w:vAlign w:val="center"/>
            <w:hideMark/>
          </w:tcPr>
          <w:p w14:paraId="5FD308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369" w:type="pct"/>
            <w:vAlign w:val="center"/>
            <w:hideMark/>
          </w:tcPr>
          <w:p w14:paraId="3E06CA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81.85%</w:t>
            </w:r>
          </w:p>
        </w:tc>
        <w:tc>
          <w:tcPr>
            <w:tcW w:w="1369" w:type="pct"/>
            <w:vAlign w:val="center"/>
            <w:hideMark/>
          </w:tcPr>
          <w:p w14:paraId="25859D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90.91%</w:t>
            </w:r>
          </w:p>
        </w:tc>
        <w:tc>
          <w:tcPr>
            <w:tcW w:w="1369" w:type="pct"/>
            <w:vAlign w:val="center"/>
            <w:hideMark/>
          </w:tcPr>
          <w:p w14:paraId="11E88F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104.79%</w:t>
            </w:r>
          </w:p>
        </w:tc>
      </w:tr>
      <w:tr w:rsidR="003F2129" w:rsidRPr="00DA3766" w14:paraId="4EEF729B" w14:textId="77777777" w:rsidTr="00DA3766">
        <w:trPr>
          <w:trHeight w:val="397"/>
          <w:jc w:val="center"/>
        </w:trPr>
        <w:tc>
          <w:tcPr>
            <w:tcW w:w="894" w:type="pct"/>
            <w:vAlign w:val="center"/>
            <w:hideMark/>
          </w:tcPr>
          <w:p w14:paraId="74FDFD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369" w:type="pct"/>
            <w:vAlign w:val="center"/>
            <w:hideMark/>
          </w:tcPr>
          <w:p w14:paraId="4F0053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59.79%</w:t>
            </w:r>
          </w:p>
        </w:tc>
        <w:tc>
          <w:tcPr>
            <w:tcW w:w="1369" w:type="pct"/>
            <w:vAlign w:val="center"/>
            <w:hideMark/>
          </w:tcPr>
          <w:p w14:paraId="5A992E5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42.02%</w:t>
            </w:r>
          </w:p>
        </w:tc>
        <w:tc>
          <w:tcPr>
            <w:tcW w:w="1369" w:type="pct"/>
            <w:vAlign w:val="center"/>
            <w:hideMark/>
          </w:tcPr>
          <w:p w14:paraId="419367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53.85%</w:t>
            </w:r>
          </w:p>
        </w:tc>
      </w:tr>
      <w:tr w:rsidR="003F2129" w:rsidRPr="00DA3766" w14:paraId="6AE97D0B" w14:textId="77777777" w:rsidTr="00DA3766">
        <w:trPr>
          <w:trHeight w:val="397"/>
          <w:jc w:val="center"/>
        </w:trPr>
        <w:tc>
          <w:tcPr>
            <w:tcW w:w="894" w:type="pct"/>
            <w:vAlign w:val="center"/>
            <w:hideMark/>
          </w:tcPr>
          <w:p w14:paraId="530C78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369" w:type="pct"/>
            <w:vAlign w:val="center"/>
            <w:hideMark/>
          </w:tcPr>
          <w:p w14:paraId="2078B3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78.95%</w:t>
            </w:r>
          </w:p>
        </w:tc>
        <w:tc>
          <w:tcPr>
            <w:tcW w:w="1369" w:type="pct"/>
            <w:vAlign w:val="center"/>
            <w:hideMark/>
          </w:tcPr>
          <w:p w14:paraId="517EA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82.08%</w:t>
            </w:r>
          </w:p>
        </w:tc>
        <w:tc>
          <w:tcPr>
            <w:tcW w:w="1369" w:type="pct"/>
            <w:vAlign w:val="center"/>
            <w:hideMark/>
          </w:tcPr>
          <w:p w14:paraId="01EFE3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80.20%</w:t>
            </w:r>
          </w:p>
        </w:tc>
      </w:tr>
      <w:tr w:rsidR="003F2129" w:rsidRPr="00DA3766" w14:paraId="175FC3D4" w14:textId="77777777" w:rsidTr="00DA3766">
        <w:trPr>
          <w:trHeight w:val="397"/>
          <w:jc w:val="center"/>
        </w:trPr>
        <w:tc>
          <w:tcPr>
            <w:tcW w:w="894" w:type="pct"/>
            <w:vAlign w:val="center"/>
            <w:hideMark/>
          </w:tcPr>
          <w:p w14:paraId="1A6F0C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369" w:type="pct"/>
            <w:vAlign w:val="center"/>
            <w:hideMark/>
          </w:tcPr>
          <w:p w14:paraId="313405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87.48%</w:t>
            </w:r>
          </w:p>
        </w:tc>
        <w:tc>
          <w:tcPr>
            <w:tcW w:w="1369" w:type="pct"/>
            <w:vAlign w:val="center"/>
            <w:hideMark/>
          </w:tcPr>
          <w:p w14:paraId="33BF0F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61.87%</w:t>
            </w:r>
          </w:p>
        </w:tc>
        <w:tc>
          <w:tcPr>
            <w:tcW w:w="1369" w:type="pct"/>
            <w:vAlign w:val="center"/>
            <w:hideMark/>
          </w:tcPr>
          <w:p w14:paraId="43C5D3E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53.14%</w:t>
            </w:r>
          </w:p>
        </w:tc>
      </w:tr>
      <w:tr w:rsidR="003F2129" w:rsidRPr="00DA3766" w14:paraId="0CDFA9A6" w14:textId="77777777" w:rsidTr="00DA3766">
        <w:trPr>
          <w:trHeight w:val="397"/>
          <w:jc w:val="center"/>
        </w:trPr>
        <w:tc>
          <w:tcPr>
            <w:tcW w:w="894" w:type="pct"/>
            <w:vAlign w:val="center"/>
            <w:hideMark/>
          </w:tcPr>
          <w:p w14:paraId="4FE84D3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369" w:type="pct"/>
            <w:vAlign w:val="center"/>
            <w:hideMark/>
          </w:tcPr>
          <w:p w14:paraId="1DE82A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110.03%</w:t>
            </w:r>
          </w:p>
        </w:tc>
        <w:tc>
          <w:tcPr>
            <w:tcW w:w="1369" w:type="pct"/>
            <w:vAlign w:val="center"/>
            <w:hideMark/>
          </w:tcPr>
          <w:p w14:paraId="6EAC94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104.56%</w:t>
            </w:r>
          </w:p>
        </w:tc>
        <w:tc>
          <w:tcPr>
            <w:tcW w:w="1369" w:type="pct"/>
            <w:vAlign w:val="center"/>
            <w:hideMark/>
          </w:tcPr>
          <w:p w14:paraId="6DB9D2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83.90%</w:t>
            </w:r>
          </w:p>
        </w:tc>
      </w:tr>
      <w:tr w:rsidR="003F2129" w:rsidRPr="00DA3766" w14:paraId="78E22FE6" w14:textId="77777777" w:rsidTr="00DA3766">
        <w:trPr>
          <w:trHeight w:val="397"/>
          <w:jc w:val="center"/>
        </w:trPr>
        <w:tc>
          <w:tcPr>
            <w:tcW w:w="894" w:type="pct"/>
            <w:vAlign w:val="center"/>
            <w:hideMark/>
          </w:tcPr>
          <w:p w14:paraId="7B7BFD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369" w:type="pct"/>
            <w:vAlign w:val="center"/>
            <w:hideMark/>
          </w:tcPr>
          <w:p w14:paraId="5EB05A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220.81%</w:t>
            </w:r>
          </w:p>
        </w:tc>
        <w:tc>
          <w:tcPr>
            <w:tcW w:w="1369" w:type="pct"/>
            <w:vAlign w:val="center"/>
            <w:hideMark/>
          </w:tcPr>
          <w:p w14:paraId="2E8F5B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91.38%</w:t>
            </w:r>
          </w:p>
        </w:tc>
        <w:tc>
          <w:tcPr>
            <w:tcW w:w="1369" w:type="pct"/>
            <w:vAlign w:val="center"/>
            <w:hideMark/>
          </w:tcPr>
          <w:p w14:paraId="4CB5E3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80.77%</w:t>
            </w:r>
          </w:p>
        </w:tc>
      </w:tr>
      <w:tr w:rsidR="003F2129" w:rsidRPr="00DA3766" w14:paraId="619E9471" w14:textId="77777777" w:rsidTr="00DA3766">
        <w:trPr>
          <w:trHeight w:val="397"/>
          <w:jc w:val="center"/>
        </w:trPr>
        <w:tc>
          <w:tcPr>
            <w:tcW w:w="894" w:type="pct"/>
            <w:vAlign w:val="center"/>
            <w:hideMark/>
          </w:tcPr>
          <w:p w14:paraId="185474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369" w:type="pct"/>
            <w:vAlign w:val="center"/>
            <w:hideMark/>
          </w:tcPr>
          <w:p w14:paraId="7B178B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70.75%</w:t>
            </w:r>
          </w:p>
        </w:tc>
        <w:tc>
          <w:tcPr>
            <w:tcW w:w="1369" w:type="pct"/>
            <w:vAlign w:val="center"/>
            <w:hideMark/>
          </w:tcPr>
          <w:p w14:paraId="515A5B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37.84%</w:t>
            </w:r>
          </w:p>
        </w:tc>
        <w:tc>
          <w:tcPr>
            <w:tcW w:w="1369" w:type="pct"/>
            <w:vAlign w:val="center"/>
            <w:hideMark/>
          </w:tcPr>
          <w:p w14:paraId="126256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35.23%</w:t>
            </w:r>
          </w:p>
        </w:tc>
      </w:tr>
      <w:tr w:rsidR="003F2129" w:rsidRPr="00DA3766" w14:paraId="2EEF575E" w14:textId="77777777" w:rsidTr="00DA3766">
        <w:trPr>
          <w:trHeight w:val="397"/>
          <w:jc w:val="center"/>
        </w:trPr>
        <w:tc>
          <w:tcPr>
            <w:tcW w:w="894" w:type="pct"/>
            <w:vAlign w:val="center"/>
            <w:hideMark/>
          </w:tcPr>
          <w:p w14:paraId="1BB1A8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369" w:type="pct"/>
            <w:vAlign w:val="center"/>
            <w:hideMark/>
          </w:tcPr>
          <w:p w14:paraId="099E68A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285" w:name="_Hlk220161203"/>
            <w:r w:rsidRPr="00DA3766">
              <w:rPr>
                <w:rFonts w:ascii="Times New Roman" w:hAnsi="Times New Roman" w:cs="Times New Roman"/>
                <w:b/>
                <w:bCs/>
                <w:color w:val="000000"/>
                <w:kern w:val="2"/>
                <w:sz w:val="21"/>
                <w:szCs w:val="22"/>
                <w14:ligatures w14:val="standardContextual"/>
              </w:rPr>
              <w:t>86.46%</w:t>
            </w:r>
            <w:bookmarkEnd w:id="285"/>
          </w:p>
        </w:tc>
        <w:tc>
          <w:tcPr>
            <w:tcW w:w="1369" w:type="pct"/>
            <w:vAlign w:val="center"/>
            <w:hideMark/>
          </w:tcPr>
          <w:p w14:paraId="1D218B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61.07%</w:t>
            </w:r>
          </w:p>
        </w:tc>
        <w:tc>
          <w:tcPr>
            <w:tcW w:w="1369" w:type="pct"/>
            <w:vAlign w:val="center"/>
            <w:hideMark/>
          </w:tcPr>
          <w:p w14:paraId="2AEF071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58.59%</w:t>
            </w:r>
          </w:p>
        </w:tc>
      </w:tr>
      <w:tr w:rsidR="003F2129" w:rsidRPr="00DA3766" w14:paraId="6FF107E7" w14:textId="77777777" w:rsidTr="00DA3766">
        <w:trPr>
          <w:trHeight w:val="397"/>
          <w:jc w:val="center"/>
        </w:trPr>
        <w:tc>
          <w:tcPr>
            <w:tcW w:w="894" w:type="pct"/>
            <w:vAlign w:val="center"/>
            <w:hideMark/>
          </w:tcPr>
          <w:p w14:paraId="2EF7877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369" w:type="pct"/>
            <w:vAlign w:val="center"/>
            <w:hideMark/>
          </w:tcPr>
          <w:p w14:paraId="6914C3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81.27%</w:t>
            </w:r>
          </w:p>
        </w:tc>
        <w:tc>
          <w:tcPr>
            <w:tcW w:w="1369" w:type="pct"/>
            <w:vAlign w:val="center"/>
            <w:hideMark/>
          </w:tcPr>
          <w:p w14:paraId="5CA305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76.08%</w:t>
            </w:r>
          </w:p>
        </w:tc>
        <w:tc>
          <w:tcPr>
            <w:tcW w:w="1369" w:type="pct"/>
            <w:vAlign w:val="center"/>
            <w:hideMark/>
          </w:tcPr>
          <w:p w14:paraId="751CE1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74.99%</w:t>
            </w:r>
          </w:p>
        </w:tc>
      </w:tr>
      <w:tr w:rsidR="003F2129" w:rsidRPr="00DA3766" w14:paraId="11143013" w14:textId="77777777" w:rsidTr="00DA3766">
        <w:trPr>
          <w:trHeight w:val="397"/>
          <w:jc w:val="center"/>
        </w:trPr>
        <w:tc>
          <w:tcPr>
            <w:tcW w:w="894" w:type="pct"/>
            <w:vAlign w:val="center"/>
            <w:hideMark/>
          </w:tcPr>
          <w:p w14:paraId="0CC924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369" w:type="pct"/>
            <w:vAlign w:val="center"/>
            <w:hideMark/>
          </w:tcPr>
          <w:p w14:paraId="1B8EE3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160.18%</w:t>
            </w:r>
          </w:p>
        </w:tc>
        <w:tc>
          <w:tcPr>
            <w:tcW w:w="1369" w:type="pct"/>
            <w:vAlign w:val="center"/>
            <w:hideMark/>
          </w:tcPr>
          <w:p w14:paraId="53C4C7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89.10%</w:t>
            </w:r>
          </w:p>
        </w:tc>
        <w:tc>
          <w:tcPr>
            <w:tcW w:w="1369" w:type="pct"/>
            <w:vAlign w:val="center"/>
            <w:hideMark/>
          </w:tcPr>
          <w:p w14:paraId="3F2BDE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69.72%</w:t>
            </w:r>
          </w:p>
        </w:tc>
      </w:tr>
    </w:tbl>
    <w:p w14:paraId="4E84F3B0" w14:textId="39A2D305" w:rsidR="003F2129" w:rsidRPr="00DA3766" w:rsidRDefault="003F2129" w:rsidP="003F2129">
      <w:pPr>
        <w:widowControl w:val="0"/>
        <w:snapToGrid w:val="0"/>
        <w:spacing w:before="120" w:afterLines="0" w:after="12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报告期各期末，同行业可比公司应收账款占营业收入比例的平均值分别为</w:t>
      </w:r>
      <w:r w:rsidRPr="00DA3766">
        <w:rPr>
          <w:rFonts w:ascii="Times New Roman" w:hAnsi="Times New Roman" w:cs="Times New Roman"/>
          <w:kern w:val="2"/>
          <w:szCs w:val="23"/>
        </w:rPr>
        <w:t>58.59%</w:t>
      </w:r>
      <w:r w:rsidRPr="00DA3766">
        <w:rPr>
          <w:rFonts w:ascii="Times New Roman" w:hAnsi="Times New Roman" w:cs="Times New Roman"/>
          <w:kern w:val="2"/>
          <w:szCs w:val="23"/>
        </w:rPr>
        <w:t>、</w:t>
      </w:r>
      <w:r w:rsidRPr="00DA3766">
        <w:rPr>
          <w:rFonts w:ascii="Times New Roman" w:hAnsi="Times New Roman" w:cs="Times New Roman"/>
          <w:kern w:val="2"/>
          <w:szCs w:val="23"/>
        </w:rPr>
        <w:t>61.07%</w:t>
      </w:r>
      <w:r w:rsidRPr="00DA3766">
        <w:rPr>
          <w:rFonts w:ascii="Times New Roman" w:hAnsi="Times New Roman" w:cs="Times New Roman"/>
          <w:kern w:val="2"/>
          <w:szCs w:val="23"/>
        </w:rPr>
        <w:t>、</w:t>
      </w:r>
      <w:r w:rsidRPr="00DA3766">
        <w:rPr>
          <w:rFonts w:ascii="Times New Roman" w:hAnsi="Times New Roman" w:cs="Times New Roman"/>
          <w:kern w:val="2"/>
          <w:szCs w:val="23"/>
        </w:rPr>
        <w:t>86.46%</w:t>
      </w:r>
      <w:r w:rsidRPr="00DA3766">
        <w:rPr>
          <w:rFonts w:ascii="Times New Roman" w:hAnsi="Times New Roman" w:cs="Times New Roman"/>
          <w:kern w:val="2"/>
          <w:szCs w:val="23"/>
        </w:rPr>
        <w:t>，其中，</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年上市公司应收账款余额账面价值占营业收入的比例在可比公司范围内，且与行业平均水平变动趋势保持一致。其中，</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年，上市公司应收账款余额价值占营业收入比例相较于同行业可比公司</w:t>
      </w:r>
      <w:r w:rsidR="00B62A58" w:rsidRPr="00DA3766">
        <w:rPr>
          <w:rFonts w:ascii="Times New Roman" w:hAnsi="Times New Roman" w:cs="Times New Roman"/>
          <w:kern w:val="2"/>
          <w:szCs w:val="23"/>
        </w:rPr>
        <w:t>上升幅度更大</w:t>
      </w:r>
      <w:r w:rsidRPr="00DA3766">
        <w:rPr>
          <w:rFonts w:ascii="Times New Roman" w:hAnsi="Times New Roman" w:cs="Times New Roman"/>
          <w:kern w:val="2"/>
          <w:szCs w:val="23"/>
        </w:rPr>
        <w:t>，主要系上市公司主动加强风险管控，收紧信用政策，对资金预算紧张的项目采取更加审慎态度，不参与高风险项目招投标，或暂停在手项目的投入，控制回款风险，减少项目对资金的占用，导致公司</w:t>
      </w:r>
      <w:r w:rsidRPr="00DA3766">
        <w:rPr>
          <w:rFonts w:ascii="Times New Roman" w:hAnsi="Times New Roman" w:cs="Times New Roman"/>
          <w:kern w:val="2"/>
          <w:szCs w:val="23"/>
        </w:rPr>
        <w:t>2024</w:t>
      </w:r>
      <w:r w:rsidRPr="00DA3766">
        <w:rPr>
          <w:rFonts w:ascii="Times New Roman" w:hAnsi="Times New Roman" w:cs="Times New Roman"/>
          <w:kern w:val="2"/>
          <w:szCs w:val="23"/>
        </w:rPr>
        <w:t>年收入下降比例高于同行业可比公司</w:t>
      </w:r>
      <w:r w:rsidRPr="00DA3766">
        <w:rPr>
          <w:rFonts w:ascii="Times New Roman" w:hAnsi="Times New Roman" w:cs="Times New Roman"/>
          <w:kern w:val="2"/>
          <w14:ligatures w14:val="standardContextual"/>
        </w:rPr>
        <w:t>。</w:t>
      </w:r>
    </w:p>
    <w:p w14:paraId="5D8575E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综上所述，上市公司应收账款占营业收入的比例因客户预算收紧、公司谨慎承接业务等原因上升，与同行业可比公司变动趋势基本一致，具有合理性。</w:t>
      </w:r>
    </w:p>
    <w:p w14:paraId="640956B7"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、应收账款周转率与同行业可比公司存在差异的合理性</w:t>
      </w:r>
    </w:p>
    <w:p w14:paraId="555099F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报告期各期，标的公司应收账款周转率与同行业可比公司对比情况如下：</w:t>
      </w:r>
    </w:p>
    <w:p w14:paraId="102FCA17" w14:textId="77777777" w:rsidR="003F2129" w:rsidRPr="00DA3766" w:rsidRDefault="003F2129" w:rsidP="00BF5BFE">
      <w:pPr>
        <w:pStyle w:val="009"/>
      </w:pPr>
      <w:r w:rsidRPr="00DA3766">
        <w:lastRenderedPageBreak/>
        <w:t>单位：次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F2129" w:rsidRPr="00DA3766" w14:paraId="753980E3" w14:textId="77777777" w:rsidTr="00DA3766">
        <w:trPr>
          <w:trHeight w:val="397"/>
          <w:tblHeader/>
          <w:jc w:val="center"/>
        </w:trPr>
        <w:tc>
          <w:tcPr>
            <w:tcW w:w="894" w:type="pct"/>
            <w:vAlign w:val="center"/>
            <w:hideMark/>
          </w:tcPr>
          <w:p w14:paraId="146885A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69" w:type="pct"/>
            <w:vAlign w:val="center"/>
            <w:hideMark/>
          </w:tcPr>
          <w:p w14:paraId="08DC6BC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0B20754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774034E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5963B493" w14:textId="77777777" w:rsidTr="00DA3766">
        <w:trPr>
          <w:trHeight w:val="397"/>
          <w:jc w:val="center"/>
        </w:trPr>
        <w:tc>
          <w:tcPr>
            <w:tcW w:w="894" w:type="pct"/>
            <w:vAlign w:val="center"/>
            <w:hideMark/>
          </w:tcPr>
          <w:p w14:paraId="3A128D0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369" w:type="pct"/>
            <w:vAlign w:val="center"/>
            <w:hideMark/>
          </w:tcPr>
          <w:p w14:paraId="74BA57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2.19</w:t>
            </w:r>
          </w:p>
        </w:tc>
        <w:tc>
          <w:tcPr>
            <w:tcW w:w="1369" w:type="pct"/>
            <w:vAlign w:val="center"/>
            <w:hideMark/>
          </w:tcPr>
          <w:p w14:paraId="2BB729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1.67</w:t>
            </w:r>
          </w:p>
        </w:tc>
        <w:tc>
          <w:tcPr>
            <w:tcW w:w="1369" w:type="pct"/>
            <w:vAlign w:val="center"/>
            <w:hideMark/>
          </w:tcPr>
          <w:p w14:paraId="2CC9EB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1.21</w:t>
            </w:r>
          </w:p>
        </w:tc>
      </w:tr>
      <w:tr w:rsidR="003F2129" w:rsidRPr="00DA3766" w14:paraId="0D377FAE" w14:textId="77777777" w:rsidTr="00DA3766">
        <w:trPr>
          <w:trHeight w:val="397"/>
          <w:jc w:val="center"/>
        </w:trPr>
        <w:tc>
          <w:tcPr>
            <w:tcW w:w="894" w:type="pct"/>
            <w:vAlign w:val="center"/>
            <w:hideMark/>
          </w:tcPr>
          <w:p w14:paraId="61134B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369" w:type="pct"/>
            <w:vAlign w:val="center"/>
            <w:hideMark/>
          </w:tcPr>
          <w:p w14:paraId="3C56E1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2.73</w:t>
            </w:r>
          </w:p>
        </w:tc>
        <w:tc>
          <w:tcPr>
            <w:tcW w:w="1369" w:type="pct"/>
            <w:vAlign w:val="center"/>
            <w:hideMark/>
          </w:tcPr>
          <w:p w14:paraId="6C17EAB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4.00</w:t>
            </w:r>
          </w:p>
        </w:tc>
        <w:tc>
          <w:tcPr>
            <w:tcW w:w="1369" w:type="pct"/>
            <w:vAlign w:val="center"/>
            <w:hideMark/>
          </w:tcPr>
          <w:p w14:paraId="6C9438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2.82</w:t>
            </w:r>
          </w:p>
        </w:tc>
      </w:tr>
      <w:tr w:rsidR="003F2129" w:rsidRPr="00DA3766" w14:paraId="6E8133EA" w14:textId="77777777" w:rsidTr="00DA3766">
        <w:trPr>
          <w:trHeight w:val="397"/>
          <w:jc w:val="center"/>
        </w:trPr>
        <w:tc>
          <w:tcPr>
            <w:tcW w:w="894" w:type="pct"/>
            <w:vAlign w:val="center"/>
            <w:hideMark/>
          </w:tcPr>
          <w:p w14:paraId="2529DC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369" w:type="pct"/>
            <w:vAlign w:val="center"/>
            <w:hideMark/>
          </w:tcPr>
          <w:p w14:paraId="52086C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w:t>
            </w:r>
          </w:p>
        </w:tc>
        <w:tc>
          <w:tcPr>
            <w:tcW w:w="1369" w:type="pct"/>
            <w:vAlign w:val="center"/>
            <w:hideMark/>
          </w:tcPr>
          <w:p w14:paraId="2844D2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p>
        </w:tc>
        <w:tc>
          <w:tcPr>
            <w:tcW w:w="1369" w:type="pct"/>
            <w:vAlign w:val="center"/>
            <w:hideMark/>
          </w:tcPr>
          <w:p w14:paraId="735A69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w:t>
            </w:r>
          </w:p>
        </w:tc>
      </w:tr>
      <w:tr w:rsidR="003F2129" w:rsidRPr="00DA3766" w14:paraId="156C1F4F" w14:textId="77777777" w:rsidTr="00DA3766">
        <w:trPr>
          <w:trHeight w:val="397"/>
          <w:jc w:val="center"/>
        </w:trPr>
        <w:tc>
          <w:tcPr>
            <w:tcW w:w="894" w:type="pct"/>
            <w:vAlign w:val="center"/>
            <w:hideMark/>
          </w:tcPr>
          <w:p w14:paraId="6DB199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369" w:type="pct"/>
            <w:vAlign w:val="center"/>
            <w:hideMark/>
          </w:tcPr>
          <w:p w14:paraId="514B9F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1.38</w:t>
            </w:r>
          </w:p>
        </w:tc>
        <w:tc>
          <w:tcPr>
            <w:tcW w:w="1369" w:type="pct"/>
            <w:vAlign w:val="center"/>
            <w:hideMark/>
          </w:tcPr>
          <w:p w14:paraId="5D3EC3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2.07</w:t>
            </w:r>
          </w:p>
        </w:tc>
        <w:tc>
          <w:tcPr>
            <w:tcW w:w="1369" w:type="pct"/>
            <w:vAlign w:val="center"/>
            <w:hideMark/>
          </w:tcPr>
          <w:p w14:paraId="4BEE70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2.37</w:t>
            </w:r>
          </w:p>
        </w:tc>
      </w:tr>
      <w:tr w:rsidR="003F2129" w:rsidRPr="00DA3766" w14:paraId="6908495B" w14:textId="77777777" w:rsidTr="00DA3766">
        <w:trPr>
          <w:trHeight w:val="397"/>
          <w:jc w:val="center"/>
        </w:trPr>
        <w:tc>
          <w:tcPr>
            <w:tcW w:w="894" w:type="pct"/>
            <w:vAlign w:val="center"/>
            <w:hideMark/>
          </w:tcPr>
          <w:p w14:paraId="6FF9D1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369" w:type="pct"/>
            <w:vAlign w:val="center"/>
            <w:hideMark/>
          </w:tcPr>
          <w:p w14:paraId="5DE4E1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w:t>
            </w:r>
          </w:p>
        </w:tc>
        <w:tc>
          <w:tcPr>
            <w:tcW w:w="1369" w:type="pct"/>
            <w:vAlign w:val="center"/>
            <w:hideMark/>
          </w:tcPr>
          <w:p w14:paraId="30B172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1.24</w:t>
            </w:r>
          </w:p>
        </w:tc>
        <w:tc>
          <w:tcPr>
            <w:tcW w:w="1369" w:type="pct"/>
            <w:vAlign w:val="center"/>
            <w:hideMark/>
          </w:tcPr>
          <w:p w14:paraId="22712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1.68</w:t>
            </w:r>
          </w:p>
        </w:tc>
      </w:tr>
      <w:tr w:rsidR="003F2129" w:rsidRPr="00DA3766" w14:paraId="19E2B96F" w14:textId="77777777" w:rsidTr="00DA3766">
        <w:trPr>
          <w:trHeight w:val="397"/>
          <w:jc w:val="center"/>
        </w:trPr>
        <w:tc>
          <w:tcPr>
            <w:tcW w:w="894" w:type="pct"/>
            <w:vAlign w:val="center"/>
            <w:hideMark/>
          </w:tcPr>
          <w:p w14:paraId="7DF329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369" w:type="pct"/>
            <w:vAlign w:val="center"/>
            <w:hideMark/>
          </w:tcPr>
          <w:p w14:paraId="748D41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0.62</w:t>
            </w:r>
          </w:p>
        </w:tc>
        <w:tc>
          <w:tcPr>
            <w:tcW w:w="1369" w:type="pct"/>
            <w:vAlign w:val="center"/>
            <w:hideMark/>
          </w:tcPr>
          <w:p w14:paraId="6A22A8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1.38</w:t>
            </w:r>
          </w:p>
        </w:tc>
        <w:tc>
          <w:tcPr>
            <w:tcW w:w="1369" w:type="pct"/>
            <w:vAlign w:val="center"/>
            <w:hideMark/>
          </w:tcPr>
          <w:p w14:paraId="4EAE904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1.67</w:t>
            </w:r>
          </w:p>
        </w:tc>
      </w:tr>
      <w:tr w:rsidR="003F2129" w:rsidRPr="00DA3766" w14:paraId="0D9EC68E" w14:textId="77777777" w:rsidTr="00DA3766">
        <w:trPr>
          <w:trHeight w:val="397"/>
          <w:jc w:val="center"/>
        </w:trPr>
        <w:tc>
          <w:tcPr>
            <w:tcW w:w="894" w:type="pct"/>
            <w:vAlign w:val="center"/>
            <w:hideMark/>
          </w:tcPr>
          <w:p w14:paraId="29F09A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369" w:type="pct"/>
            <w:vAlign w:val="center"/>
            <w:hideMark/>
          </w:tcPr>
          <w:p w14:paraId="0E6550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1.92</w:t>
            </w:r>
          </w:p>
        </w:tc>
        <w:tc>
          <w:tcPr>
            <w:tcW w:w="1369" w:type="pct"/>
            <w:vAlign w:val="center"/>
            <w:hideMark/>
          </w:tcPr>
          <w:p w14:paraId="5FE0BD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3.52</w:t>
            </w:r>
          </w:p>
        </w:tc>
        <w:tc>
          <w:tcPr>
            <w:tcW w:w="1369" w:type="pct"/>
            <w:vAlign w:val="center"/>
            <w:hideMark/>
          </w:tcPr>
          <w:p w14:paraId="4BE0E4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3.91</w:t>
            </w:r>
          </w:p>
        </w:tc>
      </w:tr>
      <w:tr w:rsidR="003F2129" w:rsidRPr="00DA3766" w14:paraId="1AD88E9D" w14:textId="77777777" w:rsidTr="00DA3766">
        <w:trPr>
          <w:trHeight w:val="397"/>
          <w:jc w:val="center"/>
        </w:trPr>
        <w:tc>
          <w:tcPr>
            <w:tcW w:w="894" w:type="pct"/>
            <w:vAlign w:val="center"/>
            <w:hideMark/>
          </w:tcPr>
          <w:p w14:paraId="1F33E3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369" w:type="pct"/>
            <w:vAlign w:val="center"/>
            <w:hideMark/>
          </w:tcPr>
          <w:p w14:paraId="249DC6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1.60</w:t>
            </w:r>
          </w:p>
        </w:tc>
        <w:tc>
          <w:tcPr>
            <w:tcW w:w="1369" w:type="pct"/>
            <w:vAlign w:val="center"/>
            <w:hideMark/>
          </w:tcPr>
          <w:p w14:paraId="53DCAD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2.20</w:t>
            </w:r>
          </w:p>
        </w:tc>
        <w:tc>
          <w:tcPr>
            <w:tcW w:w="1369" w:type="pct"/>
            <w:vAlign w:val="center"/>
            <w:hideMark/>
          </w:tcPr>
          <w:p w14:paraId="53E888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2.20</w:t>
            </w:r>
          </w:p>
        </w:tc>
      </w:tr>
      <w:tr w:rsidR="003F2129" w:rsidRPr="00DA3766" w14:paraId="0D6C5426" w14:textId="77777777" w:rsidTr="00DA3766">
        <w:trPr>
          <w:trHeight w:val="397"/>
          <w:jc w:val="center"/>
        </w:trPr>
        <w:tc>
          <w:tcPr>
            <w:tcW w:w="894" w:type="pct"/>
            <w:vAlign w:val="center"/>
            <w:hideMark/>
          </w:tcPr>
          <w:p w14:paraId="00E3D3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369" w:type="pct"/>
            <w:vAlign w:val="center"/>
            <w:hideMark/>
          </w:tcPr>
          <w:p w14:paraId="3F2A7E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1.38</w:t>
            </w:r>
          </w:p>
        </w:tc>
        <w:tc>
          <w:tcPr>
            <w:tcW w:w="1369" w:type="pct"/>
            <w:vAlign w:val="center"/>
            <w:hideMark/>
          </w:tcPr>
          <w:p w14:paraId="5C47DE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1.67</w:t>
            </w:r>
          </w:p>
        </w:tc>
        <w:tc>
          <w:tcPr>
            <w:tcW w:w="1369" w:type="pct"/>
            <w:vAlign w:val="center"/>
            <w:hideMark/>
          </w:tcPr>
          <w:p w14:paraId="4C3AF8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1.72</w:t>
            </w:r>
          </w:p>
        </w:tc>
      </w:tr>
      <w:tr w:rsidR="003F2129" w:rsidRPr="00DA3766" w14:paraId="7E598562" w14:textId="77777777" w:rsidTr="00DA3766">
        <w:trPr>
          <w:trHeight w:val="397"/>
          <w:jc w:val="center"/>
        </w:trPr>
        <w:tc>
          <w:tcPr>
            <w:tcW w:w="894" w:type="pct"/>
            <w:vAlign w:val="center"/>
            <w:hideMark/>
          </w:tcPr>
          <w:p w14:paraId="0FE4E4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369" w:type="pct"/>
            <w:vAlign w:val="center"/>
            <w:hideMark/>
          </w:tcPr>
          <w:p w14:paraId="5B12C9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0.78</w:t>
            </w:r>
          </w:p>
        </w:tc>
        <w:tc>
          <w:tcPr>
            <w:tcW w:w="1369" w:type="pct"/>
            <w:vAlign w:val="center"/>
            <w:hideMark/>
          </w:tcPr>
          <w:p w14:paraId="7ACDBD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w:t>
            </w:r>
          </w:p>
        </w:tc>
        <w:tc>
          <w:tcPr>
            <w:tcW w:w="1369" w:type="pct"/>
            <w:vAlign w:val="center"/>
            <w:hideMark/>
          </w:tcPr>
          <w:p w14:paraId="41F8BC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w:t>
            </w:r>
          </w:p>
        </w:tc>
      </w:tr>
    </w:tbl>
    <w:p w14:paraId="4B5F0706"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年度，上市公司应收账款周转率分别为</w:t>
      </w:r>
      <w:r w:rsidRPr="00DA3766">
        <w:rPr>
          <w:rFonts w:ascii="Times New Roman" w:hAnsi="Times New Roman" w:cs="Times New Roman"/>
          <w:kern w:val="2"/>
          <w:szCs w:val="23"/>
        </w:rPr>
        <w:t>1.97</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w:t>
      </w:r>
      <w:r w:rsidRPr="00DA3766">
        <w:rPr>
          <w:rFonts w:ascii="Times New Roman" w:hAnsi="Times New Roman" w:cs="Times New Roman"/>
          <w:kern w:val="2"/>
          <w:szCs w:val="23"/>
        </w:rPr>
        <w:t>1.45</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w:t>
      </w:r>
      <w:r w:rsidRPr="00DA3766">
        <w:rPr>
          <w:rFonts w:ascii="Times New Roman" w:hAnsi="Times New Roman" w:cs="Times New Roman"/>
          <w:kern w:val="2"/>
          <w:szCs w:val="23"/>
        </w:rPr>
        <w:t>0.78</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年，总体呈现下降趋势。</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2023</w:t>
      </w:r>
      <w:r w:rsidRPr="00DA3766">
        <w:rPr>
          <w:rFonts w:ascii="Times New Roman" w:hAnsi="Times New Roman" w:cs="Times New Roman"/>
          <w:kern w:val="2"/>
          <w:szCs w:val="23"/>
        </w:rPr>
        <w:t>年，上市公司应收账款周转率低于同行业可比公司平均水平，但在可比公司应收账款周转率范围内。</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年上市公司应收账款周转率低于同行业可比公司，主要系</w:t>
      </w:r>
      <w:r w:rsidRPr="00DA3766">
        <w:rPr>
          <w:rFonts w:ascii="Times New Roman" w:hAnsi="Times New Roman" w:cs="Times New Roman"/>
          <w:kern w:val="2"/>
          <w:szCs w:val="23"/>
        </w:rPr>
        <w:t>2024</w:t>
      </w:r>
      <w:r w:rsidRPr="00DA3766">
        <w:rPr>
          <w:rFonts w:ascii="Times New Roman" w:hAnsi="Times New Roman" w:cs="Times New Roman"/>
          <w:kern w:val="2"/>
          <w:szCs w:val="23"/>
        </w:rPr>
        <w:t>年公司加强风险管控，谨慎承接业务导致收入下滑所致。上市公司应收账款周转率变动趋势与杰创智能、宏景科技保持一致，但与信息发展、佳发教育、开普云存在差异主要原因系各公司间在营收规模、产品类别、业务区域等方面均存在一定差异所致。</w:t>
      </w:r>
    </w:p>
    <w:p w14:paraId="179D45E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（二）一年以上、三年以上账龄应收账款持续增长的原因及合理性，主要客户资信状况、履约能力，地方客户财政资金预算不足是否符合行业情况和区域情况</w:t>
      </w:r>
    </w:p>
    <w:p w14:paraId="0790594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、一年以上、三年以上账龄应收账款持续增长的原因及合理性</w:t>
      </w:r>
    </w:p>
    <w:p w14:paraId="47BE043C"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报告期各期末，上市公司应收账款的账龄结构情况如下：</w:t>
      </w:r>
    </w:p>
    <w:p w14:paraId="5FB54CE8" w14:textId="77777777" w:rsidR="003F2129" w:rsidRPr="00DA3766" w:rsidRDefault="003F2129" w:rsidP="00BF5BFE">
      <w:pPr>
        <w:pStyle w:val="009"/>
      </w:pPr>
      <w:r w:rsidRPr="00DA3766">
        <w:t>单位：万元</w:t>
      </w:r>
    </w:p>
    <w:tbl>
      <w:tblPr>
        <w:tblW w:w="544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767"/>
        <w:gridCol w:w="1102"/>
        <w:gridCol w:w="1254"/>
        <w:gridCol w:w="1330"/>
        <w:gridCol w:w="1256"/>
        <w:gridCol w:w="1330"/>
        <w:gridCol w:w="1250"/>
      </w:tblGrid>
      <w:tr w:rsidR="003F2129" w:rsidRPr="00DA3766" w14:paraId="36532051" w14:textId="77777777" w:rsidTr="00DA3766">
        <w:trPr>
          <w:trHeight w:val="397"/>
          <w:tblHeader/>
          <w:jc w:val="center"/>
        </w:trPr>
        <w:tc>
          <w:tcPr>
            <w:tcW w:w="951" w:type="pct"/>
            <w:vMerge w:val="restart"/>
            <w:vAlign w:val="center"/>
          </w:tcPr>
          <w:p w14:paraId="49545BB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账龄</w:t>
            </w:r>
          </w:p>
        </w:tc>
        <w:tc>
          <w:tcPr>
            <w:tcW w:w="1268" w:type="pct"/>
            <w:gridSpan w:val="2"/>
            <w:vAlign w:val="center"/>
          </w:tcPr>
          <w:p w14:paraId="444E4EF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91" w:type="pct"/>
            <w:gridSpan w:val="2"/>
            <w:vAlign w:val="center"/>
          </w:tcPr>
          <w:p w14:paraId="0B39613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90" w:type="pct"/>
            <w:gridSpan w:val="2"/>
            <w:vAlign w:val="center"/>
          </w:tcPr>
          <w:p w14:paraId="3353F10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49D9CA72" w14:textId="77777777" w:rsidTr="00DA3766">
        <w:trPr>
          <w:trHeight w:val="397"/>
          <w:tblHeader/>
          <w:jc w:val="center"/>
        </w:trPr>
        <w:tc>
          <w:tcPr>
            <w:tcW w:w="951" w:type="pct"/>
            <w:vMerge/>
            <w:vAlign w:val="center"/>
          </w:tcPr>
          <w:p w14:paraId="2E0B9DC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93" w:type="pct"/>
            <w:vAlign w:val="center"/>
          </w:tcPr>
          <w:p w14:paraId="0EB12A7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5" w:type="pct"/>
            <w:vAlign w:val="center"/>
          </w:tcPr>
          <w:p w14:paraId="3DB7208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716" w:type="pct"/>
            <w:vAlign w:val="center"/>
          </w:tcPr>
          <w:p w14:paraId="35669F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6" w:type="pct"/>
            <w:vAlign w:val="center"/>
          </w:tcPr>
          <w:p w14:paraId="3CFBF2C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716" w:type="pct"/>
            <w:vAlign w:val="center"/>
          </w:tcPr>
          <w:p w14:paraId="289E514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5" w:type="pct"/>
            <w:vAlign w:val="center"/>
          </w:tcPr>
          <w:p w14:paraId="5CA1E4F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r>
      <w:tr w:rsidR="003F2129" w:rsidRPr="00DA3766" w14:paraId="1002A621" w14:textId="77777777" w:rsidTr="00DA3766">
        <w:trPr>
          <w:trHeight w:val="397"/>
          <w:jc w:val="center"/>
        </w:trPr>
        <w:tc>
          <w:tcPr>
            <w:tcW w:w="951" w:type="pct"/>
            <w:vAlign w:val="center"/>
          </w:tcPr>
          <w:p w14:paraId="433854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年以内</w:t>
            </w:r>
          </w:p>
        </w:tc>
        <w:tc>
          <w:tcPr>
            <w:tcW w:w="593" w:type="pct"/>
            <w:vAlign w:val="center"/>
          </w:tcPr>
          <w:p w14:paraId="631916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10,550.65</w:t>
            </w:r>
          </w:p>
        </w:tc>
        <w:tc>
          <w:tcPr>
            <w:tcW w:w="675" w:type="pct"/>
            <w:vAlign w:val="center"/>
          </w:tcPr>
          <w:p w14:paraId="5475C6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29.45%</w:t>
            </w:r>
          </w:p>
        </w:tc>
        <w:tc>
          <w:tcPr>
            <w:tcW w:w="716" w:type="pct"/>
            <w:vAlign w:val="center"/>
          </w:tcPr>
          <w:p w14:paraId="455753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17,439.48</w:t>
            </w:r>
          </w:p>
        </w:tc>
        <w:tc>
          <w:tcPr>
            <w:tcW w:w="676" w:type="pct"/>
            <w:vAlign w:val="center"/>
          </w:tcPr>
          <w:p w14:paraId="422756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47.74%</w:t>
            </w:r>
          </w:p>
        </w:tc>
        <w:tc>
          <w:tcPr>
            <w:tcW w:w="716" w:type="pct"/>
            <w:vAlign w:val="center"/>
          </w:tcPr>
          <w:p w14:paraId="7A1F32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17,914.85</w:t>
            </w:r>
          </w:p>
        </w:tc>
        <w:tc>
          <w:tcPr>
            <w:tcW w:w="675" w:type="pct"/>
            <w:vAlign w:val="center"/>
          </w:tcPr>
          <w:p w14:paraId="19EC0E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58.50%</w:t>
            </w:r>
          </w:p>
        </w:tc>
      </w:tr>
      <w:tr w:rsidR="003F2129" w:rsidRPr="00DA3766" w14:paraId="4553B72A" w14:textId="77777777" w:rsidTr="00DA3766">
        <w:trPr>
          <w:trHeight w:val="397"/>
          <w:jc w:val="center"/>
        </w:trPr>
        <w:tc>
          <w:tcPr>
            <w:tcW w:w="951" w:type="pct"/>
            <w:vAlign w:val="center"/>
          </w:tcPr>
          <w:p w14:paraId="50ABE6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w:t>
            </w:r>
            <w:r w:rsidRPr="00DA3766">
              <w:rPr>
                <w:rFonts w:ascii="Times New Roman" w:hAnsi="Times New Roman" w:cs="Times New Roman"/>
                <w:color w:val="000000"/>
                <w:kern w:val="2"/>
                <w:sz w:val="21"/>
                <w14:ligatures w14:val="standardContextual"/>
              </w:rPr>
              <w:t>年</w:t>
            </w:r>
          </w:p>
        </w:tc>
        <w:tc>
          <w:tcPr>
            <w:tcW w:w="593" w:type="pct"/>
            <w:vAlign w:val="center"/>
          </w:tcPr>
          <w:p w14:paraId="6DC223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11,589.81</w:t>
            </w:r>
          </w:p>
        </w:tc>
        <w:tc>
          <w:tcPr>
            <w:tcW w:w="675" w:type="pct"/>
            <w:vAlign w:val="center"/>
          </w:tcPr>
          <w:p w14:paraId="4BE2A8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32.35%</w:t>
            </w:r>
          </w:p>
        </w:tc>
        <w:tc>
          <w:tcPr>
            <w:tcW w:w="716" w:type="pct"/>
            <w:vAlign w:val="center"/>
          </w:tcPr>
          <w:p w14:paraId="517202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8,360.92</w:t>
            </w:r>
          </w:p>
        </w:tc>
        <w:tc>
          <w:tcPr>
            <w:tcW w:w="676" w:type="pct"/>
            <w:vAlign w:val="center"/>
          </w:tcPr>
          <w:p w14:paraId="1DDCC6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22.89%</w:t>
            </w:r>
          </w:p>
        </w:tc>
        <w:tc>
          <w:tcPr>
            <w:tcW w:w="716" w:type="pct"/>
            <w:vAlign w:val="center"/>
          </w:tcPr>
          <w:p w14:paraId="39B792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8,284.17</w:t>
            </w:r>
          </w:p>
        </w:tc>
        <w:tc>
          <w:tcPr>
            <w:tcW w:w="675" w:type="pct"/>
            <w:vAlign w:val="center"/>
          </w:tcPr>
          <w:p w14:paraId="528EA4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27.05%</w:t>
            </w:r>
          </w:p>
        </w:tc>
      </w:tr>
      <w:tr w:rsidR="003F2129" w:rsidRPr="00DA3766" w14:paraId="109CE361" w14:textId="77777777" w:rsidTr="00DA3766">
        <w:trPr>
          <w:trHeight w:val="397"/>
          <w:jc w:val="center"/>
        </w:trPr>
        <w:tc>
          <w:tcPr>
            <w:tcW w:w="951" w:type="pct"/>
            <w:vAlign w:val="center"/>
          </w:tcPr>
          <w:p w14:paraId="37A696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w:t>
            </w:r>
            <w:r w:rsidRPr="00DA3766">
              <w:rPr>
                <w:rFonts w:ascii="Times New Roman" w:hAnsi="Times New Roman" w:cs="Times New Roman"/>
                <w:color w:val="000000"/>
                <w:kern w:val="2"/>
                <w:sz w:val="21"/>
                <w14:ligatures w14:val="standardContextual"/>
              </w:rPr>
              <w:t>年</w:t>
            </w:r>
          </w:p>
        </w:tc>
        <w:tc>
          <w:tcPr>
            <w:tcW w:w="593" w:type="pct"/>
            <w:vAlign w:val="center"/>
          </w:tcPr>
          <w:p w14:paraId="0CE5E1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6,376.68</w:t>
            </w:r>
          </w:p>
        </w:tc>
        <w:tc>
          <w:tcPr>
            <w:tcW w:w="675" w:type="pct"/>
            <w:vAlign w:val="center"/>
          </w:tcPr>
          <w:p w14:paraId="6A0659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17.80%</w:t>
            </w:r>
          </w:p>
        </w:tc>
        <w:tc>
          <w:tcPr>
            <w:tcW w:w="716" w:type="pct"/>
            <w:vAlign w:val="center"/>
          </w:tcPr>
          <w:p w14:paraId="10A879E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7,208.27</w:t>
            </w:r>
          </w:p>
        </w:tc>
        <w:tc>
          <w:tcPr>
            <w:tcW w:w="676" w:type="pct"/>
            <w:vAlign w:val="center"/>
          </w:tcPr>
          <w:p w14:paraId="2A5A8B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19.73%</w:t>
            </w:r>
          </w:p>
        </w:tc>
        <w:tc>
          <w:tcPr>
            <w:tcW w:w="716" w:type="pct"/>
            <w:vAlign w:val="center"/>
          </w:tcPr>
          <w:p w14:paraId="6EA6D1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1,901.20</w:t>
            </w:r>
          </w:p>
        </w:tc>
        <w:tc>
          <w:tcPr>
            <w:tcW w:w="675" w:type="pct"/>
            <w:vAlign w:val="center"/>
          </w:tcPr>
          <w:p w14:paraId="10B526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6.21%</w:t>
            </w:r>
          </w:p>
        </w:tc>
      </w:tr>
      <w:tr w:rsidR="003F2129" w:rsidRPr="00DA3766" w14:paraId="1084BF52" w14:textId="77777777" w:rsidTr="00DA3766">
        <w:trPr>
          <w:trHeight w:val="397"/>
          <w:jc w:val="center"/>
        </w:trPr>
        <w:tc>
          <w:tcPr>
            <w:tcW w:w="951" w:type="pct"/>
            <w:vAlign w:val="center"/>
          </w:tcPr>
          <w:p w14:paraId="6DCBC0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w:t>
            </w:r>
            <w:r w:rsidRPr="00DA3766">
              <w:rPr>
                <w:rFonts w:ascii="Times New Roman" w:hAnsi="Times New Roman" w:cs="Times New Roman"/>
                <w:color w:val="000000"/>
                <w:kern w:val="2"/>
                <w:sz w:val="21"/>
                <w14:ligatures w14:val="standardContextual"/>
              </w:rPr>
              <w:t>年</w:t>
            </w:r>
          </w:p>
        </w:tc>
        <w:tc>
          <w:tcPr>
            <w:tcW w:w="593" w:type="pct"/>
            <w:vAlign w:val="center"/>
          </w:tcPr>
          <w:p w14:paraId="3C9A4F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4,989.71</w:t>
            </w:r>
          </w:p>
        </w:tc>
        <w:tc>
          <w:tcPr>
            <w:tcW w:w="675" w:type="pct"/>
            <w:vAlign w:val="center"/>
          </w:tcPr>
          <w:p w14:paraId="06EAD6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13.93%</w:t>
            </w:r>
          </w:p>
        </w:tc>
        <w:tc>
          <w:tcPr>
            <w:tcW w:w="716" w:type="pct"/>
            <w:vAlign w:val="center"/>
          </w:tcPr>
          <w:p w14:paraId="7A2EE7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1,411.65</w:t>
            </w:r>
          </w:p>
        </w:tc>
        <w:tc>
          <w:tcPr>
            <w:tcW w:w="676" w:type="pct"/>
            <w:vAlign w:val="center"/>
          </w:tcPr>
          <w:p w14:paraId="748390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3.86%</w:t>
            </w:r>
          </w:p>
        </w:tc>
        <w:tc>
          <w:tcPr>
            <w:tcW w:w="716" w:type="pct"/>
            <w:vAlign w:val="center"/>
          </w:tcPr>
          <w:p w14:paraId="764FAF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1,583.09</w:t>
            </w:r>
          </w:p>
        </w:tc>
        <w:tc>
          <w:tcPr>
            <w:tcW w:w="675" w:type="pct"/>
            <w:vAlign w:val="center"/>
          </w:tcPr>
          <w:p w14:paraId="69FC56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5.17%</w:t>
            </w:r>
          </w:p>
        </w:tc>
      </w:tr>
      <w:tr w:rsidR="003F2129" w:rsidRPr="00DA3766" w14:paraId="3C9FD0D7" w14:textId="77777777" w:rsidTr="00DA3766">
        <w:trPr>
          <w:trHeight w:val="397"/>
          <w:jc w:val="center"/>
        </w:trPr>
        <w:tc>
          <w:tcPr>
            <w:tcW w:w="951" w:type="pct"/>
            <w:vAlign w:val="center"/>
          </w:tcPr>
          <w:p w14:paraId="4FAC74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4-5</w:t>
            </w:r>
            <w:r w:rsidRPr="00DA3766">
              <w:rPr>
                <w:rFonts w:ascii="Times New Roman" w:hAnsi="Times New Roman" w:cs="Times New Roman"/>
                <w:color w:val="000000"/>
                <w:kern w:val="2"/>
                <w:sz w:val="21"/>
                <w14:ligatures w14:val="standardContextual"/>
              </w:rPr>
              <w:t>年</w:t>
            </w:r>
          </w:p>
        </w:tc>
        <w:tc>
          <w:tcPr>
            <w:tcW w:w="593" w:type="pct"/>
            <w:vAlign w:val="center"/>
          </w:tcPr>
          <w:p w14:paraId="260C5E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876.12</w:t>
            </w:r>
          </w:p>
        </w:tc>
        <w:tc>
          <w:tcPr>
            <w:tcW w:w="675" w:type="pct"/>
            <w:vAlign w:val="center"/>
          </w:tcPr>
          <w:p w14:paraId="439E163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2.45%</w:t>
            </w:r>
          </w:p>
        </w:tc>
        <w:tc>
          <w:tcPr>
            <w:tcW w:w="716" w:type="pct"/>
            <w:vAlign w:val="center"/>
          </w:tcPr>
          <w:p w14:paraId="22C664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1,528.19</w:t>
            </w:r>
          </w:p>
        </w:tc>
        <w:tc>
          <w:tcPr>
            <w:tcW w:w="676" w:type="pct"/>
            <w:vAlign w:val="center"/>
          </w:tcPr>
          <w:p w14:paraId="30119CB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4.18%</w:t>
            </w:r>
          </w:p>
        </w:tc>
        <w:tc>
          <w:tcPr>
            <w:tcW w:w="716" w:type="pct"/>
            <w:vAlign w:val="center"/>
          </w:tcPr>
          <w:p w14:paraId="2EB4E33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486.86</w:t>
            </w:r>
          </w:p>
        </w:tc>
        <w:tc>
          <w:tcPr>
            <w:tcW w:w="675" w:type="pct"/>
            <w:vAlign w:val="center"/>
          </w:tcPr>
          <w:p w14:paraId="6C7E19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1.59%</w:t>
            </w:r>
          </w:p>
        </w:tc>
      </w:tr>
      <w:tr w:rsidR="003F2129" w:rsidRPr="00DA3766" w14:paraId="0A4470BF" w14:textId="77777777" w:rsidTr="00DA3766">
        <w:trPr>
          <w:trHeight w:val="397"/>
          <w:jc w:val="center"/>
        </w:trPr>
        <w:tc>
          <w:tcPr>
            <w:tcW w:w="951" w:type="pct"/>
            <w:vAlign w:val="center"/>
          </w:tcPr>
          <w:p w14:paraId="5A1B89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w:t>
            </w:r>
            <w:r w:rsidRPr="00DA3766">
              <w:rPr>
                <w:rFonts w:ascii="Times New Roman" w:hAnsi="Times New Roman" w:cs="Times New Roman"/>
                <w:color w:val="000000"/>
                <w:kern w:val="2"/>
                <w:sz w:val="21"/>
                <w14:ligatures w14:val="standardContextual"/>
              </w:rPr>
              <w:t>年以上</w:t>
            </w:r>
          </w:p>
        </w:tc>
        <w:tc>
          <w:tcPr>
            <w:tcW w:w="593" w:type="pct"/>
            <w:vAlign w:val="center"/>
          </w:tcPr>
          <w:p w14:paraId="6D7D3C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1,437.80</w:t>
            </w:r>
          </w:p>
        </w:tc>
        <w:tc>
          <w:tcPr>
            <w:tcW w:w="675" w:type="pct"/>
            <w:vAlign w:val="center"/>
          </w:tcPr>
          <w:p w14:paraId="7886594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4.01%</w:t>
            </w:r>
          </w:p>
        </w:tc>
        <w:tc>
          <w:tcPr>
            <w:tcW w:w="716" w:type="pct"/>
            <w:vAlign w:val="center"/>
          </w:tcPr>
          <w:p w14:paraId="551CF3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581.52</w:t>
            </w:r>
          </w:p>
        </w:tc>
        <w:tc>
          <w:tcPr>
            <w:tcW w:w="676" w:type="pct"/>
            <w:vAlign w:val="center"/>
          </w:tcPr>
          <w:p w14:paraId="52BE2F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1.59%</w:t>
            </w:r>
          </w:p>
        </w:tc>
        <w:tc>
          <w:tcPr>
            <w:tcW w:w="716" w:type="pct"/>
            <w:vAlign w:val="center"/>
          </w:tcPr>
          <w:p w14:paraId="653736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451.58</w:t>
            </w:r>
          </w:p>
        </w:tc>
        <w:tc>
          <w:tcPr>
            <w:tcW w:w="675" w:type="pct"/>
            <w:vAlign w:val="center"/>
          </w:tcPr>
          <w:p w14:paraId="122400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1.47%</w:t>
            </w:r>
          </w:p>
        </w:tc>
      </w:tr>
      <w:tr w:rsidR="003F2129" w:rsidRPr="00DA3766" w14:paraId="2DD1A7B1" w14:textId="77777777" w:rsidTr="00DA3766">
        <w:trPr>
          <w:trHeight w:val="397"/>
          <w:jc w:val="center"/>
        </w:trPr>
        <w:tc>
          <w:tcPr>
            <w:tcW w:w="951" w:type="pct"/>
            <w:vAlign w:val="center"/>
          </w:tcPr>
          <w:p w14:paraId="7EA6116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合计</w:t>
            </w:r>
          </w:p>
        </w:tc>
        <w:tc>
          <w:tcPr>
            <w:tcW w:w="593" w:type="pct"/>
            <w:vAlign w:val="center"/>
          </w:tcPr>
          <w:p w14:paraId="43F650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35,820.76</w:t>
            </w:r>
          </w:p>
        </w:tc>
        <w:tc>
          <w:tcPr>
            <w:tcW w:w="675" w:type="pct"/>
            <w:vAlign w:val="center"/>
          </w:tcPr>
          <w:p w14:paraId="5B8934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c>
          <w:tcPr>
            <w:tcW w:w="716" w:type="pct"/>
            <w:vAlign w:val="center"/>
          </w:tcPr>
          <w:p w14:paraId="39A3B9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36,530.02</w:t>
            </w:r>
          </w:p>
        </w:tc>
        <w:tc>
          <w:tcPr>
            <w:tcW w:w="676" w:type="pct"/>
            <w:vAlign w:val="center"/>
          </w:tcPr>
          <w:p w14:paraId="5906C5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c>
          <w:tcPr>
            <w:tcW w:w="716" w:type="pct"/>
            <w:vAlign w:val="center"/>
          </w:tcPr>
          <w:p w14:paraId="73DB9B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30,621.76</w:t>
            </w:r>
          </w:p>
        </w:tc>
        <w:tc>
          <w:tcPr>
            <w:tcW w:w="675" w:type="pct"/>
            <w:vAlign w:val="center"/>
          </w:tcPr>
          <w:p w14:paraId="4AE77D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r>
      <w:tr w:rsidR="003F2129" w:rsidRPr="00DA3766" w14:paraId="44FE6B3B" w14:textId="77777777" w:rsidTr="00DA3766">
        <w:trPr>
          <w:trHeight w:val="397"/>
          <w:jc w:val="center"/>
        </w:trPr>
        <w:tc>
          <w:tcPr>
            <w:tcW w:w="951" w:type="pct"/>
            <w:vAlign w:val="center"/>
          </w:tcPr>
          <w:p w14:paraId="5F1B0E0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其中：</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593" w:type="pct"/>
            <w:vAlign w:val="center"/>
          </w:tcPr>
          <w:p w14:paraId="2BF750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25,270.11</w:t>
            </w:r>
          </w:p>
        </w:tc>
        <w:tc>
          <w:tcPr>
            <w:tcW w:w="675" w:type="pct"/>
            <w:vAlign w:val="center"/>
          </w:tcPr>
          <w:p w14:paraId="49E001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70.55%</w:t>
            </w:r>
          </w:p>
        </w:tc>
        <w:tc>
          <w:tcPr>
            <w:tcW w:w="716" w:type="pct"/>
            <w:vAlign w:val="center"/>
          </w:tcPr>
          <w:p w14:paraId="31B4CB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19,090.55</w:t>
            </w:r>
          </w:p>
        </w:tc>
        <w:tc>
          <w:tcPr>
            <w:tcW w:w="676" w:type="pct"/>
            <w:vAlign w:val="center"/>
          </w:tcPr>
          <w:p w14:paraId="7FE4B2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52.26%</w:t>
            </w:r>
          </w:p>
        </w:tc>
        <w:tc>
          <w:tcPr>
            <w:tcW w:w="716" w:type="pct"/>
            <w:vAlign w:val="center"/>
          </w:tcPr>
          <w:p w14:paraId="039FE6B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12,706.91</w:t>
            </w:r>
          </w:p>
        </w:tc>
        <w:tc>
          <w:tcPr>
            <w:tcW w:w="675" w:type="pct"/>
            <w:vAlign w:val="center"/>
          </w:tcPr>
          <w:p w14:paraId="2861A4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41.50%</w:t>
            </w:r>
          </w:p>
        </w:tc>
      </w:tr>
      <w:tr w:rsidR="003F2129" w:rsidRPr="00DA3766" w14:paraId="7236801E" w14:textId="77777777" w:rsidTr="00DA3766">
        <w:trPr>
          <w:trHeight w:val="397"/>
          <w:jc w:val="center"/>
        </w:trPr>
        <w:tc>
          <w:tcPr>
            <w:tcW w:w="951" w:type="pct"/>
            <w:vAlign w:val="center"/>
          </w:tcPr>
          <w:p w14:paraId="6F649211" w14:textId="77777777" w:rsidR="003F2129" w:rsidRPr="00DA3766" w:rsidRDefault="003F2129" w:rsidP="00DA3766">
            <w:pPr>
              <w:widowControl w:val="0"/>
              <w:adjustRightInd w:val="0"/>
              <w:snapToGrid w:val="0"/>
              <w:spacing w:beforeLines="0" w:before="0" w:afterLines="0" w:after="0" w:line="240" w:lineRule="auto"/>
              <w:ind w:firstLineChars="300" w:firstLine="63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593" w:type="pct"/>
            <w:vAlign w:val="center"/>
          </w:tcPr>
          <w:p w14:paraId="00449C0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7,303.63</w:t>
            </w:r>
          </w:p>
        </w:tc>
        <w:tc>
          <w:tcPr>
            <w:tcW w:w="675" w:type="pct"/>
            <w:vAlign w:val="center"/>
          </w:tcPr>
          <w:p w14:paraId="63216F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20.39%</w:t>
            </w:r>
          </w:p>
        </w:tc>
        <w:tc>
          <w:tcPr>
            <w:tcW w:w="716" w:type="pct"/>
            <w:vAlign w:val="center"/>
          </w:tcPr>
          <w:p w14:paraId="14BA01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3,521.36</w:t>
            </w:r>
          </w:p>
        </w:tc>
        <w:tc>
          <w:tcPr>
            <w:tcW w:w="676" w:type="pct"/>
            <w:vAlign w:val="center"/>
          </w:tcPr>
          <w:p w14:paraId="3EDB54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9.64%</w:t>
            </w:r>
          </w:p>
        </w:tc>
        <w:tc>
          <w:tcPr>
            <w:tcW w:w="716" w:type="pct"/>
            <w:vAlign w:val="center"/>
          </w:tcPr>
          <w:p w14:paraId="7F53BB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2,521.53</w:t>
            </w:r>
          </w:p>
        </w:tc>
        <w:tc>
          <w:tcPr>
            <w:tcW w:w="675" w:type="pct"/>
            <w:vAlign w:val="center"/>
          </w:tcPr>
          <w:p w14:paraId="4A3F1C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8.23%</w:t>
            </w:r>
          </w:p>
        </w:tc>
      </w:tr>
    </w:tbl>
    <w:p w14:paraId="2FDE02A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w:t>
      </w:r>
      <w:r w:rsidRPr="00DA3766">
        <w:rPr>
          <w:rFonts w:ascii="Times New Roman" w:hAnsi="Times New Roman" w:cs="Times New Roman"/>
          <w:kern w:val="2"/>
          <w:szCs w:val="23"/>
        </w:rPr>
        <w:t>1</w:t>
      </w:r>
      <w:r w:rsidRPr="00DA3766">
        <w:rPr>
          <w:rFonts w:ascii="Times New Roman" w:hAnsi="Times New Roman" w:cs="Times New Roman"/>
          <w:kern w:val="2"/>
          <w:szCs w:val="23"/>
        </w:rPr>
        <w:t>年以上应收账款账面余额分别为</w:t>
      </w:r>
      <w:r w:rsidRPr="00DA3766">
        <w:rPr>
          <w:rFonts w:ascii="Times New Roman" w:hAnsi="Times New Roman" w:cs="Times New Roman"/>
          <w:kern w:val="2"/>
          <w:szCs w:val="23"/>
        </w:rPr>
        <w:t>12,706.91</w:t>
      </w:r>
      <w:r w:rsidRPr="00DA3766">
        <w:rPr>
          <w:rFonts w:ascii="Times New Roman" w:hAnsi="Times New Roman" w:cs="Times New Roman"/>
          <w:kern w:val="2"/>
          <w:szCs w:val="23"/>
        </w:rPr>
        <w:t>万元、</w:t>
      </w:r>
      <w:r w:rsidRPr="00DA3766">
        <w:rPr>
          <w:rFonts w:ascii="Times New Roman" w:hAnsi="Times New Roman" w:cs="Times New Roman"/>
          <w:kern w:val="2"/>
          <w:szCs w:val="23"/>
        </w:rPr>
        <w:t>19,090.55</w:t>
      </w:r>
      <w:r w:rsidRPr="00DA3766">
        <w:rPr>
          <w:rFonts w:ascii="Times New Roman" w:hAnsi="Times New Roman" w:cs="Times New Roman"/>
          <w:kern w:val="2"/>
          <w:szCs w:val="23"/>
        </w:rPr>
        <w:t>万元、</w:t>
      </w:r>
      <w:r w:rsidRPr="00DA3766">
        <w:rPr>
          <w:rFonts w:ascii="Times New Roman" w:hAnsi="Times New Roman" w:cs="Times New Roman"/>
          <w:kern w:val="2"/>
          <w:szCs w:val="23"/>
        </w:rPr>
        <w:t>25,270.11</w:t>
      </w:r>
      <w:r w:rsidRPr="00DA3766">
        <w:rPr>
          <w:rFonts w:ascii="Times New Roman" w:hAnsi="Times New Roman" w:cs="Times New Roman"/>
          <w:kern w:val="2"/>
          <w:szCs w:val="23"/>
        </w:rPr>
        <w:t>万元；三年以上应收账款账面余额分别为</w:t>
      </w:r>
      <w:r w:rsidRPr="00DA3766">
        <w:rPr>
          <w:rFonts w:ascii="Times New Roman" w:hAnsi="Times New Roman" w:cs="Times New Roman"/>
          <w:kern w:val="2"/>
          <w:szCs w:val="23"/>
        </w:rPr>
        <w:t>2,521.53</w:t>
      </w:r>
      <w:r w:rsidRPr="00DA3766">
        <w:rPr>
          <w:rFonts w:ascii="Times New Roman" w:hAnsi="Times New Roman" w:cs="Times New Roman"/>
          <w:kern w:val="2"/>
          <w:szCs w:val="23"/>
        </w:rPr>
        <w:t>万元、</w:t>
      </w:r>
      <w:r w:rsidRPr="00DA3766">
        <w:rPr>
          <w:rFonts w:ascii="Times New Roman" w:hAnsi="Times New Roman" w:cs="Times New Roman"/>
          <w:kern w:val="2"/>
          <w:szCs w:val="23"/>
        </w:rPr>
        <w:t>3,521.36</w:t>
      </w:r>
      <w:r w:rsidRPr="00DA3766">
        <w:rPr>
          <w:rFonts w:ascii="Times New Roman" w:hAnsi="Times New Roman" w:cs="Times New Roman"/>
          <w:kern w:val="2"/>
          <w:szCs w:val="23"/>
        </w:rPr>
        <w:t>万元、</w:t>
      </w:r>
      <w:r w:rsidRPr="00DA3766">
        <w:rPr>
          <w:rFonts w:ascii="Times New Roman" w:hAnsi="Times New Roman" w:cs="Times New Roman"/>
          <w:kern w:val="2"/>
          <w:szCs w:val="23"/>
        </w:rPr>
        <w:t>7,303.63</w:t>
      </w:r>
      <w:r w:rsidRPr="00DA3766">
        <w:rPr>
          <w:rFonts w:ascii="Times New Roman" w:hAnsi="Times New Roman" w:cs="Times New Roman"/>
          <w:kern w:val="2"/>
          <w:szCs w:val="23"/>
        </w:rPr>
        <w:t>万元。一年以上、三年以上账龄应收账款呈现持续增长趋势，主要原因系上市公司客户主要为政府部门及事业单位，该类客户付款审批手续复杂、流程较长，且最终支付情况需要取决于财政资金预算及资金实际到位情况，公司回款有一定的周期性。当前地方财政压力大，客户群体（地方政府、国企）因财政压力、内部流程等普遍性系统性地延长了付款周期。</w:t>
      </w:r>
    </w:p>
    <w:p w14:paraId="7317743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报告期各期末，同行业可比公司的应收账款账龄结构情况如下：</w:t>
      </w:r>
    </w:p>
    <w:p w14:paraId="65D13AE3" w14:textId="77777777" w:rsidR="003F2129" w:rsidRPr="00DA3766" w:rsidRDefault="003F2129" w:rsidP="00BF5BFE">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
        <w:gridCol w:w="1061"/>
        <w:gridCol w:w="1240"/>
        <w:gridCol w:w="1044"/>
        <w:gridCol w:w="1056"/>
        <w:gridCol w:w="961"/>
        <w:gridCol w:w="1104"/>
        <w:gridCol w:w="959"/>
      </w:tblGrid>
      <w:tr w:rsidR="003F2129" w:rsidRPr="00DA3766" w14:paraId="4DEA33EF" w14:textId="77777777" w:rsidTr="00DA3766">
        <w:trPr>
          <w:trHeight w:val="397"/>
          <w:tblHeader/>
          <w:jc w:val="center"/>
        </w:trPr>
        <w:tc>
          <w:tcPr>
            <w:tcW w:w="656" w:type="pct"/>
            <w:vMerge w:val="restart"/>
            <w:vAlign w:val="center"/>
            <w:hideMark/>
          </w:tcPr>
          <w:p w14:paraId="26CD149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可比公司</w:t>
            </w:r>
          </w:p>
        </w:tc>
        <w:tc>
          <w:tcPr>
            <w:tcW w:w="631" w:type="pct"/>
            <w:vMerge w:val="restart"/>
            <w:vAlign w:val="center"/>
            <w:hideMark/>
          </w:tcPr>
          <w:p w14:paraId="249AF36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应收账款账龄</w:t>
            </w:r>
          </w:p>
        </w:tc>
        <w:tc>
          <w:tcPr>
            <w:tcW w:w="1357" w:type="pct"/>
            <w:gridSpan w:val="2"/>
            <w:vAlign w:val="center"/>
            <w:hideMark/>
          </w:tcPr>
          <w:p w14:paraId="6779033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128" w:type="pct"/>
            <w:gridSpan w:val="2"/>
            <w:vAlign w:val="center"/>
            <w:hideMark/>
          </w:tcPr>
          <w:p w14:paraId="287C7F4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227" w:type="pct"/>
            <w:gridSpan w:val="2"/>
            <w:vAlign w:val="center"/>
            <w:hideMark/>
          </w:tcPr>
          <w:p w14:paraId="4B2B0EF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1B460F7F" w14:textId="77777777" w:rsidTr="00DA3766">
        <w:trPr>
          <w:trHeight w:val="397"/>
          <w:tblHeader/>
          <w:jc w:val="center"/>
        </w:trPr>
        <w:tc>
          <w:tcPr>
            <w:tcW w:w="656" w:type="pct"/>
            <w:vMerge/>
            <w:vAlign w:val="center"/>
            <w:hideMark/>
          </w:tcPr>
          <w:p w14:paraId="2CD72A9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31" w:type="pct"/>
            <w:vMerge/>
            <w:vAlign w:val="center"/>
            <w:hideMark/>
          </w:tcPr>
          <w:p w14:paraId="558AE49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hideMark/>
          </w:tcPr>
          <w:p w14:paraId="4C702BA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621" w:type="pct"/>
            <w:vAlign w:val="center"/>
            <w:hideMark/>
          </w:tcPr>
          <w:p w14:paraId="064690D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556" w:type="pct"/>
            <w:vAlign w:val="center"/>
            <w:hideMark/>
          </w:tcPr>
          <w:p w14:paraId="5C302BC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572" w:type="pct"/>
            <w:vAlign w:val="center"/>
            <w:hideMark/>
          </w:tcPr>
          <w:p w14:paraId="3F0D362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656" w:type="pct"/>
            <w:vAlign w:val="center"/>
            <w:hideMark/>
          </w:tcPr>
          <w:p w14:paraId="78E4735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571" w:type="pct"/>
            <w:vAlign w:val="center"/>
            <w:hideMark/>
          </w:tcPr>
          <w:p w14:paraId="6F29379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r>
      <w:tr w:rsidR="003F2129" w:rsidRPr="00DA3766" w14:paraId="1D38EC94" w14:textId="77777777" w:rsidTr="00DA3766">
        <w:trPr>
          <w:trHeight w:val="397"/>
          <w:jc w:val="center"/>
        </w:trPr>
        <w:tc>
          <w:tcPr>
            <w:tcW w:w="656" w:type="pct"/>
            <w:vMerge w:val="restart"/>
            <w:vAlign w:val="center"/>
            <w:hideMark/>
          </w:tcPr>
          <w:p w14:paraId="69CD2F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631" w:type="pct"/>
            <w:vAlign w:val="center"/>
            <w:hideMark/>
          </w:tcPr>
          <w:p w14:paraId="7FB00C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FE1AD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14,713.45</w:t>
            </w:r>
          </w:p>
        </w:tc>
        <w:tc>
          <w:tcPr>
            <w:tcW w:w="621" w:type="pct"/>
            <w:vAlign w:val="center"/>
            <w:hideMark/>
          </w:tcPr>
          <w:p w14:paraId="2FC5CF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66.89%</w:t>
            </w:r>
          </w:p>
        </w:tc>
        <w:tc>
          <w:tcPr>
            <w:tcW w:w="556" w:type="pct"/>
            <w:vAlign w:val="center"/>
            <w:hideMark/>
          </w:tcPr>
          <w:p w14:paraId="52C8DD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17,058.17</w:t>
            </w:r>
          </w:p>
        </w:tc>
        <w:tc>
          <w:tcPr>
            <w:tcW w:w="572" w:type="pct"/>
            <w:vAlign w:val="center"/>
            <w:hideMark/>
          </w:tcPr>
          <w:p w14:paraId="7EEC00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76.13%</w:t>
            </w:r>
          </w:p>
        </w:tc>
        <w:tc>
          <w:tcPr>
            <w:tcW w:w="656" w:type="pct"/>
            <w:vAlign w:val="center"/>
            <w:hideMark/>
          </w:tcPr>
          <w:p w14:paraId="3EE578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20,633.20</w:t>
            </w:r>
          </w:p>
        </w:tc>
        <w:tc>
          <w:tcPr>
            <w:tcW w:w="571" w:type="pct"/>
            <w:vAlign w:val="center"/>
            <w:hideMark/>
          </w:tcPr>
          <w:p w14:paraId="044319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74.72%</w:t>
            </w:r>
          </w:p>
        </w:tc>
      </w:tr>
      <w:tr w:rsidR="003F2129" w:rsidRPr="00DA3766" w14:paraId="448B579F" w14:textId="77777777" w:rsidTr="00DA3766">
        <w:trPr>
          <w:trHeight w:val="397"/>
          <w:jc w:val="center"/>
        </w:trPr>
        <w:tc>
          <w:tcPr>
            <w:tcW w:w="656" w:type="pct"/>
            <w:vMerge/>
            <w:vAlign w:val="center"/>
            <w:hideMark/>
          </w:tcPr>
          <w:p w14:paraId="2BD8AA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32204DA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C5010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10,369.69</w:t>
            </w:r>
          </w:p>
        </w:tc>
        <w:tc>
          <w:tcPr>
            <w:tcW w:w="621" w:type="pct"/>
            <w:vAlign w:val="center"/>
            <w:hideMark/>
          </w:tcPr>
          <w:p w14:paraId="469BC2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47.14%</w:t>
            </w:r>
          </w:p>
        </w:tc>
        <w:tc>
          <w:tcPr>
            <w:tcW w:w="556" w:type="pct"/>
            <w:vAlign w:val="center"/>
            <w:hideMark/>
          </w:tcPr>
          <w:p w14:paraId="6089BD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10,693.43</w:t>
            </w:r>
          </w:p>
        </w:tc>
        <w:tc>
          <w:tcPr>
            <w:tcW w:w="572" w:type="pct"/>
            <w:vAlign w:val="center"/>
            <w:hideMark/>
          </w:tcPr>
          <w:p w14:paraId="1F36A0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47.72%</w:t>
            </w:r>
          </w:p>
        </w:tc>
        <w:tc>
          <w:tcPr>
            <w:tcW w:w="656" w:type="pct"/>
            <w:vAlign w:val="center"/>
            <w:hideMark/>
          </w:tcPr>
          <w:p w14:paraId="0DB35F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10,278.37</w:t>
            </w:r>
          </w:p>
        </w:tc>
        <w:tc>
          <w:tcPr>
            <w:tcW w:w="571" w:type="pct"/>
            <w:vAlign w:val="center"/>
            <w:hideMark/>
          </w:tcPr>
          <w:p w14:paraId="356025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37.22%</w:t>
            </w:r>
          </w:p>
        </w:tc>
      </w:tr>
      <w:tr w:rsidR="003F2129" w:rsidRPr="00DA3766" w14:paraId="77C61480" w14:textId="77777777" w:rsidTr="00DA3766">
        <w:trPr>
          <w:trHeight w:val="397"/>
          <w:jc w:val="center"/>
        </w:trPr>
        <w:tc>
          <w:tcPr>
            <w:tcW w:w="656" w:type="pct"/>
            <w:vMerge w:val="restart"/>
            <w:vAlign w:val="center"/>
            <w:hideMark/>
          </w:tcPr>
          <w:p w14:paraId="30AD4A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631" w:type="pct"/>
            <w:vAlign w:val="center"/>
            <w:hideMark/>
          </w:tcPr>
          <w:p w14:paraId="030EEA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E4297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14,545.47</w:t>
            </w:r>
          </w:p>
        </w:tc>
        <w:tc>
          <w:tcPr>
            <w:tcW w:w="621" w:type="pct"/>
            <w:vAlign w:val="center"/>
            <w:hideMark/>
          </w:tcPr>
          <w:p w14:paraId="0BA9CBA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56.59%</w:t>
            </w:r>
          </w:p>
        </w:tc>
        <w:tc>
          <w:tcPr>
            <w:tcW w:w="556" w:type="pct"/>
            <w:vAlign w:val="center"/>
            <w:hideMark/>
          </w:tcPr>
          <w:p w14:paraId="0BF7A9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13,418.56</w:t>
            </w:r>
          </w:p>
        </w:tc>
        <w:tc>
          <w:tcPr>
            <w:tcW w:w="572" w:type="pct"/>
            <w:vAlign w:val="center"/>
            <w:hideMark/>
          </w:tcPr>
          <w:p w14:paraId="373444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52.84%</w:t>
            </w:r>
          </w:p>
        </w:tc>
        <w:tc>
          <w:tcPr>
            <w:tcW w:w="656" w:type="pct"/>
            <w:vAlign w:val="center"/>
            <w:hideMark/>
          </w:tcPr>
          <w:p w14:paraId="6B35FF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16,512.37</w:t>
            </w:r>
          </w:p>
        </w:tc>
        <w:tc>
          <w:tcPr>
            <w:tcW w:w="571" w:type="pct"/>
            <w:vAlign w:val="center"/>
            <w:hideMark/>
          </w:tcPr>
          <w:p w14:paraId="119AB9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74.31%</w:t>
            </w:r>
          </w:p>
        </w:tc>
      </w:tr>
      <w:tr w:rsidR="003F2129" w:rsidRPr="00DA3766" w14:paraId="32A96E6E" w14:textId="77777777" w:rsidTr="00DA3766">
        <w:trPr>
          <w:trHeight w:val="397"/>
          <w:jc w:val="center"/>
        </w:trPr>
        <w:tc>
          <w:tcPr>
            <w:tcW w:w="656" w:type="pct"/>
            <w:vMerge/>
            <w:vAlign w:val="center"/>
            <w:hideMark/>
          </w:tcPr>
          <w:p w14:paraId="050D6C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6EF660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CE96F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10,311.53</w:t>
            </w:r>
          </w:p>
        </w:tc>
        <w:tc>
          <w:tcPr>
            <w:tcW w:w="621" w:type="pct"/>
            <w:vAlign w:val="center"/>
            <w:hideMark/>
          </w:tcPr>
          <w:p w14:paraId="226E0B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40.12%</w:t>
            </w:r>
          </w:p>
        </w:tc>
        <w:tc>
          <w:tcPr>
            <w:tcW w:w="556" w:type="pct"/>
            <w:vAlign w:val="center"/>
            <w:hideMark/>
          </w:tcPr>
          <w:p w14:paraId="72A8E0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11,850.91</w:t>
            </w:r>
          </w:p>
        </w:tc>
        <w:tc>
          <w:tcPr>
            <w:tcW w:w="572" w:type="pct"/>
            <w:vAlign w:val="center"/>
            <w:hideMark/>
          </w:tcPr>
          <w:p w14:paraId="53A775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46.66%</w:t>
            </w:r>
          </w:p>
        </w:tc>
        <w:tc>
          <w:tcPr>
            <w:tcW w:w="656" w:type="pct"/>
            <w:vAlign w:val="center"/>
            <w:hideMark/>
          </w:tcPr>
          <w:p w14:paraId="5A4E3E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9,069.04</w:t>
            </w:r>
          </w:p>
        </w:tc>
        <w:tc>
          <w:tcPr>
            <w:tcW w:w="571" w:type="pct"/>
            <w:vAlign w:val="center"/>
            <w:hideMark/>
          </w:tcPr>
          <w:p w14:paraId="06BA43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40.81%</w:t>
            </w:r>
          </w:p>
        </w:tc>
      </w:tr>
      <w:tr w:rsidR="003F2129" w:rsidRPr="00DA3766" w14:paraId="239E1BAF" w14:textId="77777777" w:rsidTr="00DA3766">
        <w:trPr>
          <w:trHeight w:val="397"/>
          <w:jc w:val="center"/>
        </w:trPr>
        <w:tc>
          <w:tcPr>
            <w:tcW w:w="656" w:type="pct"/>
            <w:vMerge w:val="restart"/>
            <w:vAlign w:val="center"/>
            <w:hideMark/>
          </w:tcPr>
          <w:p w14:paraId="28FE4F7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631" w:type="pct"/>
            <w:vAlign w:val="center"/>
            <w:hideMark/>
          </w:tcPr>
          <w:p w14:paraId="3F3BA2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DE1AE7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28,059.65</w:t>
            </w:r>
          </w:p>
        </w:tc>
        <w:tc>
          <w:tcPr>
            <w:tcW w:w="621" w:type="pct"/>
            <w:vAlign w:val="center"/>
            <w:hideMark/>
          </w:tcPr>
          <w:p w14:paraId="05EF38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57.55%</w:t>
            </w:r>
          </w:p>
        </w:tc>
        <w:tc>
          <w:tcPr>
            <w:tcW w:w="556" w:type="pct"/>
            <w:vAlign w:val="center"/>
            <w:hideMark/>
          </w:tcPr>
          <w:p w14:paraId="4558E5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18,925.22</w:t>
            </w:r>
          </w:p>
        </w:tc>
        <w:tc>
          <w:tcPr>
            <w:tcW w:w="572" w:type="pct"/>
            <w:vAlign w:val="center"/>
            <w:hideMark/>
          </w:tcPr>
          <w:p w14:paraId="7E5E5C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33.23%</w:t>
            </w:r>
          </w:p>
        </w:tc>
        <w:tc>
          <w:tcPr>
            <w:tcW w:w="656" w:type="pct"/>
            <w:vAlign w:val="center"/>
            <w:hideMark/>
          </w:tcPr>
          <w:p w14:paraId="04FF30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11,425.62</w:t>
            </w:r>
          </w:p>
        </w:tc>
        <w:tc>
          <w:tcPr>
            <w:tcW w:w="571" w:type="pct"/>
            <w:vAlign w:val="center"/>
            <w:hideMark/>
          </w:tcPr>
          <w:p w14:paraId="4CFD11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25.67%</w:t>
            </w:r>
          </w:p>
        </w:tc>
      </w:tr>
      <w:tr w:rsidR="003F2129" w:rsidRPr="00DA3766" w14:paraId="040A643E" w14:textId="77777777" w:rsidTr="00DA3766">
        <w:trPr>
          <w:trHeight w:val="397"/>
          <w:jc w:val="center"/>
        </w:trPr>
        <w:tc>
          <w:tcPr>
            <w:tcW w:w="656" w:type="pct"/>
            <w:vMerge/>
            <w:vAlign w:val="center"/>
            <w:hideMark/>
          </w:tcPr>
          <w:p w14:paraId="0398DF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1AD1129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1C283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2,519.74</w:t>
            </w:r>
          </w:p>
        </w:tc>
        <w:tc>
          <w:tcPr>
            <w:tcW w:w="621" w:type="pct"/>
            <w:vAlign w:val="center"/>
            <w:hideMark/>
          </w:tcPr>
          <w:p w14:paraId="7E47D0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5.17%</w:t>
            </w:r>
          </w:p>
        </w:tc>
        <w:tc>
          <w:tcPr>
            <w:tcW w:w="556" w:type="pct"/>
            <w:vAlign w:val="center"/>
            <w:hideMark/>
          </w:tcPr>
          <w:p w14:paraId="242132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962.21</w:t>
            </w:r>
          </w:p>
        </w:tc>
        <w:tc>
          <w:tcPr>
            <w:tcW w:w="572" w:type="pct"/>
            <w:vAlign w:val="center"/>
            <w:hideMark/>
          </w:tcPr>
          <w:p w14:paraId="28A286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1.69%</w:t>
            </w:r>
          </w:p>
        </w:tc>
        <w:tc>
          <w:tcPr>
            <w:tcW w:w="656" w:type="pct"/>
            <w:vAlign w:val="center"/>
            <w:hideMark/>
          </w:tcPr>
          <w:p w14:paraId="7E0A9F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632.26</w:t>
            </w:r>
          </w:p>
        </w:tc>
        <w:tc>
          <w:tcPr>
            <w:tcW w:w="571" w:type="pct"/>
            <w:vAlign w:val="center"/>
            <w:hideMark/>
          </w:tcPr>
          <w:p w14:paraId="788AE8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1.42%</w:t>
            </w:r>
          </w:p>
        </w:tc>
      </w:tr>
      <w:tr w:rsidR="003F2129" w:rsidRPr="00DA3766" w14:paraId="0F1D0C60" w14:textId="77777777" w:rsidTr="00DA3766">
        <w:trPr>
          <w:trHeight w:val="397"/>
          <w:jc w:val="center"/>
        </w:trPr>
        <w:tc>
          <w:tcPr>
            <w:tcW w:w="656" w:type="pct"/>
            <w:vMerge w:val="restart"/>
            <w:vAlign w:val="center"/>
            <w:hideMark/>
          </w:tcPr>
          <w:p w14:paraId="1DB4619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631" w:type="pct"/>
            <w:vAlign w:val="center"/>
            <w:hideMark/>
          </w:tcPr>
          <w:p w14:paraId="2C1080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028F8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35,500.57</w:t>
            </w:r>
          </w:p>
        </w:tc>
        <w:tc>
          <w:tcPr>
            <w:tcW w:w="621" w:type="pct"/>
            <w:vAlign w:val="center"/>
            <w:hideMark/>
          </w:tcPr>
          <w:p w14:paraId="0EC3FF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59.92%</w:t>
            </w:r>
          </w:p>
        </w:tc>
        <w:tc>
          <w:tcPr>
            <w:tcW w:w="556" w:type="pct"/>
            <w:vAlign w:val="center"/>
            <w:hideMark/>
          </w:tcPr>
          <w:p w14:paraId="10383D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23,201.50</w:t>
            </w:r>
          </w:p>
        </w:tc>
        <w:tc>
          <w:tcPr>
            <w:tcW w:w="572" w:type="pct"/>
            <w:vAlign w:val="center"/>
            <w:hideMark/>
          </w:tcPr>
          <w:p w14:paraId="589A3B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43.95%</w:t>
            </w:r>
          </w:p>
        </w:tc>
        <w:tc>
          <w:tcPr>
            <w:tcW w:w="656" w:type="pct"/>
            <w:vAlign w:val="center"/>
            <w:hideMark/>
          </w:tcPr>
          <w:p w14:paraId="2FEB2A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12,992.93</w:t>
            </w:r>
          </w:p>
        </w:tc>
        <w:tc>
          <w:tcPr>
            <w:tcW w:w="571" w:type="pct"/>
            <w:vAlign w:val="center"/>
            <w:hideMark/>
          </w:tcPr>
          <w:p w14:paraId="6BC5676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32.57%</w:t>
            </w:r>
          </w:p>
        </w:tc>
      </w:tr>
      <w:tr w:rsidR="003F2129" w:rsidRPr="00DA3766" w14:paraId="0E8FBDC9" w14:textId="77777777" w:rsidTr="00DA3766">
        <w:trPr>
          <w:trHeight w:val="397"/>
          <w:jc w:val="center"/>
        </w:trPr>
        <w:tc>
          <w:tcPr>
            <w:tcW w:w="656" w:type="pct"/>
            <w:vMerge/>
            <w:vAlign w:val="center"/>
            <w:hideMark/>
          </w:tcPr>
          <w:p w14:paraId="687081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3F2A1D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4DCD29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8,475.50</w:t>
            </w:r>
          </w:p>
        </w:tc>
        <w:tc>
          <w:tcPr>
            <w:tcW w:w="621" w:type="pct"/>
            <w:vAlign w:val="center"/>
            <w:hideMark/>
          </w:tcPr>
          <w:p w14:paraId="52B3B0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14.31%</w:t>
            </w:r>
          </w:p>
        </w:tc>
        <w:tc>
          <w:tcPr>
            <w:tcW w:w="556" w:type="pct"/>
            <w:vAlign w:val="center"/>
            <w:hideMark/>
          </w:tcPr>
          <w:p w14:paraId="528F7F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2,376.03</w:t>
            </w:r>
          </w:p>
        </w:tc>
        <w:tc>
          <w:tcPr>
            <w:tcW w:w="572" w:type="pct"/>
            <w:vAlign w:val="center"/>
            <w:hideMark/>
          </w:tcPr>
          <w:p w14:paraId="66193B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4.50%</w:t>
            </w:r>
          </w:p>
        </w:tc>
        <w:tc>
          <w:tcPr>
            <w:tcW w:w="656" w:type="pct"/>
            <w:vAlign w:val="center"/>
            <w:hideMark/>
          </w:tcPr>
          <w:p w14:paraId="710272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2,654.48</w:t>
            </w:r>
          </w:p>
        </w:tc>
        <w:tc>
          <w:tcPr>
            <w:tcW w:w="571" w:type="pct"/>
            <w:vAlign w:val="center"/>
            <w:hideMark/>
          </w:tcPr>
          <w:p w14:paraId="05F121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6.65%</w:t>
            </w:r>
          </w:p>
        </w:tc>
      </w:tr>
      <w:tr w:rsidR="003F2129" w:rsidRPr="00DA3766" w14:paraId="7E2795D3" w14:textId="77777777" w:rsidTr="00DA3766">
        <w:trPr>
          <w:trHeight w:val="397"/>
          <w:jc w:val="center"/>
        </w:trPr>
        <w:tc>
          <w:tcPr>
            <w:tcW w:w="656" w:type="pct"/>
            <w:vMerge w:val="restart"/>
            <w:vAlign w:val="center"/>
            <w:hideMark/>
          </w:tcPr>
          <w:p w14:paraId="3B708B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631" w:type="pct"/>
            <w:vAlign w:val="center"/>
            <w:hideMark/>
          </w:tcPr>
          <w:p w14:paraId="67A88D0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483635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59,969.06</w:t>
            </w:r>
          </w:p>
        </w:tc>
        <w:tc>
          <w:tcPr>
            <w:tcW w:w="621" w:type="pct"/>
            <w:vAlign w:val="center"/>
            <w:hideMark/>
          </w:tcPr>
          <w:p w14:paraId="629F38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82.86%</w:t>
            </w:r>
          </w:p>
        </w:tc>
        <w:tc>
          <w:tcPr>
            <w:tcW w:w="556" w:type="pct"/>
            <w:vAlign w:val="center"/>
            <w:hideMark/>
          </w:tcPr>
          <w:p w14:paraId="114E1A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38,532.08</w:t>
            </w:r>
          </w:p>
        </w:tc>
        <w:tc>
          <w:tcPr>
            <w:tcW w:w="572" w:type="pct"/>
            <w:vAlign w:val="center"/>
            <w:hideMark/>
          </w:tcPr>
          <w:p w14:paraId="7C63BE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47.82%</w:t>
            </w:r>
          </w:p>
        </w:tc>
        <w:tc>
          <w:tcPr>
            <w:tcW w:w="656" w:type="pct"/>
            <w:vAlign w:val="center"/>
            <w:hideMark/>
          </w:tcPr>
          <w:p w14:paraId="198EA8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23,912.68</w:t>
            </w:r>
          </w:p>
        </w:tc>
        <w:tc>
          <w:tcPr>
            <w:tcW w:w="571" w:type="pct"/>
            <w:vAlign w:val="center"/>
            <w:hideMark/>
          </w:tcPr>
          <w:p w14:paraId="10F0BA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38.19%</w:t>
            </w:r>
          </w:p>
        </w:tc>
      </w:tr>
      <w:tr w:rsidR="003F2129" w:rsidRPr="00DA3766" w14:paraId="19BA5B3D" w14:textId="77777777" w:rsidTr="00DA3766">
        <w:trPr>
          <w:trHeight w:val="397"/>
          <w:jc w:val="center"/>
        </w:trPr>
        <w:tc>
          <w:tcPr>
            <w:tcW w:w="656" w:type="pct"/>
            <w:vMerge/>
            <w:vAlign w:val="center"/>
            <w:hideMark/>
          </w:tcPr>
          <w:p w14:paraId="4FABC3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B873F5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5E9514C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12,923.07</w:t>
            </w:r>
          </w:p>
        </w:tc>
        <w:tc>
          <w:tcPr>
            <w:tcW w:w="621" w:type="pct"/>
            <w:vAlign w:val="center"/>
            <w:hideMark/>
          </w:tcPr>
          <w:p w14:paraId="184B67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17.86%</w:t>
            </w:r>
          </w:p>
        </w:tc>
        <w:tc>
          <w:tcPr>
            <w:tcW w:w="556" w:type="pct"/>
            <w:vAlign w:val="center"/>
            <w:hideMark/>
          </w:tcPr>
          <w:p w14:paraId="1FD6CB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8,463.51</w:t>
            </w:r>
          </w:p>
        </w:tc>
        <w:tc>
          <w:tcPr>
            <w:tcW w:w="572" w:type="pct"/>
            <w:vAlign w:val="center"/>
            <w:hideMark/>
          </w:tcPr>
          <w:p w14:paraId="0E4E5B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10.50%</w:t>
            </w:r>
          </w:p>
        </w:tc>
        <w:tc>
          <w:tcPr>
            <w:tcW w:w="656" w:type="pct"/>
            <w:vAlign w:val="center"/>
            <w:hideMark/>
          </w:tcPr>
          <w:p w14:paraId="6F087F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2,661.97</w:t>
            </w:r>
          </w:p>
        </w:tc>
        <w:tc>
          <w:tcPr>
            <w:tcW w:w="571" w:type="pct"/>
            <w:vAlign w:val="center"/>
            <w:hideMark/>
          </w:tcPr>
          <w:p w14:paraId="341EB9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4.25%</w:t>
            </w:r>
          </w:p>
        </w:tc>
      </w:tr>
      <w:tr w:rsidR="003F2129" w:rsidRPr="00DA3766" w14:paraId="5DD6BBC7" w14:textId="77777777" w:rsidTr="00DA3766">
        <w:trPr>
          <w:trHeight w:val="397"/>
          <w:jc w:val="center"/>
        </w:trPr>
        <w:tc>
          <w:tcPr>
            <w:tcW w:w="656" w:type="pct"/>
            <w:vMerge w:val="restart"/>
            <w:vAlign w:val="center"/>
            <w:hideMark/>
          </w:tcPr>
          <w:p w14:paraId="1D4AF1F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631" w:type="pct"/>
            <w:vAlign w:val="center"/>
            <w:hideMark/>
          </w:tcPr>
          <w:p w14:paraId="5F30D9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00F6F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33,024.80</w:t>
            </w:r>
          </w:p>
        </w:tc>
        <w:tc>
          <w:tcPr>
            <w:tcW w:w="621" w:type="pct"/>
            <w:vAlign w:val="center"/>
            <w:hideMark/>
          </w:tcPr>
          <w:p w14:paraId="1B2F63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65.80%</w:t>
            </w:r>
          </w:p>
        </w:tc>
        <w:tc>
          <w:tcPr>
            <w:tcW w:w="556" w:type="pct"/>
            <w:vAlign w:val="center"/>
            <w:hideMark/>
          </w:tcPr>
          <w:p w14:paraId="040537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25,292.07</w:t>
            </w:r>
          </w:p>
        </w:tc>
        <w:tc>
          <w:tcPr>
            <w:tcW w:w="572" w:type="pct"/>
            <w:vAlign w:val="center"/>
            <w:hideMark/>
          </w:tcPr>
          <w:p w14:paraId="573184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57.14%</w:t>
            </w:r>
          </w:p>
        </w:tc>
        <w:tc>
          <w:tcPr>
            <w:tcW w:w="656" w:type="pct"/>
            <w:vAlign w:val="center"/>
            <w:hideMark/>
          </w:tcPr>
          <w:p w14:paraId="21BABF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20,933.59</w:t>
            </w:r>
          </w:p>
        </w:tc>
        <w:tc>
          <w:tcPr>
            <w:tcW w:w="571" w:type="pct"/>
            <w:vAlign w:val="center"/>
            <w:hideMark/>
          </w:tcPr>
          <w:p w14:paraId="144CB5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50.30%</w:t>
            </w:r>
          </w:p>
        </w:tc>
      </w:tr>
      <w:tr w:rsidR="003F2129" w:rsidRPr="00DA3766" w14:paraId="58EBD40A" w14:textId="77777777" w:rsidTr="00DA3766">
        <w:trPr>
          <w:trHeight w:val="397"/>
          <w:jc w:val="center"/>
        </w:trPr>
        <w:tc>
          <w:tcPr>
            <w:tcW w:w="656" w:type="pct"/>
            <w:vMerge/>
            <w:vAlign w:val="center"/>
            <w:hideMark/>
          </w:tcPr>
          <w:p w14:paraId="11EE98F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96EDC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D1875B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12,836.38</w:t>
            </w:r>
          </w:p>
        </w:tc>
        <w:tc>
          <w:tcPr>
            <w:tcW w:w="621" w:type="pct"/>
            <w:vAlign w:val="center"/>
            <w:hideMark/>
          </w:tcPr>
          <w:p w14:paraId="2E69BD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25.57%</w:t>
            </w:r>
          </w:p>
        </w:tc>
        <w:tc>
          <w:tcPr>
            <w:tcW w:w="556" w:type="pct"/>
            <w:vAlign w:val="center"/>
            <w:hideMark/>
          </w:tcPr>
          <w:p w14:paraId="29933D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8,735.93</w:t>
            </w:r>
          </w:p>
        </w:tc>
        <w:tc>
          <w:tcPr>
            <w:tcW w:w="572" w:type="pct"/>
            <w:vAlign w:val="center"/>
            <w:hideMark/>
          </w:tcPr>
          <w:p w14:paraId="10B7D7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19.74%</w:t>
            </w:r>
          </w:p>
        </w:tc>
        <w:tc>
          <w:tcPr>
            <w:tcW w:w="656" w:type="pct"/>
            <w:vAlign w:val="center"/>
            <w:hideMark/>
          </w:tcPr>
          <w:p w14:paraId="77C273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7,662.80</w:t>
            </w:r>
          </w:p>
        </w:tc>
        <w:tc>
          <w:tcPr>
            <w:tcW w:w="571" w:type="pct"/>
            <w:vAlign w:val="center"/>
            <w:hideMark/>
          </w:tcPr>
          <w:p w14:paraId="79E81E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18.41%</w:t>
            </w:r>
          </w:p>
        </w:tc>
      </w:tr>
      <w:tr w:rsidR="003F2129" w:rsidRPr="00DA3766" w14:paraId="5BDB3506" w14:textId="77777777" w:rsidTr="00DA3766">
        <w:trPr>
          <w:trHeight w:val="397"/>
          <w:jc w:val="center"/>
        </w:trPr>
        <w:tc>
          <w:tcPr>
            <w:tcW w:w="656" w:type="pct"/>
            <w:vMerge w:val="restart"/>
            <w:vAlign w:val="center"/>
            <w:hideMark/>
          </w:tcPr>
          <w:p w14:paraId="6A325D7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631" w:type="pct"/>
            <w:vAlign w:val="center"/>
            <w:hideMark/>
          </w:tcPr>
          <w:p w14:paraId="2938BC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00A945E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63,842.03</w:t>
            </w:r>
          </w:p>
        </w:tc>
        <w:tc>
          <w:tcPr>
            <w:tcW w:w="621" w:type="pct"/>
            <w:vAlign w:val="center"/>
            <w:hideMark/>
          </w:tcPr>
          <w:p w14:paraId="78EA96F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48.26%</w:t>
            </w:r>
          </w:p>
        </w:tc>
        <w:tc>
          <w:tcPr>
            <w:tcW w:w="556" w:type="pct"/>
            <w:vAlign w:val="center"/>
            <w:hideMark/>
          </w:tcPr>
          <w:p w14:paraId="5AAE4D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42,249.02</w:t>
            </w:r>
          </w:p>
        </w:tc>
        <w:tc>
          <w:tcPr>
            <w:tcW w:w="572" w:type="pct"/>
            <w:vAlign w:val="center"/>
            <w:hideMark/>
          </w:tcPr>
          <w:p w14:paraId="6BDF65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43.73%</w:t>
            </w:r>
          </w:p>
        </w:tc>
        <w:tc>
          <w:tcPr>
            <w:tcW w:w="656" w:type="pct"/>
            <w:vAlign w:val="center"/>
            <w:hideMark/>
          </w:tcPr>
          <w:p w14:paraId="744B05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24,696.51</w:t>
            </w:r>
          </w:p>
        </w:tc>
        <w:tc>
          <w:tcPr>
            <w:tcW w:w="571" w:type="pct"/>
            <w:vAlign w:val="center"/>
            <w:hideMark/>
          </w:tcPr>
          <w:p w14:paraId="7D0C4C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33.79%</w:t>
            </w:r>
          </w:p>
        </w:tc>
      </w:tr>
      <w:tr w:rsidR="003F2129" w:rsidRPr="00DA3766" w14:paraId="034F0072" w14:textId="77777777" w:rsidTr="00DA3766">
        <w:trPr>
          <w:trHeight w:val="397"/>
          <w:jc w:val="center"/>
        </w:trPr>
        <w:tc>
          <w:tcPr>
            <w:tcW w:w="656" w:type="pct"/>
            <w:vMerge/>
            <w:vAlign w:val="center"/>
            <w:hideMark/>
          </w:tcPr>
          <w:p w14:paraId="038E16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7D1148B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B1FD2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15,119.53</w:t>
            </w:r>
          </w:p>
        </w:tc>
        <w:tc>
          <w:tcPr>
            <w:tcW w:w="621" w:type="pct"/>
            <w:vAlign w:val="center"/>
            <w:hideMark/>
          </w:tcPr>
          <w:p w14:paraId="2EE9A3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11.43%</w:t>
            </w:r>
          </w:p>
        </w:tc>
        <w:tc>
          <w:tcPr>
            <w:tcW w:w="556" w:type="pct"/>
            <w:vAlign w:val="center"/>
            <w:hideMark/>
          </w:tcPr>
          <w:p w14:paraId="5444AE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10,564.87</w:t>
            </w:r>
          </w:p>
        </w:tc>
        <w:tc>
          <w:tcPr>
            <w:tcW w:w="572" w:type="pct"/>
            <w:vAlign w:val="center"/>
            <w:hideMark/>
          </w:tcPr>
          <w:p w14:paraId="69E34D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10.93%</w:t>
            </w:r>
          </w:p>
        </w:tc>
        <w:tc>
          <w:tcPr>
            <w:tcW w:w="656" w:type="pct"/>
            <w:vAlign w:val="center"/>
            <w:hideMark/>
          </w:tcPr>
          <w:p w14:paraId="5015AF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8,480.50</w:t>
            </w:r>
          </w:p>
        </w:tc>
        <w:tc>
          <w:tcPr>
            <w:tcW w:w="571" w:type="pct"/>
            <w:vAlign w:val="center"/>
            <w:hideMark/>
          </w:tcPr>
          <w:p w14:paraId="6AE8E2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11.60%</w:t>
            </w:r>
          </w:p>
        </w:tc>
      </w:tr>
      <w:tr w:rsidR="003F2129" w:rsidRPr="00DA3766" w14:paraId="1CC16EFB" w14:textId="77777777" w:rsidTr="00DA3766">
        <w:trPr>
          <w:trHeight w:val="397"/>
          <w:jc w:val="center"/>
        </w:trPr>
        <w:tc>
          <w:tcPr>
            <w:tcW w:w="656" w:type="pct"/>
            <w:vMerge w:val="restart"/>
            <w:vAlign w:val="center"/>
            <w:hideMark/>
          </w:tcPr>
          <w:p w14:paraId="08D0C7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lastRenderedPageBreak/>
              <w:t>平均值</w:t>
            </w:r>
          </w:p>
        </w:tc>
        <w:tc>
          <w:tcPr>
            <w:tcW w:w="631" w:type="pct"/>
            <w:vAlign w:val="center"/>
            <w:hideMark/>
          </w:tcPr>
          <w:p w14:paraId="4C72A7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6594C5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35,665.00</w:t>
            </w:r>
          </w:p>
        </w:tc>
        <w:tc>
          <w:tcPr>
            <w:tcW w:w="621" w:type="pct"/>
            <w:vAlign w:val="center"/>
            <w:hideMark/>
          </w:tcPr>
          <w:p w14:paraId="1769DF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62.55%</w:t>
            </w:r>
          </w:p>
        </w:tc>
        <w:tc>
          <w:tcPr>
            <w:tcW w:w="556" w:type="pct"/>
            <w:vAlign w:val="center"/>
            <w:hideMark/>
          </w:tcPr>
          <w:p w14:paraId="53AEF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25,525.23</w:t>
            </w:r>
          </w:p>
        </w:tc>
        <w:tc>
          <w:tcPr>
            <w:tcW w:w="572" w:type="pct"/>
            <w:vAlign w:val="center"/>
            <w:hideMark/>
          </w:tcPr>
          <w:p w14:paraId="7A4F56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50.69%</w:t>
            </w:r>
          </w:p>
        </w:tc>
        <w:tc>
          <w:tcPr>
            <w:tcW w:w="656" w:type="pct"/>
            <w:vAlign w:val="center"/>
            <w:hideMark/>
          </w:tcPr>
          <w:p w14:paraId="50C370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18,729.56</w:t>
            </w:r>
          </w:p>
        </w:tc>
        <w:tc>
          <w:tcPr>
            <w:tcW w:w="571" w:type="pct"/>
            <w:vAlign w:val="center"/>
            <w:hideMark/>
          </w:tcPr>
          <w:p w14:paraId="74AFF1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47.08%</w:t>
            </w:r>
          </w:p>
        </w:tc>
      </w:tr>
      <w:tr w:rsidR="003F2129" w:rsidRPr="00DA3766" w14:paraId="47EF9F09" w14:textId="77777777" w:rsidTr="00DA3766">
        <w:trPr>
          <w:trHeight w:val="397"/>
          <w:jc w:val="center"/>
        </w:trPr>
        <w:tc>
          <w:tcPr>
            <w:tcW w:w="656" w:type="pct"/>
            <w:vMerge/>
            <w:vAlign w:val="center"/>
            <w:hideMark/>
          </w:tcPr>
          <w:p w14:paraId="43CB42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hideMark/>
          </w:tcPr>
          <w:p w14:paraId="67C19A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0949A2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10,365.06</w:t>
            </w:r>
          </w:p>
        </w:tc>
        <w:tc>
          <w:tcPr>
            <w:tcW w:w="621" w:type="pct"/>
            <w:vAlign w:val="center"/>
            <w:hideMark/>
          </w:tcPr>
          <w:p w14:paraId="68F319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23.09%</w:t>
            </w:r>
          </w:p>
        </w:tc>
        <w:tc>
          <w:tcPr>
            <w:tcW w:w="556" w:type="pct"/>
            <w:vAlign w:val="center"/>
            <w:hideMark/>
          </w:tcPr>
          <w:p w14:paraId="5127E1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7,663.84</w:t>
            </w:r>
          </w:p>
        </w:tc>
        <w:tc>
          <w:tcPr>
            <w:tcW w:w="572" w:type="pct"/>
            <w:vAlign w:val="center"/>
            <w:hideMark/>
          </w:tcPr>
          <w:p w14:paraId="01EFD8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20.25%</w:t>
            </w:r>
          </w:p>
        </w:tc>
        <w:tc>
          <w:tcPr>
            <w:tcW w:w="656" w:type="pct"/>
            <w:vAlign w:val="center"/>
            <w:hideMark/>
          </w:tcPr>
          <w:p w14:paraId="695936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5,919.92</w:t>
            </w:r>
          </w:p>
        </w:tc>
        <w:tc>
          <w:tcPr>
            <w:tcW w:w="571" w:type="pct"/>
            <w:vAlign w:val="center"/>
            <w:hideMark/>
          </w:tcPr>
          <w:p w14:paraId="1E7D4C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17.20%</w:t>
            </w:r>
          </w:p>
        </w:tc>
      </w:tr>
      <w:tr w:rsidR="003F2129" w:rsidRPr="00DA3766" w14:paraId="4E1AD6A3" w14:textId="77777777" w:rsidTr="00DA3766">
        <w:trPr>
          <w:trHeight w:val="397"/>
          <w:jc w:val="center"/>
        </w:trPr>
        <w:tc>
          <w:tcPr>
            <w:tcW w:w="656" w:type="pct"/>
            <w:vMerge w:val="restart"/>
            <w:vAlign w:val="center"/>
            <w:hideMark/>
          </w:tcPr>
          <w:p w14:paraId="4EB4EA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631" w:type="pct"/>
            <w:vAlign w:val="center"/>
            <w:hideMark/>
          </w:tcPr>
          <w:p w14:paraId="0DA335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493E69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33,024.80</w:t>
            </w:r>
          </w:p>
        </w:tc>
        <w:tc>
          <w:tcPr>
            <w:tcW w:w="621" w:type="pct"/>
            <w:vAlign w:val="center"/>
            <w:hideMark/>
          </w:tcPr>
          <w:p w14:paraId="7A58EB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59.92%</w:t>
            </w:r>
          </w:p>
        </w:tc>
        <w:tc>
          <w:tcPr>
            <w:tcW w:w="556" w:type="pct"/>
            <w:vAlign w:val="center"/>
            <w:hideMark/>
          </w:tcPr>
          <w:p w14:paraId="40584E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23,201.50</w:t>
            </w:r>
          </w:p>
        </w:tc>
        <w:tc>
          <w:tcPr>
            <w:tcW w:w="572" w:type="pct"/>
            <w:vAlign w:val="center"/>
            <w:hideMark/>
          </w:tcPr>
          <w:p w14:paraId="16BD29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47.82%</w:t>
            </w:r>
          </w:p>
        </w:tc>
        <w:tc>
          <w:tcPr>
            <w:tcW w:w="656" w:type="pct"/>
            <w:vAlign w:val="center"/>
            <w:hideMark/>
          </w:tcPr>
          <w:p w14:paraId="71DC19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20,633.20</w:t>
            </w:r>
          </w:p>
        </w:tc>
        <w:tc>
          <w:tcPr>
            <w:tcW w:w="571" w:type="pct"/>
            <w:vAlign w:val="center"/>
            <w:hideMark/>
          </w:tcPr>
          <w:p w14:paraId="23D219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38.19%</w:t>
            </w:r>
          </w:p>
        </w:tc>
      </w:tr>
      <w:tr w:rsidR="003F2129" w:rsidRPr="00DA3766" w14:paraId="31282731" w14:textId="77777777" w:rsidTr="00DA3766">
        <w:trPr>
          <w:trHeight w:val="397"/>
          <w:jc w:val="center"/>
        </w:trPr>
        <w:tc>
          <w:tcPr>
            <w:tcW w:w="656" w:type="pct"/>
            <w:vMerge/>
            <w:vAlign w:val="center"/>
            <w:hideMark/>
          </w:tcPr>
          <w:p w14:paraId="76A908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hideMark/>
          </w:tcPr>
          <w:p w14:paraId="4DAF56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5A8AA4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10,369.69</w:t>
            </w:r>
          </w:p>
        </w:tc>
        <w:tc>
          <w:tcPr>
            <w:tcW w:w="621" w:type="pct"/>
            <w:vAlign w:val="center"/>
            <w:hideMark/>
          </w:tcPr>
          <w:p w14:paraId="13CB9D7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17.86%</w:t>
            </w:r>
          </w:p>
        </w:tc>
        <w:tc>
          <w:tcPr>
            <w:tcW w:w="556" w:type="pct"/>
            <w:vAlign w:val="center"/>
            <w:hideMark/>
          </w:tcPr>
          <w:p w14:paraId="0564A7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8,735.93</w:t>
            </w:r>
          </w:p>
        </w:tc>
        <w:tc>
          <w:tcPr>
            <w:tcW w:w="572" w:type="pct"/>
            <w:vAlign w:val="center"/>
            <w:hideMark/>
          </w:tcPr>
          <w:p w14:paraId="018978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10.93%</w:t>
            </w:r>
          </w:p>
        </w:tc>
        <w:tc>
          <w:tcPr>
            <w:tcW w:w="656" w:type="pct"/>
            <w:vAlign w:val="center"/>
            <w:hideMark/>
          </w:tcPr>
          <w:p w14:paraId="11D304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7,662.80</w:t>
            </w:r>
          </w:p>
        </w:tc>
        <w:tc>
          <w:tcPr>
            <w:tcW w:w="571" w:type="pct"/>
            <w:vAlign w:val="center"/>
            <w:hideMark/>
          </w:tcPr>
          <w:p w14:paraId="6765382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11.60%</w:t>
            </w:r>
          </w:p>
        </w:tc>
      </w:tr>
      <w:tr w:rsidR="003F2129" w:rsidRPr="00DA3766" w14:paraId="2C6135E1" w14:textId="77777777" w:rsidTr="00DA3766">
        <w:trPr>
          <w:trHeight w:val="397"/>
          <w:jc w:val="center"/>
        </w:trPr>
        <w:tc>
          <w:tcPr>
            <w:tcW w:w="656" w:type="pct"/>
            <w:vMerge w:val="restart"/>
            <w:vAlign w:val="center"/>
            <w:hideMark/>
          </w:tcPr>
          <w:p w14:paraId="6C745E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631" w:type="pct"/>
            <w:vAlign w:val="center"/>
            <w:hideMark/>
          </w:tcPr>
          <w:p w14:paraId="47496E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72C39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25,270.11</w:t>
            </w:r>
          </w:p>
        </w:tc>
        <w:tc>
          <w:tcPr>
            <w:tcW w:w="621" w:type="pct"/>
            <w:vAlign w:val="center"/>
            <w:hideMark/>
          </w:tcPr>
          <w:p w14:paraId="26ABFE8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70.55%</w:t>
            </w:r>
          </w:p>
        </w:tc>
        <w:tc>
          <w:tcPr>
            <w:tcW w:w="556" w:type="pct"/>
            <w:vAlign w:val="center"/>
            <w:hideMark/>
          </w:tcPr>
          <w:p w14:paraId="2F5052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19,090.55</w:t>
            </w:r>
          </w:p>
        </w:tc>
        <w:tc>
          <w:tcPr>
            <w:tcW w:w="572" w:type="pct"/>
            <w:vAlign w:val="center"/>
            <w:hideMark/>
          </w:tcPr>
          <w:p w14:paraId="377970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52.26%</w:t>
            </w:r>
          </w:p>
        </w:tc>
        <w:tc>
          <w:tcPr>
            <w:tcW w:w="656" w:type="pct"/>
            <w:vAlign w:val="center"/>
            <w:hideMark/>
          </w:tcPr>
          <w:p w14:paraId="48D46E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12,706.91</w:t>
            </w:r>
          </w:p>
        </w:tc>
        <w:tc>
          <w:tcPr>
            <w:tcW w:w="571" w:type="pct"/>
            <w:vAlign w:val="center"/>
            <w:hideMark/>
          </w:tcPr>
          <w:p w14:paraId="18A27B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41.50%</w:t>
            </w:r>
          </w:p>
        </w:tc>
      </w:tr>
      <w:tr w:rsidR="003F2129" w:rsidRPr="00DA3766" w14:paraId="4571D2BB" w14:textId="77777777" w:rsidTr="00DA3766">
        <w:trPr>
          <w:trHeight w:val="397"/>
          <w:jc w:val="center"/>
        </w:trPr>
        <w:tc>
          <w:tcPr>
            <w:tcW w:w="656" w:type="pct"/>
            <w:vMerge/>
            <w:vAlign w:val="center"/>
            <w:hideMark/>
          </w:tcPr>
          <w:p w14:paraId="285CCAB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AD977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53B7B8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7,303.63</w:t>
            </w:r>
          </w:p>
        </w:tc>
        <w:tc>
          <w:tcPr>
            <w:tcW w:w="621" w:type="pct"/>
            <w:vAlign w:val="center"/>
            <w:hideMark/>
          </w:tcPr>
          <w:p w14:paraId="4A3013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20.39%</w:t>
            </w:r>
          </w:p>
        </w:tc>
        <w:tc>
          <w:tcPr>
            <w:tcW w:w="556" w:type="pct"/>
            <w:vAlign w:val="center"/>
            <w:hideMark/>
          </w:tcPr>
          <w:p w14:paraId="315D6F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3,521.36</w:t>
            </w:r>
          </w:p>
        </w:tc>
        <w:tc>
          <w:tcPr>
            <w:tcW w:w="572" w:type="pct"/>
            <w:vAlign w:val="center"/>
            <w:hideMark/>
          </w:tcPr>
          <w:p w14:paraId="689626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9.64%</w:t>
            </w:r>
          </w:p>
        </w:tc>
        <w:tc>
          <w:tcPr>
            <w:tcW w:w="656" w:type="pct"/>
            <w:vAlign w:val="center"/>
            <w:hideMark/>
          </w:tcPr>
          <w:p w14:paraId="635D087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2,521.53</w:t>
            </w:r>
          </w:p>
        </w:tc>
        <w:tc>
          <w:tcPr>
            <w:tcW w:w="571" w:type="pct"/>
            <w:vAlign w:val="center"/>
            <w:hideMark/>
          </w:tcPr>
          <w:p w14:paraId="031B32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8.23%</w:t>
            </w:r>
          </w:p>
        </w:tc>
      </w:tr>
    </w:tbl>
    <w:p w14:paraId="3AAE2907" w14:textId="465B2D29"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如上表所示，报告期各期末，同行业可比公司</w:t>
      </w:r>
      <w:r w:rsidRPr="00DA3766">
        <w:rPr>
          <w:rFonts w:ascii="Times New Roman" w:hAnsi="Times New Roman" w:cs="Times New Roman"/>
          <w:kern w:val="2"/>
          <w:szCs w:val="23"/>
        </w:rPr>
        <w:t>2022</w:t>
      </w:r>
      <w:r w:rsidRPr="00DA3766">
        <w:rPr>
          <w:rFonts w:ascii="Times New Roman" w:hAnsi="Times New Roman" w:cs="Times New Roman"/>
          <w:kern w:val="2"/>
          <w:szCs w:val="23"/>
        </w:rPr>
        <w:t>年末至</w:t>
      </w:r>
      <w:r w:rsidRPr="00DA3766">
        <w:rPr>
          <w:rFonts w:ascii="Times New Roman" w:hAnsi="Times New Roman" w:cs="Times New Roman"/>
          <w:kern w:val="2"/>
          <w:szCs w:val="23"/>
        </w:rPr>
        <w:t>2024</w:t>
      </w:r>
      <w:r w:rsidRPr="00DA3766">
        <w:rPr>
          <w:rFonts w:ascii="Times New Roman" w:hAnsi="Times New Roman" w:cs="Times New Roman"/>
          <w:kern w:val="2"/>
          <w:szCs w:val="23"/>
        </w:rPr>
        <w:t>年末账龄一年以上的应收账款余额占比平均水平呈现上升趋势，与</w:t>
      </w:r>
      <w:r w:rsidR="001307D4">
        <w:rPr>
          <w:rFonts w:ascii="Times New Roman" w:hAnsi="Times New Roman" w:cs="Times New Roman"/>
          <w:kern w:val="2"/>
          <w:szCs w:val="23"/>
        </w:rPr>
        <w:t>上市公司</w:t>
      </w:r>
      <w:r w:rsidRPr="00DA3766">
        <w:rPr>
          <w:rFonts w:ascii="Times New Roman" w:hAnsi="Times New Roman" w:cs="Times New Roman"/>
          <w:kern w:val="2"/>
          <w:szCs w:val="23"/>
        </w:rPr>
        <w:t>的应收账款账龄结构变动趋势保持一致。同时，报告期各期末，</w:t>
      </w:r>
      <w:r w:rsidR="001307D4">
        <w:rPr>
          <w:rFonts w:ascii="Times New Roman" w:hAnsi="Times New Roman" w:cs="Times New Roman"/>
          <w:kern w:val="2"/>
          <w:szCs w:val="23"/>
        </w:rPr>
        <w:t>上市公司</w:t>
      </w:r>
      <w:r w:rsidRPr="00DA3766">
        <w:rPr>
          <w:rFonts w:ascii="Times New Roman" w:hAnsi="Times New Roman" w:cs="Times New Roman"/>
          <w:kern w:val="2"/>
          <w:szCs w:val="23"/>
        </w:rPr>
        <w:t>账龄一年以上的应收账款余额和占比与同行业可比公司平均水平，不存在显著异常。公司三年以上的应收账款余额占比快速上升主要收到地方政府客户财政预算紧张等因素所致，与业务同样聚焦于华南地区，尤其是广东省的杰创智能、宏景科技保持相近水平，且变动趋势相同，不存在显著差异。</w:t>
      </w:r>
    </w:p>
    <w:p w14:paraId="4668BAE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、主要客户资信状况、履约能力</w:t>
      </w:r>
    </w:p>
    <w:p w14:paraId="3AD6DCB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上市公司的客户主要为政府部门、事业单位及大中型国有企业，均具有良好资信和支付保障能力，款项支付受到国家预算管理、特定用户付款流程的影响，实际付款中通常按照合同约定执行，但基于客户特殊性质，实际付款时间受预算款项拨款进度、经费支付计划、付款审批流程等影响。</w:t>
      </w:r>
    </w:p>
    <w:p w14:paraId="5FDE96DF"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w:t>
      </w:r>
      <w:bookmarkStart w:id="286" w:name="_Hlk219326497"/>
      <w:r w:rsidRPr="00DA3766">
        <w:rPr>
          <w:rFonts w:ascii="Times New Roman" w:hAnsi="Times New Roman" w:cs="Times New Roman"/>
          <w:b/>
          <w:bCs/>
          <w:kern w:val="2"/>
          <w:szCs w:val="28"/>
        </w:rPr>
        <w:t>地方客户财政资金预算不足</w:t>
      </w:r>
      <w:bookmarkEnd w:id="286"/>
      <w:r w:rsidRPr="00DA3766">
        <w:rPr>
          <w:rFonts w:ascii="Times New Roman" w:hAnsi="Times New Roman" w:cs="Times New Roman"/>
          <w:b/>
          <w:bCs/>
          <w:kern w:val="2"/>
          <w:szCs w:val="28"/>
        </w:rPr>
        <w:t>符合行业情况和区域情况</w:t>
      </w:r>
    </w:p>
    <w:p w14:paraId="794ED7E7"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12</w:t>
      </w:r>
      <w:r w:rsidRPr="00DA3766">
        <w:rPr>
          <w:rFonts w:ascii="Times New Roman" w:hAnsi="Times New Roman" w:cs="Times New Roman"/>
          <w:kern w:val="2"/>
          <w:szCs w:val="23"/>
        </w:rPr>
        <w:t>月，中央经济工作会议中首次明确提出</w:t>
      </w:r>
      <w:r w:rsidRPr="00DA3766">
        <w:rPr>
          <w:rFonts w:cs="Times New Roman"/>
          <w:kern w:val="2"/>
          <w:szCs w:val="23"/>
        </w:rPr>
        <w:t>“</w:t>
      </w:r>
      <w:r w:rsidRPr="00DA3766">
        <w:rPr>
          <w:rFonts w:ascii="Times New Roman" w:hAnsi="Times New Roman" w:cs="Times New Roman"/>
          <w:kern w:val="2"/>
          <w:szCs w:val="23"/>
        </w:rPr>
        <w:t>重视解决地方财政困难</w:t>
      </w:r>
      <w:r w:rsidRPr="00DA3766">
        <w:rPr>
          <w:rFonts w:cs="Times New Roman"/>
          <w:kern w:val="2"/>
          <w:szCs w:val="23"/>
        </w:rPr>
        <w:t>”</w:t>
      </w:r>
      <w:r w:rsidRPr="00DA3766">
        <w:rPr>
          <w:rFonts w:ascii="Times New Roman" w:hAnsi="Times New Roman" w:cs="Times New Roman"/>
          <w:kern w:val="2"/>
          <w:szCs w:val="23"/>
        </w:rPr>
        <w:t>，并要求</w:t>
      </w:r>
      <w:r w:rsidRPr="00DA3766">
        <w:rPr>
          <w:rFonts w:cs="Times New Roman"/>
          <w:kern w:val="2"/>
          <w:szCs w:val="23"/>
        </w:rPr>
        <w:t>“</w:t>
      </w:r>
      <w:r w:rsidRPr="00DA3766">
        <w:rPr>
          <w:rFonts w:ascii="Times New Roman" w:hAnsi="Times New Roman" w:cs="Times New Roman"/>
          <w:kern w:val="2"/>
          <w:szCs w:val="23"/>
        </w:rPr>
        <w:t>兜牢基层</w:t>
      </w:r>
      <w:r w:rsidRPr="00DA3766">
        <w:rPr>
          <w:rFonts w:ascii="Times New Roman" w:hAnsi="Times New Roman" w:cs="Times New Roman"/>
          <w:kern w:val="2"/>
          <w:szCs w:val="23"/>
        </w:rPr>
        <w:t>‘</w:t>
      </w:r>
      <w:r w:rsidRPr="00DA3766">
        <w:rPr>
          <w:rFonts w:ascii="Times New Roman" w:hAnsi="Times New Roman" w:cs="Times New Roman"/>
          <w:kern w:val="2"/>
          <w:szCs w:val="23"/>
        </w:rPr>
        <w:t>三保</w:t>
      </w:r>
      <w:r w:rsidRPr="00DA3766">
        <w:rPr>
          <w:rFonts w:ascii="Times New Roman" w:hAnsi="Times New Roman" w:cs="Times New Roman"/>
          <w:kern w:val="2"/>
          <w:szCs w:val="23"/>
        </w:rPr>
        <w:t>’</w:t>
      </w:r>
      <w:r w:rsidRPr="00DA3766">
        <w:rPr>
          <w:rFonts w:ascii="Times New Roman" w:hAnsi="Times New Roman" w:cs="Times New Roman"/>
          <w:kern w:val="2"/>
          <w:szCs w:val="23"/>
        </w:rPr>
        <w:t>底线</w:t>
      </w:r>
      <w:r w:rsidRPr="00DA3766">
        <w:rPr>
          <w:rFonts w:cs="Times New Roman"/>
          <w:kern w:val="2"/>
          <w:szCs w:val="23"/>
        </w:rPr>
        <w:t>”</w:t>
      </w:r>
      <w:r w:rsidRPr="00DA3766">
        <w:rPr>
          <w:rFonts w:ascii="Times New Roman" w:hAnsi="Times New Roman" w:cs="Times New Roman"/>
          <w:kern w:val="2"/>
          <w:szCs w:val="23"/>
        </w:rPr>
        <w:t>，从最高政策层面确认了地方财政预算不足已成为一个普遍性、系统性的问题，需要高度重视并着手解决。</w:t>
      </w: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3</w:t>
      </w:r>
      <w:r w:rsidRPr="00DA3766">
        <w:rPr>
          <w:rFonts w:ascii="Times New Roman" w:hAnsi="Times New Roman" w:cs="Times New Roman"/>
          <w:kern w:val="2"/>
          <w:szCs w:val="23"/>
        </w:rPr>
        <w:t>月</w:t>
      </w:r>
      <w:r w:rsidRPr="00DA3766">
        <w:rPr>
          <w:rFonts w:ascii="Times New Roman" w:hAnsi="Times New Roman" w:cs="Times New Roman"/>
          <w:kern w:val="2"/>
          <w:szCs w:val="23"/>
        </w:rPr>
        <w:t>24</w:t>
      </w:r>
      <w:r w:rsidRPr="00DA3766">
        <w:rPr>
          <w:rFonts w:ascii="Times New Roman" w:hAnsi="Times New Roman" w:cs="Times New Roman"/>
          <w:kern w:val="2"/>
          <w:szCs w:val="23"/>
        </w:rPr>
        <w:t>日公布修订后的《保障中小企业款项支付条例》明确机关、事业单位和大型企业支付中小企业款项的期限要求等。</w:t>
      </w: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3</w:t>
      </w:r>
      <w:r w:rsidRPr="00DA3766">
        <w:rPr>
          <w:rFonts w:ascii="Times New Roman" w:hAnsi="Times New Roman" w:cs="Times New Roman"/>
          <w:kern w:val="2"/>
          <w:szCs w:val="23"/>
        </w:rPr>
        <w:t>月</w:t>
      </w:r>
      <w:r w:rsidRPr="00DA3766">
        <w:rPr>
          <w:rFonts w:ascii="Times New Roman" w:hAnsi="Times New Roman" w:cs="Times New Roman"/>
          <w:kern w:val="2"/>
          <w:szCs w:val="23"/>
        </w:rPr>
        <w:t>28</w:t>
      </w:r>
      <w:r w:rsidRPr="00DA3766">
        <w:rPr>
          <w:rFonts w:ascii="Times New Roman" w:hAnsi="Times New Roman" w:cs="Times New Roman"/>
          <w:kern w:val="2"/>
          <w:szCs w:val="23"/>
        </w:rPr>
        <w:t>日国务院常务会议审议通过《加快加力清理拖欠企业账款行动方案》并强调，确保清欠工作取得实实在在成效，坚决遏制新增拖欠。</w:t>
      </w:r>
    </w:p>
    <w:p w14:paraId="60BDB28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根据汕头市《</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年政府工作报告》，汕头市计划在</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年积极争取债券</w:t>
      </w:r>
      <w:r w:rsidRPr="00DA3766">
        <w:rPr>
          <w:rFonts w:ascii="Times New Roman" w:hAnsi="Times New Roman" w:cs="Times New Roman"/>
          <w:kern w:val="2"/>
          <w14:ligatures w14:val="standardContextual"/>
        </w:rPr>
        <w:lastRenderedPageBreak/>
        <w:t>资金，稳妥化解存量债务。根据主要客户访谈情况，汕头市政府</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年上半年已经全面开展化债工作，针对因前期财政资金不足导致的债务拖欠情形进行分阶段清理。</w:t>
      </w:r>
    </w:p>
    <w:p w14:paraId="6876B763"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同行业可比公司杰创智能、宏景科技跟上市公司可比性较高，两家公司主营业务、客户范围以及信息披露与上市公司对比如下：</w:t>
      </w:r>
    </w:p>
    <w:tbl>
      <w:tblPr>
        <w:tblW w:w="513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92"/>
        <w:gridCol w:w="1637"/>
        <w:gridCol w:w="1446"/>
        <w:gridCol w:w="3364"/>
      </w:tblGrid>
      <w:tr w:rsidR="003F2129" w:rsidRPr="00DA3766" w14:paraId="09D23CE0" w14:textId="77777777" w:rsidTr="00635015">
        <w:trPr>
          <w:trHeight w:val="397"/>
          <w:tblHeader/>
          <w:jc w:val="center"/>
        </w:trPr>
        <w:tc>
          <w:tcPr>
            <w:tcW w:w="637" w:type="pct"/>
            <w:vAlign w:val="center"/>
          </w:tcPr>
          <w:p w14:paraId="2D6642B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企业</w:t>
            </w:r>
            <w:r w:rsidRPr="00DA3766">
              <w:rPr>
                <w:rFonts w:ascii="Times New Roman" w:hAnsi="Times New Roman" w:cs="Times New Roman"/>
                <w:b/>
                <w:color w:val="000000"/>
                <w:kern w:val="2"/>
                <w:sz w:val="21"/>
                <w:szCs w:val="21"/>
              </w:rPr>
              <w:t xml:space="preserve"> </w:t>
            </w:r>
          </w:p>
        </w:tc>
        <w:tc>
          <w:tcPr>
            <w:tcW w:w="681" w:type="pct"/>
            <w:vAlign w:val="center"/>
          </w:tcPr>
          <w:p w14:paraId="4719E94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主要产品</w:t>
            </w:r>
            <w:r w:rsidRPr="00DA3766">
              <w:rPr>
                <w:rFonts w:ascii="Times New Roman" w:hAnsi="Times New Roman" w:cs="Times New Roman"/>
                <w:b/>
                <w:color w:val="000000"/>
                <w:kern w:val="2"/>
                <w:sz w:val="21"/>
                <w:szCs w:val="21"/>
              </w:rPr>
              <w:t>/</w:t>
            </w:r>
            <w:r w:rsidRPr="00DA3766">
              <w:rPr>
                <w:rFonts w:ascii="Times New Roman" w:hAnsi="Times New Roman" w:cs="Times New Roman"/>
                <w:b/>
                <w:color w:val="000000"/>
                <w:kern w:val="2"/>
                <w:sz w:val="21"/>
                <w:szCs w:val="21"/>
              </w:rPr>
              <w:t>服务</w:t>
            </w:r>
          </w:p>
        </w:tc>
        <w:tc>
          <w:tcPr>
            <w:tcW w:w="935" w:type="pct"/>
            <w:vAlign w:val="center"/>
          </w:tcPr>
          <w:p w14:paraId="481631B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主要业务范围</w:t>
            </w:r>
          </w:p>
        </w:tc>
        <w:tc>
          <w:tcPr>
            <w:tcW w:w="826" w:type="pct"/>
            <w:vAlign w:val="center"/>
          </w:tcPr>
          <w:p w14:paraId="167EF24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收入来源信息披露</w:t>
            </w:r>
          </w:p>
        </w:tc>
        <w:tc>
          <w:tcPr>
            <w:tcW w:w="1921" w:type="pct"/>
            <w:vAlign w:val="center"/>
          </w:tcPr>
          <w:p w14:paraId="1F22819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业务信息披露</w:t>
            </w:r>
          </w:p>
        </w:tc>
      </w:tr>
      <w:tr w:rsidR="003F2129" w:rsidRPr="00DA3766" w14:paraId="51138155" w14:textId="77777777" w:rsidTr="00635015">
        <w:trPr>
          <w:trHeight w:val="397"/>
          <w:jc w:val="center"/>
        </w:trPr>
        <w:tc>
          <w:tcPr>
            <w:tcW w:w="637" w:type="pct"/>
            <w:vAlign w:val="center"/>
          </w:tcPr>
          <w:p w14:paraId="617607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宏景科技</w:t>
            </w:r>
          </w:p>
        </w:tc>
        <w:tc>
          <w:tcPr>
            <w:tcW w:w="681" w:type="pct"/>
            <w:vAlign w:val="center"/>
          </w:tcPr>
          <w:p w14:paraId="080FBC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电子政务、医疗信息化、智慧城市、算力服务</w:t>
            </w:r>
          </w:p>
        </w:tc>
        <w:tc>
          <w:tcPr>
            <w:tcW w:w="935" w:type="pct"/>
            <w:vAlign w:val="center"/>
          </w:tcPr>
          <w:p w14:paraId="5EC9D97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智慧民生、城市综合管理、智慧园区领域系统集成、软件开发与运维等</w:t>
            </w:r>
          </w:p>
        </w:tc>
        <w:tc>
          <w:tcPr>
            <w:tcW w:w="826" w:type="pct"/>
            <w:vAlign w:val="center"/>
          </w:tcPr>
          <w:p w14:paraId="00A956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r w:rsidRPr="00DA3766">
              <w:rPr>
                <w:rFonts w:ascii="Times New Roman" w:hAnsi="Times New Roman" w:cs="Times New Roman"/>
                <w:color w:val="000000"/>
                <w:kern w:val="2"/>
                <w:sz w:val="21"/>
                <w:szCs w:val="21"/>
              </w:rPr>
              <w:t xml:space="preserve"> </w:t>
            </w:r>
          </w:p>
        </w:tc>
        <w:tc>
          <w:tcPr>
            <w:tcW w:w="1921" w:type="pct"/>
            <w:vAlign w:val="center"/>
          </w:tcPr>
          <w:p w14:paraId="7B784C4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主要客户包含政府部门、公共事业单位、园区管理方等；受客户资金紧张影响，公司项目验收进度被拉长，导致应收账款余额较大，公司应收账款的账龄增加，导致计提坏账准备的额度增加；受到当地政府的财务状况影响，具有应收账款无法按期收回的风险。</w:t>
            </w:r>
          </w:p>
        </w:tc>
      </w:tr>
      <w:tr w:rsidR="003F2129" w:rsidRPr="00DA3766" w14:paraId="42C78155" w14:textId="77777777" w:rsidTr="00635015">
        <w:trPr>
          <w:trHeight w:val="397"/>
          <w:jc w:val="center"/>
        </w:trPr>
        <w:tc>
          <w:tcPr>
            <w:tcW w:w="637" w:type="pct"/>
            <w:vAlign w:val="center"/>
          </w:tcPr>
          <w:p w14:paraId="745586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杰创智能</w:t>
            </w:r>
          </w:p>
        </w:tc>
        <w:tc>
          <w:tcPr>
            <w:tcW w:w="681" w:type="pct"/>
            <w:vAlign w:val="center"/>
          </w:tcPr>
          <w:p w14:paraId="10084B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网络安全、电子政务、智慧城市、数据中心、智慧物流</w:t>
            </w:r>
          </w:p>
        </w:tc>
        <w:tc>
          <w:tcPr>
            <w:tcW w:w="935" w:type="pct"/>
            <w:vAlign w:val="center"/>
          </w:tcPr>
          <w:p w14:paraId="294D01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人工智能产品和应用解决方案提供商</w:t>
            </w:r>
          </w:p>
        </w:tc>
        <w:tc>
          <w:tcPr>
            <w:tcW w:w="826" w:type="pct"/>
            <w:vAlign w:val="center"/>
          </w:tcPr>
          <w:p w14:paraId="0A3D50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p>
        </w:tc>
        <w:tc>
          <w:tcPr>
            <w:tcW w:w="1921" w:type="pct"/>
            <w:vAlign w:val="center"/>
          </w:tcPr>
          <w:p w14:paraId="6D35C4B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公司的客户主要系政府、事业单位、国企，</w:t>
            </w: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年相关单位财政预算较为紧张，政府、事业单位财政预算和国企单位预算拨付流程较慢，该部分客户存在延迟付款的情形；本期经营活动现金流量净额为</w:t>
            </w:r>
            <w:r w:rsidRPr="00DA3766">
              <w:rPr>
                <w:rFonts w:ascii="Times New Roman" w:hAnsi="Times New Roman" w:cs="Times New Roman"/>
                <w:color w:val="000000"/>
                <w:kern w:val="2"/>
                <w:sz w:val="21"/>
                <w:szCs w:val="21"/>
              </w:rPr>
              <w:t>-4,236.28</w:t>
            </w:r>
            <w:r w:rsidRPr="00DA3766">
              <w:rPr>
                <w:rFonts w:ascii="Times New Roman" w:hAnsi="Times New Roman" w:cs="Times New Roman"/>
                <w:color w:val="000000"/>
                <w:kern w:val="2"/>
                <w:sz w:val="21"/>
                <w:szCs w:val="21"/>
              </w:rPr>
              <w:t>万元，同比下降</w:t>
            </w:r>
            <w:r w:rsidRPr="00DA3766">
              <w:rPr>
                <w:rFonts w:ascii="Times New Roman" w:hAnsi="Times New Roman" w:cs="Times New Roman"/>
                <w:color w:val="000000"/>
                <w:kern w:val="2"/>
                <w:sz w:val="21"/>
                <w:szCs w:val="21"/>
              </w:rPr>
              <w:t>235.88%</w:t>
            </w:r>
            <w:r w:rsidRPr="00DA3766">
              <w:rPr>
                <w:rFonts w:ascii="Times New Roman" w:hAnsi="Times New Roman" w:cs="Times New Roman"/>
                <w:color w:val="000000"/>
                <w:kern w:val="2"/>
                <w:sz w:val="21"/>
                <w:szCs w:val="21"/>
              </w:rPr>
              <w:t>，主要原因是客户主要为政府单位和国企，</w:t>
            </w: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年相关单位财政预算紧张，预算拨付流程变慢，导致客户延迟付款。</w:t>
            </w:r>
          </w:p>
        </w:tc>
      </w:tr>
      <w:tr w:rsidR="003F2129" w:rsidRPr="00DA3766" w14:paraId="59A1F966" w14:textId="77777777" w:rsidTr="00635015">
        <w:trPr>
          <w:trHeight w:val="397"/>
          <w:jc w:val="center"/>
        </w:trPr>
        <w:tc>
          <w:tcPr>
            <w:tcW w:w="637" w:type="pct"/>
            <w:vAlign w:val="center"/>
          </w:tcPr>
          <w:p w14:paraId="7AB97B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天亿马</w:t>
            </w:r>
          </w:p>
        </w:tc>
        <w:tc>
          <w:tcPr>
            <w:tcW w:w="681" w:type="pct"/>
            <w:vAlign w:val="center"/>
          </w:tcPr>
          <w:p w14:paraId="38B89E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系统集成、</w:t>
            </w:r>
            <w:r w:rsidRPr="00DA3766">
              <w:rPr>
                <w:rFonts w:ascii="Times New Roman" w:hAnsi="Times New Roman" w:cs="Times New Roman"/>
                <w:color w:val="000000"/>
                <w:kern w:val="2"/>
                <w:sz w:val="21"/>
                <w:szCs w:val="21"/>
              </w:rPr>
              <w:t>IT</w:t>
            </w:r>
            <w:r w:rsidRPr="00DA3766">
              <w:rPr>
                <w:rFonts w:ascii="Times New Roman" w:hAnsi="Times New Roman" w:cs="Times New Roman"/>
                <w:color w:val="000000"/>
                <w:kern w:val="2"/>
                <w:sz w:val="21"/>
                <w:szCs w:val="21"/>
              </w:rPr>
              <w:t>运维、电子政务、数据中心</w:t>
            </w:r>
          </w:p>
        </w:tc>
        <w:tc>
          <w:tcPr>
            <w:tcW w:w="935" w:type="pct"/>
            <w:vAlign w:val="center"/>
          </w:tcPr>
          <w:p w14:paraId="1DA89D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智慧政务、智慧教育、智慧企业、智慧医疗等信息系统集成服务，软件开发与运维等</w:t>
            </w:r>
          </w:p>
        </w:tc>
        <w:tc>
          <w:tcPr>
            <w:tcW w:w="826" w:type="pct"/>
            <w:vAlign w:val="center"/>
          </w:tcPr>
          <w:p w14:paraId="68B152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p>
        </w:tc>
        <w:tc>
          <w:tcPr>
            <w:tcW w:w="1921" w:type="pct"/>
            <w:vAlign w:val="center"/>
          </w:tcPr>
          <w:p w14:paraId="75ABC49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年受客户资金预算不足影响，部分项目无法按既定计划完工验收，影响报告期的收入确认。</w:t>
            </w:r>
          </w:p>
        </w:tc>
      </w:tr>
    </w:tbl>
    <w:p w14:paraId="35E99366"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综上，经查阅可比公司公开信息披露情况，地方客户财政资金预算不足符合行业情况、区域情况。</w:t>
      </w:r>
    </w:p>
    <w:p w14:paraId="5CC8859F" w14:textId="77777777" w:rsidR="003F2129" w:rsidRPr="00DA3766" w:rsidRDefault="003F2129" w:rsidP="003F2129">
      <w:pPr>
        <w:keepNext/>
        <w:keepLines/>
        <w:widowControl w:val="0"/>
        <w:spacing w:before="120" w:after="120"/>
        <w:ind w:firstLineChars="300" w:firstLine="723"/>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（三）结合上述情况、逾期应收账款金额及占比等，说明应收账款是否存在</w:t>
      </w:r>
      <w:bookmarkStart w:id="287" w:name="_Hlk220175358"/>
      <w:r w:rsidRPr="00DA3766">
        <w:rPr>
          <w:rFonts w:ascii="Times New Roman" w:hAnsi="Times New Roman" w:cs="Times New Roman"/>
          <w:b/>
          <w:bCs/>
          <w:kern w:val="2"/>
          <w:szCs w:val="28"/>
        </w:rPr>
        <w:t>较大的回收风险</w:t>
      </w:r>
      <w:bookmarkEnd w:id="287"/>
      <w:r w:rsidRPr="00DA3766">
        <w:rPr>
          <w:rFonts w:ascii="Times New Roman" w:hAnsi="Times New Roman" w:cs="Times New Roman"/>
          <w:b/>
          <w:bCs/>
          <w:kern w:val="2"/>
          <w:szCs w:val="28"/>
        </w:rPr>
        <w:t>，坏账准备计提是否充分。</w:t>
      </w:r>
    </w:p>
    <w:p w14:paraId="13BB0F3D"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bookmarkStart w:id="288" w:name="_Hlk220175291"/>
      <w:r w:rsidRPr="00DA3766">
        <w:rPr>
          <w:rFonts w:ascii="Times New Roman" w:hAnsi="Times New Roman" w:cs="Times New Roman"/>
          <w:kern w:val="2"/>
          <w14:ligatures w14:val="standardContextual"/>
        </w:rPr>
        <w:t>报告期各期，上市公司最终客户主要为政府部门、事业单位及大中型国有企业，均具有良好资信和支付保障能力，款项支付主要受到客户预算款项拨款进度、经费支付计划、付款审批流程等影响，公司出于谨慎性考虑，已经充分计提坏账准备</w:t>
      </w:r>
      <w:bookmarkEnd w:id="288"/>
      <w:r w:rsidRPr="00DA3766">
        <w:rPr>
          <w:rFonts w:ascii="Times New Roman" w:hAnsi="Times New Roman" w:cs="Times New Roman"/>
          <w:kern w:val="2"/>
          <w14:ligatures w14:val="standardContextual"/>
        </w:rPr>
        <w:t>，具体情况如下：</w:t>
      </w:r>
    </w:p>
    <w:p w14:paraId="0A444EE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对于不含重大融资成分的应收账款和合同资产，上市公司按照相当于整个存续期内的预期信用损失金额计量损失准备。基于其信用风险特征，将其划分为不同组合：</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1520"/>
        <w:gridCol w:w="1306"/>
        <w:gridCol w:w="1412"/>
        <w:gridCol w:w="1426"/>
        <w:gridCol w:w="1518"/>
      </w:tblGrid>
      <w:tr w:rsidR="003F2129" w:rsidRPr="00DA3766" w14:paraId="4828E47E" w14:textId="77777777" w:rsidTr="00DA3766">
        <w:trPr>
          <w:trHeight w:val="397"/>
          <w:tblHeader/>
          <w:jc w:val="center"/>
        </w:trPr>
        <w:tc>
          <w:tcPr>
            <w:tcW w:w="789" w:type="pct"/>
            <w:vMerge w:val="restart"/>
            <w:vAlign w:val="center"/>
          </w:tcPr>
          <w:p w14:paraId="7993F98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类别</w:t>
            </w:r>
          </w:p>
        </w:tc>
        <w:tc>
          <w:tcPr>
            <w:tcW w:w="4211" w:type="pct"/>
            <w:gridSpan w:val="5"/>
            <w:vAlign w:val="center"/>
          </w:tcPr>
          <w:p w14:paraId="3CD8119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期末余额</w:t>
            </w:r>
          </w:p>
        </w:tc>
      </w:tr>
      <w:tr w:rsidR="003F2129" w:rsidRPr="00DA3766" w14:paraId="2F1DED3A" w14:textId="77777777" w:rsidTr="00DA3766">
        <w:trPr>
          <w:trHeight w:val="397"/>
          <w:tblHeader/>
          <w:jc w:val="center"/>
        </w:trPr>
        <w:tc>
          <w:tcPr>
            <w:tcW w:w="789" w:type="pct"/>
            <w:vMerge/>
            <w:vAlign w:val="center"/>
          </w:tcPr>
          <w:p w14:paraId="63D2868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1657" w:type="pct"/>
            <w:gridSpan w:val="2"/>
            <w:vAlign w:val="center"/>
          </w:tcPr>
          <w:p w14:paraId="1E807B5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1663" w:type="pct"/>
            <w:gridSpan w:val="2"/>
            <w:vAlign w:val="center"/>
          </w:tcPr>
          <w:p w14:paraId="42092B6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坏账准备</w:t>
            </w:r>
          </w:p>
        </w:tc>
        <w:tc>
          <w:tcPr>
            <w:tcW w:w="891" w:type="pct"/>
            <w:vAlign w:val="center"/>
          </w:tcPr>
          <w:p w14:paraId="74D1C92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w:t>
            </w:r>
          </w:p>
        </w:tc>
      </w:tr>
      <w:tr w:rsidR="003F2129" w:rsidRPr="00DA3766" w14:paraId="5F323CF6" w14:textId="77777777" w:rsidTr="00DA3766">
        <w:trPr>
          <w:trHeight w:val="397"/>
          <w:tblHeader/>
          <w:jc w:val="center"/>
        </w:trPr>
        <w:tc>
          <w:tcPr>
            <w:tcW w:w="789" w:type="pct"/>
            <w:vMerge/>
            <w:vAlign w:val="center"/>
          </w:tcPr>
          <w:p w14:paraId="2A2295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891" w:type="pct"/>
            <w:vAlign w:val="center"/>
          </w:tcPr>
          <w:p w14:paraId="0BDA8BA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766" w:type="pct"/>
            <w:vAlign w:val="center"/>
          </w:tcPr>
          <w:p w14:paraId="5A2B805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比例（</w:t>
            </w:r>
            <w:r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w:t>
            </w:r>
          </w:p>
        </w:tc>
        <w:tc>
          <w:tcPr>
            <w:tcW w:w="828" w:type="pct"/>
            <w:vAlign w:val="center"/>
          </w:tcPr>
          <w:p w14:paraId="51E8910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836" w:type="pct"/>
            <w:vAlign w:val="center"/>
          </w:tcPr>
          <w:p w14:paraId="6210B5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计提比例（</w:t>
            </w:r>
            <w:r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w:t>
            </w:r>
          </w:p>
        </w:tc>
        <w:tc>
          <w:tcPr>
            <w:tcW w:w="891" w:type="pct"/>
            <w:vAlign w:val="center"/>
          </w:tcPr>
          <w:p w14:paraId="3611AD4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价值</w:t>
            </w:r>
          </w:p>
        </w:tc>
      </w:tr>
      <w:tr w:rsidR="003F2129" w:rsidRPr="00DA3766" w14:paraId="7E8B54B7" w14:textId="77777777" w:rsidTr="00DA3766">
        <w:trPr>
          <w:trHeight w:val="397"/>
          <w:jc w:val="center"/>
        </w:trPr>
        <w:tc>
          <w:tcPr>
            <w:tcW w:w="789" w:type="pct"/>
            <w:vAlign w:val="center"/>
          </w:tcPr>
          <w:p w14:paraId="255988F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按组合计提坏账准备</w:t>
            </w:r>
          </w:p>
        </w:tc>
        <w:tc>
          <w:tcPr>
            <w:tcW w:w="891" w:type="pct"/>
            <w:vAlign w:val="center"/>
          </w:tcPr>
          <w:p w14:paraId="76E8AFF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35,820.76</w:t>
            </w:r>
          </w:p>
        </w:tc>
        <w:tc>
          <w:tcPr>
            <w:tcW w:w="766" w:type="pct"/>
            <w:vAlign w:val="center"/>
          </w:tcPr>
          <w:p w14:paraId="57B38C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28" w:type="pct"/>
            <w:vAlign w:val="center"/>
          </w:tcPr>
          <w:p w14:paraId="1E1153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8,333.77</w:t>
            </w:r>
          </w:p>
        </w:tc>
        <w:tc>
          <w:tcPr>
            <w:tcW w:w="836" w:type="pct"/>
            <w:vAlign w:val="center"/>
          </w:tcPr>
          <w:p w14:paraId="19B9472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23.27</w:t>
            </w:r>
          </w:p>
        </w:tc>
        <w:tc>
          <w:tcPr>
            <w:tcW w:w="891" w:type="pct"/>
            <w:vAlign w:val="center"/>
          </w:tcPr>
          <w:p w14:paraId="73EA4C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27,486.99</w:t>
            </w:r>
          </w:p>
        </w:tc>
      </w:tr>
      <w:tr w:rsidR="003F2129" w:rsidRPr="00DA3766" w14:paraId="70B016E1" w14:textId="77777777" w:rsidTr="00DA3766">
        <w:trPr>
          <w:trHeight w:val="397"/>
          <w:jc w:val="center"/>
        </w:trPr>
        <w:tc>
          <w:tcPr>
            <w:tcW w:w="789" w:type="pct"/>
            <w:vAlign w:val="center"/>
          </w:tcPr>
          <w:p w14:paraId="423DFD9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其中：组合</w:t>
            </w:r>
            <w:r w:rsidRPr="00DA3766">
              <w:rPr>
                <w:rFonts w:ascii="Times New Roman" w:hAnsi="Times New Roman" w:cs="Times New Roman"/>
                <w:color w:val="000000"/>
                <w:kern w:val="2"/>
                <w:sz w:val="21"/>
                <w14:ligatures w14:val="standardContextual"/>
              </w:rPr>
              <w:t>1</w:t>
            </w:r>
          </w:p>
        </w:tc>
        <w:tc>
          <w:tcPr>
            <w:tcW w:w="891" w:type="pct"/>
            <w:vAlign w:val="center"/>
          </w:tcPr>
          <w:p w14:paraId="5F35A5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9,117.61</w:t>
            </w:r>
          </w:p>
        </w:tc>
        <w:tc>
          <w:tcPr>
            <w:tcW w:w="766" w:type="pct"/>
            <w:vAlign w:val="center"/>
          </w:tcPr>
          <w:p w14:paraId="280ABE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25.45</w:t>
            </w:r>
          </w:p>
        </w:tc>
        <w:tc>
          <w:tcPr>
            <w:tcW w:w="828" w:type="pct"/>
            <w:vAlign w:val="center"/>
          </w:tcPr>
          <w:p w14:paraId="3F34F3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2,313.00</w:t>
            </w:r>
          </w:p>
        </w:tc>
        <w:tc>
          <w:tcPr>
            <w:tcW w:w="836" w:type="pct"/>
            <w:vAlign w:val="center"/>
          </w:tcPr>
          <w:p w14:paraId="6D793A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25.37</w:t>
            </w:r>
          </w:p>
        </w:tc>
        <w:tc>
          <w:tcPr>
            <w:tcW w:w="891" w:type="pct"/>
            <w:vAlign w:val="center"/>
          </w:tcPr>
          <w:p w14:paraId="5EBC16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6,804.62</w:t>
            </w:r>
          </w:p>
        </w:tc>
      </w:tr>
      <w:tr w:rsidR="003F2129" w:rsidRPr="00DA3766" w14:paraId="1A286E2E" w14:textId="77777777" w:rsidTr="00DA3766">
        <w:trPr>
          <w:trHeight w:val="397"/>
          <w:jc w:val="center"/>
        </w:trPr>
        <w:tc>
          <w:tcPr>
            <w:tcW w:w="789" w:type="pct"/>
            <w:vAlign w:val="center"/>
          </w:tcPr>
          <w:p w14:paraId="2E6ABB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组合</w:t>
            </w:r>
            <w:r w:rsidRPr="00DA3766">
              <w:rPr>
                <w:rFonts w:ascii="Times New Roman" w:hAnsi="Times New Roman" w:cs="Times New Roman"/>
                <w:color w:val="000000"/>
                <w:kern w:val="2"/>
                <w:sz w:val="21"/>
                <w14:ligatures w14:val="standardContextual"/>
              </w:rPr>
              <w:t>2</w:t>
            </w:r>
          </w:p>
        </w:tc>
        <w:tc>
          <w:tcPr>
            <w:tcW w:w="891" w:type="pct"/>
            <w:vAlign w:val="center"/>
          </w:tcPr>
          <w:p w14:paraId="4FAA46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26,703.15</w:t>
            </w:r>
          </w:p>
        </w:tc>
        <w:tc>
          <w:tcPr>
            <w:tcW w:w="766" w:type="pct"/>
            <w:vAlign w:val="center"/>
          </w:tcPr>
          <w:p w14:paraId="526619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74.55</w:t>
            </w:r>
          </w:p>
        </w:tc>
        <w:tc>
          <w:tcPr>
            <w:tcW w:w="828" w:type="pct"/>
            <w:vAlign w:val="center"/>
          </w:tcPr>
          <w:p w14:paraId="31F2644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6,020.78</w:t>
            </w:r>
          </w:p>
        </w:tc>
        <w:tc>
          <w:tcPr>
            <w:tcW w:w="836" w:type="pct"/>
            <w:vAlign w:val="center"/>
          </w:tcPr>
          <w:p w14:paraId="3AFE88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22.55</w:t>
            </w:r>
          </w:p>
        </w:tc>
        <w:tc>
          <w:tcPr>
            <w:tcW w:w="891" w:type="pct"/>
            <w:vAlign w:val="center"/>
          </w:tcPr>
          <w:p w14:paraId="51C8A9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20,682.37</w:t>
            </w:r>
          </w:p>
        </w:tc>
      </w:tr>
      <w:tr w:rsidR="003F2129" w:rsidRPr="00DA3766" w14:paraId="68CC9541" w14:textId="77777777" w:rsidTr="00DA3766">
        <w:trPr>
          <w:trHeight w:val="397"/>
          <w:jc w:val="center"/>
        </w:trPr>
        <w:tc>
          <w:tcPr>
            <w:tcW w:w="789" w:type="pct"/>
            <w:vAlign w:val="center"/>
          </w:tcPr>
          <w:p w14:paraId="1C17A2B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891" w:type="pct"/>
            <w:vAlign w:val="center"/>
          </w:tcPr>
          <w:p w14:paraId="51CA35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35,820.76</w:t>
            </w:r>
          </w:p>
        </w:tc>
        <w:tc>
          <w:tcPr>
            <w:tcW w:w="766" w:type="pct"/>
            <w:vAlign w:val="center"/>
          </w:tcPr>
          <w:p w14:paraId="5579F6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w:t>
            </w:r>
          </w:p>
        </w:tc>
        <w:tc>
          <w:tcPr>
            <w:tcW w:w="828" w:type="pct"/>
            <w:vAlign w:val="center"/>
          </w:tcPr>
          <w:p w14:paraId="42F65A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8,333.77</w:t>
            </w:r>
          </w:p>
        </w:tc>
        <w:tc>
          <w:tcPr>
            <w:tcW w:w="836" w:type="pct"/>
            <w:vAlign w:val="center"/>
          </w:tcPr>
          <w:p w14:paraId="7FEB36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23.27</w:t>
            </w:r>
          </w:p>
        </w:tc>
        <w:tc>
          <w:tcPr>
            <w:tcW w:w="891" w:type="pct"/>
            <w:vAlign w:val="center"/>
          </w:tcPr>
          <w:p w14:paraId="7DA973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27,486.99</w:t>
            </w:r>
          </w:p>
        </w:tc>
      </w:tr>
    </w:tbl>
    <w:p w14:paraId="0B86BC5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前述组合的确定依据如下：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3"/>
        <w:gridCol w:w="5985"/>
      </w:tblGrid>
      <w:tr w:rsidR="003F2129" w:rsidRPr="00DA3766" w14:paraId="7305C068" w14:textId="77777777" w:rsidTr="00DA3766">
        <w:trPr>
          <w:trHeight w:val="397"/>
          <w:tblHeader/>
          <w:jc w:val="center"/>
        </w:trPr>
        <w:tc>
          <w:tcPr>
            <w:tcW w:w="1491" w:type="pct"/>
            <w:vAlign w:val="center"/>
          </w:tcPr>
          <w:p w14:paraId="4AF4851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p>
        </w:tc>
        <w:tc>
          <w:tcPr>
            <w:tcW w:w="3509" w:type="pct"/>
            <w:vAlign w:val="center"/>
          </w:tcPr>
          <w:p w14:paraId="21A2864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确定组合的依据</w:t>
            </w:r>
          </w:p>
        </w:tc>
      </w:tr>
      <w:tr w:rsidR="003F2129" w:rsidRPr="00DA3766" w14:paraId="0657337B" w14:textId="77777777" w:rsidTr="00DA3766">
        <w:trPr>
          <w:trHeight w:val="397"/>
          <w:jc w:val="center"/>
        </w:trPr>
        <w:tc>
          <w:tcPr>
            <w:tcW w:w="1491" w:type="pct"/>
            <w:vAlign w:val="center"/>
          </w:tcPr>
          <w:p w14:paraId="3EB3509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应收账款组合</w:t>
            </w:r>
            <w:r w:rsidRPr="00DA3766">
              <w:rPr>
                <w:rFonts w:ascii="Times New Roman" w:hAnsi="Times New Roman" w:cs="Times New Roman"/>
                <w:color w:val="000000"/>
                <w:kern w:val="2"/>
                <w:sz w:val="21"/>
                <w:lang w:bidi="ar"/>
                <w14:ligatures w14:val="standardContextual"/>
              </w:rPr>
              <w:t>1</w:t>
            </w:r>
          </w:p>
        </w:tc>
        <w:tc>
          <w:tcPr>
            <w:tcW w:w="3509" w:type="pct"/>
            <w:vAlign w:val="center"/>
          </w:tcPr>
          <w:p w14:paraId="00277F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本组合为政府部门、教育医疗单位的应收款项</w:t>
            </w:r>
          </w:p>
        </w:tc>
      </w:tr>
      <w:tr w:rsidR="003F2129" w:rsidRPr="00DA3766" w14:paraId="35D502A2" w14:textId="77777777" w:rsidTr="00DA3766">
        <w:trPr>
          <w:trHeight w:val="397"/>
          <w:jc w:val="center"/>
        </w:trPr>
        <w:tc>
          <w:tcPr>
            <w:tcW w:w="1491" w:type="pct"/>
            <w:vAlign w:val="center"/>
          </w:tcPr>
          <w:p w14:paraId="5A5EA4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应收账款组合</w:t>
            </w:r>
            <w:r w:rsidRPr="00DA3766">
              <w:rPr>
                <w:rFonts w:ascii="Times New Roman" w:hAnsi="Times New Roman" w:cs="Times New Roman"/>
                <w:color w:val="000000"/>
                <w:kern w:val="2"/>
                <w:sz w:val="21"/>
                <w:lang w:bidi="ar"/>
                <w14:ligatures w14:val="standardContextual"/>
              </w:rPr>
              <w:t>2</w:t>
            </w:r>
          </w:p>
        </w:tc>
        <w:tc>
          <w:tcPr>
            <w:tcW w:w="3509" w:type="pct"/>
            <w:vAlign w:val="center"/>
          </w:tcPr>
          <w:p w14:paraId="7BE5B1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本组合为企业及其他单位的应收款项</w:t>
            </w:r>
          </w:p>
        </w:tc>
      </w:tr>
    </w:tbl>
    <w:p w14:paraId="47D2DEE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对于划分为组合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的应收账款，主要为中国移动等三大运营商及大型国央企，最终客户为地方政府部门。上市公司参考历史信用损失经验，结合当前状况以及对未来经济状况的预测，编制应收账款账龄与整个存续期预期信用损失率对照表，计算预期信用损失：</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96"/>
        <w:gridCol w:w="2666"/>
        <w:gridCol w:w="2666"/>
      </w:tblGrid>
      <w:tr w:rsidR="003F2129" w:rsidRPr="00DA3766" w14:paraId="53480CBC" w14:textId="77777777" w:rsidTr="00DA3766">
        <w:trPr>
          <w:trHeight w:val="397"/>
          <w:tblHeader/>
          <w:jc w:val="center"/>
        </w:trPr>
        <w:tc>
          <w:tcPr>
            <w:tcW w:w="1874" w:type="pct"/>
            <w:vAlign w:val="center"/>
          </w:tcPr>
          <w:p w14:paraId="7FBD82B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账龄</w:t>
            </w:r>
          </w:p>
        </w:tc>
        <w:tc>
          <w:tcPr>
            <w:tcW w:w="1563" w:type="pct"/>
            <w:vAlign w:val="center"/>
          </w:tcPr>
          <w:p w14:paraId="244D18B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r w:rsidRPr="00DA3766">
              <w:rPr>
                <w:rFonts w:ascii="Times New Roman" w:hAnsi="Times New Roman" w:cs="Times New Roman"/>
                <w:b/>
                <w:color w:val="000000"/>
                <w:kern w:val="2"/>
                <w:sz w:val="21"/>
                <w:lang w:bidi="ar"/>
                <w14:ligatures w14:val="standardContextual"/>
              </w:rPr>
              <w:t>1</w:t>
            </w:r>
            <w:r w:rsidRPr="00DA3766">
              <w:rPr>
                <w:rFonts w:ascii="Times New Roman" w:hAnsi="Times New Roman" w:cs="Times New Roman"/>
                <w:b/>
                <w:color w:val="000000"/>
                <w:kern w:val="2"/>
                <w:sz w:val="21"/>
                <w:lang w:bidi="ar"/>
                <w14:ligatures w14:val="standardContextual"/>
              </w:rPr>
              <w:t>预期信用损失率（</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w:t>
            </w:r>
          </w:p>
        </w:tc>
        <w:tc>
          <w:tcPr>
            <w:tcW w:w="1563" w:type="pct"/>
            <w:vAlign w:val="center"/>
          </w:tcPr>
          <w:p w14:paraId="3CBA547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r w:rsidRPr="00DA3766">
              <w:rPr>
                <w:rFonts w:ascii="Times New Roman" w:hAnsi="Times New Roman" w:cs="Times New Roman"/>
                <w:b/>
                <w:color w:val="000000"/>
                <w:kern w:val="2"/>
                <w:sz w:val="21"/>
                <w:lang w:bidi="ar"/>
                <w14:ligatures w14:val="standardContextual"/>
              </w:rPr>
              <w:t>2</w:t>
            </w:r>
            <w:r w:rsidRPr="00DA3766">
              <w:rPr>
                <w:rFonts w:ascii="Times New Roman" w:hAnsi="Times New Roman" w:cs="Times New Roman"/>
                <w:b/>
                <w:color w:val="000000"/>
                <w:kern w:val="2"/>
                <w:sz w:val="21"/>
                <w:lang w:bidi="ar"/>
                <w14:ligatures w14:val="standardContextual"/>
              </w:rPr>
              <w:t>预期信用损失率（</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w:t>
            </w:r>
          </w:p>
        </w:tc>
      </w:tr>
      <w:tr w:rsidR="003F2129" w:rsidRPr="00DA3766" w14:paraId="156D2D54" w14:textId="77777777" w:rsidTr="00DA3766">
        <w:trPr>
          <w:trHeight w:val="397"/>
          <w:jc w:val="center"/>
        </w:trPr>
        <w:tc>
          <w:tcPr>
            <w:tcW w:w="1874" w:type="pct"/>
            <w:vAlign w:val="center"/>
          </w:tcPr>
          <w:p w14:paraId="0E1D73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年以内（含</w:t>
            </w: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年，下同）</w:t>
            </w:r>
          </w:p>
        </w:tc>
        <w:tc>
          <w:tcPr>
            <w:tcW w:w="1563" w:type="pct"/>
            <w:vAlign w:val="center"/>
          </w:tcPr>
          <w:p w14:paraId="1AE58C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p>
        </w:tc>
        <w:tc>
          <w:tcPr>
            <w:tcW w:w="1563" w:type="pct"/>
            <w:vAlign w:val="center"/>
          </w:tcPr>
          <w:p w14:paraId="734767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p>
        </w:tc>
      </w:tr>
      <w:tr w:rsidR="003F2129" w:rsidRPr="00DA3766" w14:paraId="4656BD70" w14:textId="77777777" w:rsidTr="00DA3766">
        <w:trPr>
          <w:trHeight w:val="397"/>
          <w:jc w:val="center"/>
        </w:trPr>
        <w:tc>
          <w:tcPr>
            <w:tcW w:w="1874" w:type="pct"/>
            <w:vAlign w:val="center"/>
          </w:tcPr>
          <w:p w14:paraId="1870AF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1-2</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361825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w:t>
            </w:r>
          </w:p>
        </w:tc>
        <w:tc>
          <w:tcPr>
            <w:tcW w:w="1563" w:type="pct"/>
            <w:vAlign w:val="center"/>
          </w:tcPr>
          <w:p w14:paraId="576B31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w:t>
            </w:r>
          </w:p>
        </w:tc>
      </w:tr>
      <w:tr w:rsidR="003F2129" w:rsidRPr="00DA3766" w14:paraId="39021D04" w14:textId="77777777" w:rsidTr="00DA3766">
        <w:trPr>
          <w:trHeight w:val="397"/>
          <w:jc w:val="center"/>
        </w:trPr>
        <w:tc>
          <w:tcPr>
            <w:tcW w:w="1874" w:type="pct"/>
            <w:vAlign w:val="center"/>
          </w:tcPr>
          <w:p w14:paraId="08AE45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2-3</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20AE56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30</w:t>
            </w:r>
          </w:p>
        </w:tc>
        <w:tc>
          <w:tcPr>
            <w:tcW w:w="1563" w:type="pct"/>
            <w:vAlign w:val="center"/>
          </w:tcPr>
          <w:p w14:paraId="5B286D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30</w:t>
            </w:r>
          </w:p>
        </w:tc>
      </w:tr>
      <w:tr w:rsidR="003F2129" w:rsidRPr="00DA3766" w14:paraId="4724FEA2" w14:textId="77777777" w:rsidTr="00DA3766">
        <w:trPr>
          <w:trHeight w:val="397"/>
          <w:jc w:val="center"/>
        </w:trPr>
        <w:tc>
          <w:tcPr>
            <w:tcW w:w="1874" w:type="pct"/>
            <w:vAlign w:val="center"/>
          </w:tcPr>
          <w:p w14:paraId="211FFB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3-4</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62FC1C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50</w:t>
            </w:r>
          </w:p>
        </w:tc>
        <w:tc>
          <w:tcPr>
            <w:tcW w:w="1563" w:type="pct"/>
            <w:vAlign w:val="center"/>
          </w:tcPr>
          <w:p w14:paraId="7CDD0C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50</w:t>
            </w:r>
          </w:p>
        </w:tc>
      </w:tr>
      <w:tr w:rsidR="003F2129" w:rsidRPr="00DA3766" w14:paraId="1434A93A" w14:textId="77777777" w:rsidTr="00DA3766">
        <w:trPr>
          <w:trHeight w:val="397"/>
          <w:jc w:val="center"/>
        </w:trPr>
        <w:tc>
          <w:tcPr>
            <w:tcW w:w="1874" w:type="pct"/>
            <w:vAlign w:val="center"/>
          </w:tcPr>
          <w:p w14:paraId="71495C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4-5</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266E77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80</w:t>
            </w:r>
          </w:p>
        </w:tc>
        <w:tc>
          <w:tcPr>
            <w:tcW w:w="1563" w:type="pct"/>
            <w:vAlign w:val="center"/>
          </w:tcPr>
          <w:p w14:paraId="76ED99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r>
      <w:tr w:rsidR="003F2129" w:rsidRPr="00DA3766" w14:paraId="343781AD" w14:textId="77777777" w:rsidTr="00DA3766">
        <w:trPr>
          <w:trHeight w:val="397"/>
          <w:jc w:val="center"/>
        </w:trPr>
        <w:tc>
          <w:tcPr>
            <w:tcW w:w="1874" w:type="pct"/>
            <w:vAlign w:val="center"/>
          </w:tcPr>
          <w:p w14:paraId="434CC5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r w:rsidRPr="00DA3766">
              <w:rPr>
                <w:rFonts w:ascii="Times New Roman" w:hAnsi="Times New Roman" w:cs="Times New Roman"/>
                <w:color w:val="000000"/>
                <w:kern w:val="2"/>
                <w:sz w:val="21"/>
                <w:lang w:bidi="ar"/>
                <w14:ligatures w14:val="standardContextual"/>
              </w:rPr>
              <w:t>年以上</w:t>
            </w:r>
          </w:p>
        </w:tc>
        <w:tc>
          <w:tcPr>
            <w:tcW w:w="1563" w:type="pct"/>
            <w:vAlign w:val="center"/>
          </w:tcPr>
          <w:p w14:paraId="7352D7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c>
          <w:tcPr>
            <w:tcW w:w="1563" w:type="pct"/>
            <w:vAlign w:val="center"/>
          </w:tcPr>
          <w:p w14:paraId="4C2B4D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r>
    </w:tbl>
    <w:p w14:paraId="5076AC2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如上所示，应收账款组合</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整体预期信用损失率不存在重大差异；鉴于组合</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与组合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信用风险特征存在一定差异，公司将组合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中</w:t>
      </w:r>
      <w:r w:rsidRPr="00DA3766">
        <w:rPr>
          <w:rFonts w:ascii="Times New Roman" w:hAnsi="Times New Roman" w:cs="Times New Roman"/>
          <w:kern w:val="2"/>
          <w14:ligatures w14:val="standardContextual"/>
        </w:rPr>
        <w:t>4-5</w:t>
      </w:r>
      <w:r w:rsidRPr="00DA3766">
        <w:rPr>
          <w:rFonts w:ascii="Times New Roman" w:hAnsi="Times New Roman" w:cs="Times New Roman"/>
          <w:kern w:val="2"/>
          <w14:ligatures w14:val="standardContextual"/>
        </w:rPr>
        <w:t>年账龄的预期损失率调整至</w:t>
      </w:r>
      <w:r w:rsidRPr="00DA3766">
        <w:rPr>
          <w:rFonts w:ascii="Times New Roman" w:hAnsi="Times New Roman" w:cs="Times New Roman"/>
          <w:kern w:val="2"/>
          <w14:ligatures w14:val="standardContextual"/>
        </w:rPr>
        <w:t>100%</w:t>
      </w:r>
      <w:r w:rsidRPr="00DA3766">
        <w:rPr>
          <w:rFonts w:ascii="Times New Roman" w:hAnsi="Times New Roman" w:cs="Times New Roman"/>
          <w:kern w:val="2"/>
          <w14:ligatures w14:val="standardContextual"/>
        </w:rPr>
        <w:t>。</w:t>
      </w:r>
    </w:p>
    <w:p w14:paraId="73B739F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上市公司与行业可比公司信用损失率情况如下：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1252"/>
        <w:gridCol w:w="1126"/>
        <w:gridCol w:w="1126"/>
        <w:gridCol w:w="1126"/>
        <w:gridCol w:w="1126"/>
        <w:gridCol w:w="1252"/>
      </w:tblGrid>
      <w:tr w:rsidR="003F2129" w:rsidRPr="00DA3766" w14:paraId="2FFB83A5" w14:textId="77777777" w:rsidTr="00DA3766">
        <w:trPr>
          <w:trHeight w:val="397"/>
          <w:tblHeader/>
          <w:jc w:val="center"/>
        </w:trPr>
        <w:tc>
          <w:tcPr>
            <w:tcW w:w="892" w:type="pct"/>
            <w:vAlign w:val="center"/>
            <w:hideMark/>
          </w:tcPr>
          <w:p w14:paraId="5738BFB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公司名称名称</w:t>
            </w:r>
          </w:p>
        </w:tc>
        <w:tc>
          <w:tcPr>
            <w:tcW w:w="734" w:type="pct"/>
            <w:vAlign w:val="center"/>
            <w:hideMark/>
          </w:tcPr>
          <w:p w14:paraId="371F551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w:t>
            </w:r>
            <w:r w:rsidRPr="00DA3766">
              <w:rPr>
                <w:rFonts w:ascii="Times New Roman" w:hAnsi="Times New Roman" w:cs="Times New Roman"/>
                <w:b/>
                <w:color w:val="000000"/>
                <w:kern w:val="2"/>
                <w:sz w:val="21"/>
                <w14:ligatures w14:val="standardContextual"/>
              </w:rPr>
              <w:t>年以内</w:t>
            </w:r>
          </w:p>
        </w:tc>
        <w:tc>
          <w:tcPr>
            <w:tcW w:w="660" w:type="pct"/>
            <w:vAlign w:val="center"/>
            <w:hideMark/>
          </w:tcPr>
          <w:p w14:paraId="481091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3EB71B2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2-3</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1199764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3-4</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475BEDE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4-5</w:t>
            </w:r>
            <w:r w:rsidRPr="00DA3766">
              <w:rPr>
                <w:rFonts w:ascii="Times New Roman" w:hAnsi="Times New Roman" w:cs="Times New Roman"/>
                <w:b/>
                <w:color w:val="000000"/>
                <w:kern w:val="2"/>
                <w:sz w:val="21"/>
                <w14:ligatures w14:val="standardContextual"/>
              </w:rPr>
              <w:t>年</w:t>
            </w:r>
          </w:p>
        </w:tc>
        <w:tc>
          <w:tcPr>
            <w:tcW w:w="734" w:type="pct"/>
            <w:vAlign w:val="center"/>
            <w:hideMark/>
          </w:tcPr>
          <w:p w14:paraId="2CC22B1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5</w:t>
            </w:r>
            <w:r w:rsidRPr="00DA3766">
              <w:rPr>
                <w:rFonts w:ascii="Times New Roman" w:hAnsi="Times New Roman" w:cs="Times New Roman"/>
                <w:b/>
                <w:color w:val="000000"/>
                <w:kern w:val="2"/>
                <w:sz w:val="21"/>
                <w14:ligatures w14:val="standardContextual"/>
              </w:rPr>
              <w:t>年以上</w:t>
            </w:r>
          </w:p>
        </w:tc>
      </w:tr>
      <w:tr w:rsidR="003F2129" w:rsidRPr="00DA3766" w14:paraId="7A19B0DB" w14:textId="77777777" w:rsidTr="00DA3766">
        <w:trPr>
          <w:trHeight w:val="397"/>
          <w:jc w:val="center"/>
        </w:trPr>
        <w:tc>
          <w:tcPr>
            <w:tcW w:w="892" w:type="pct"/>
            <w:vAlign w:val="center"/>
            <w:hideMark/>
          </w:tcPr>
          <w:p w14:paraId="5EF621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734" w:type="pct"/>
            <w:vAlign w:val="center"/>
            <w:hideMark/>
          </w:tcPr>
          <w:p w14:paraId="23727C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7A14EB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0F95C8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003C39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217D2A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70.00%</w:t>
            </w:r>
          </w:p>
        </w:tc>
        <w:tc>
          <w:tcPr>
            <w:tcW w:w="734" w:type="pct"/>
            <w:vAlign w:val="center"/>
            <w:hideMark/>
          </w:tcPr>
          <w:p w14:paraId="59D5CC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63D6F5FC" w14:textId="77777777" w:rsidTr="00DA3766">
        <w:trPr>
          <w:trHeight w:val="397"/>
          <w:jc w:val="center"/>
        </w:trPr>
        <w:tc>
          <w:tcPr>
            <w:tcW w:w="892" w:type="pct"/>
            <w:vAlign w:val="center"/>
            <w:hideMark/>
          </w:tcPr>
          <w:p w14:paraId="46A2C1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734" w:type="pct"/>
            <w:vAlign w:val="center"/>
            <w:hideMark/>
          </w:tcPr>
          <w:p w14:paraId="6CEA67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779EB2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1E2225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1F1495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73B5BB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1DF890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150F4A42" w14:textId="77777777" w:rsidTr="00DA3766">
        <w:trPr>
          <w:trHeight w:val="397"/>
          <w:jc w:val="center"/>
        </w:trPr>
        <w:tc>
          <w:tcPr>
            <w:tcW w:w="892" w:type="pct"/>
            <w:vAlign w:val="center"/>
            <w:hideMark/>
          </w:tcPr>
          <w:p w14:paraId="48A7C0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734" w:type="pct"/>
            <w:vAlign w:val="center"/>
            <w:hideMark/>
          </w:tcPr>
          <w:p w14:paraId="6695B2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w:t>
            </w:r>
          </w:p>
        </w:tc>
        <w:tc>
          <w:tcPr>
            <w:tcW w:w="660" w:type="pct"/>
            <w:vAlign w:val="center"/>
            <w:hideMark/>
          </w:tcPr>
          <w:p w14:paraId="17EF07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4804D8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20.00%</w:t>
            </w:r>
          </w:p>
        </w:tc>
        <w:tc>
          <w:tcPr>
            <w:tcW w:w="660" w:type="pct"/>
            <w:vAlign w:val="center"/>
            <w:hideMark/>
          </w:tcPr>
          <w:p w14:paraId="7CE6EA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41B1BA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5A5BF6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05E3CEB4" w14:textId="77777777" w:rsidTr="00DA3766">
        <w:trPr>
          <w:trHeight w:val="397"/>
          <w:jc w:val="center"/>
        </w:trPr>
        <w:tc>
          <w:tcPr>
            <w:tcW w:w="892" w:type="pct"/>
            <w:vAlign w:val="center"/>
            <w:hideMark/>
          </w:tcPr>
          <w:p w14:paraId="06A08C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734" w:type="pct"/>
            <w:vAlign w:val="center"/>
            <w:hideMark/>
          </w:tcPr>
          <w:p w14:paraId="582EC87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15CDF5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19548D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5BC774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0DD2EC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6FB4CB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74303311" w14:textId="77777777" w:rsidTr="00DA3766">
        <w:trPr>
          <w:trHeight w:val="397"/>
          <w:jc w:val="center"/>
        </w:trPr>
        <w:tc>
          <w:tcPr>
            <w:tcW w:w="892" w:type="pct"/>
            <w:vAlign w:val="center"/>
            <w:hideMark/>
          </w:tcPr>
          <w:p w14:paraId="0F7D6F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734" w:type="pct"/>
            <w:vAlign w:val="center"/>
            <w:hideMark/>
          </w:tcPr>
          <w:p w14:paraId="5A3DF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7.27%</w:t>
            </w:r>
          </w:p>
        </w:tc>
        <w:tc>
          <w:tcPr>
            <w:tcW w:w="660" w:type="pct"/>
            <w:vAlign w:val="center"/>
            <w:hideMark/>
          </w:tcPr>
          <w:p w14:paraId="154FF6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11.48%</w:t>
            </w:r>
          </w:p>
        </w:tc>
        <w:tc>
          <w:tcPr>
            <w:tcW w:w="660" w:type="pct"/>
            <w:vAlign w:val="center"/>
            <w:hideMark/>
          </w:tcPr>
          <w:p w14:paraId="37B946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14.53%</w:t>
            </w:r>
          </w:p>
        </w:tc>
        <w:tc>
          <w:tcPr>
            <w:tcW w:w="660" w:type="pct"/>
            <w:vAlign w:val="center"/>
            <w:hideMark/>
          </w:tcPr>
          <w:p w14:paraId="59DF76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6CE348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6652090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567331F5" w14:textId="77777777" w:rsidTr="00DA3766">
        <w:trPr>
          <w:trHeight w:val="397"/>
          <w:jc w:val="center"/>
        </w:trPr>
        <w:tc>
          <w:tcPr>
            <w:tcW w:w="892" w:type="pct"/>
            <w:vAlign w:val="center"/>
            <w:hideMark/>
          </w:tcPr>
          <w:p w14:paraId="78240C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734" w:type="pct"/>
            <w:vAlign w:val="center"/>
            <w:hideMark/>
          </w:tcPr>
          <w:p w14:paraId="1A0E2D2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6.63%</w:t>
            </w:r>
          </w:p>
        </w:tc>
        <w:tc>
          <w:tcPr>
            <w:tcW w:w="660" w:type="pct"/>
            <w:vAlign w:val="center"/>
            <w:hideMark/>
          </w:tcPr>
          <w:p w14:paraId="2CE764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14.61%</w:t>
            </w:r>
          </w:p>
        </w:tc>
        <w:tc>
          <w:tcPr>
            <w:tcW w:w="660" w:type="pct"/>
            <w:vAlign w:val="center"/>
            <w:hideMark/>
          </w:tcPr>
          <w:p w14:paraId="440C02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23.15%</w:t>
            </w:r>
          </w:p>
        </w:tc>
        <w:tc>
          <w:tcPr>
            <w:tcW w:w="660" w:type="pct"/>
            <w:vAlign w:val="center"/>
            <w:hideMark/>
          </w:tcPr>
          <w:p w14:paraId="1BD160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33.19%</w:t>
            </w:r>
          </w:p>
        </w:tc>
        <w:tc>
          <w:tcPr>
            <w:tcW w:w="660" w:type="pct"/>
            <w:vAlign w:val="center"/>
            <w:hideMark/>
          </w:tcPr>
          <w:p w14:paraId="4A76B5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52.40%</w:t>
            </w:r>
          </w:p>
        </w:tc>
        <w:tc>
          <w:tcPr>
            <w:tcW w:w="734" w:type="pct"/>
            <w:vAlign w:val="center"/>
            <w:hideMark/>
          </w:tcPr>
          <w:p w14:paraId="471046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00D2A81D" w14:textId="77777777" w:rsidTr="00DA3766">
        <w:trPr>
          <w:trHeight w:val="397"/>
          <w:jc w:val="center"/>
        </w:trPr>
        <w:tc>
          <w:tcPr>
            <w:tcW w:w="892" w:type="pct"/>
            <w:vAlign w:val="center"/>
            <w:hideMark/>
          </w:tcPr>
          <w:p w14:paraId="1C5074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734" w:type="pct"/>
            <w:vAlign w:val="center"/>
            <w:hideMark/>
          </w:tcPr>
          <w:p w14:paraId="558592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3.37%</w:t>
            </w:r>
          </w:p>
        </w:tc>
        <w:tc>
          <w:tcPr>
            <w:tcW w:w="660" w:type="pct"/>
            <w:vAlign w:val="center"/>
            <w:hideMark/>
          </w:tcPr>
          <w:p w14:paraId="0055F6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11.59%</w:t>
            </w:r>
          </w:p>
        </w:tc>
        <w:tc>
          <w:tcPr>
            <w:tcW w:w="660" w:type="pct"/>
            <w:vAlign w:val="center"/>
            <w:hideMark/>
          </w:tcPr>
          <w:p w14:paraId="7CED2D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22.64%</w:t>
            </w:r>
          </w:p>
        </w:tc>
        <w:tc>
          <w:tcPr>
            <w:tcW w:w="660" w:type="pct"/>
            <w:vAlign w:val="center"/>
            <w:hideMark/>
          </w:tcPr>
          <w:p w14:paraId="31ED88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40.05%</w:t>
            </w:r>
          </w:p>
        </w:tc>
        <w:tc>
          <w:tcPr>
            <w:tcW w:w="660" w:type="pct"/>
            <w:vAlign w:val="center"/>
            <w:hideMark/>
          </w:tcPr>
          <w:p w14:paraId="008766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53.48%</w:t>
            </w:r>
          </w:p>
        </w:tc>
        <w:tc>
          <w:tcPr>
            <w:tcW w:w="734" w:type="pct"/>
            <w:vAlign w:val="center"/>
            <w:hideMark/>
          </w:tcPr>
          <w:p w14:paraId="657627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569E74E4" w14:textId="77777777" w:rsidTr="00DA3766">
        <w:trPr>
          <w:trHeight w:val="397"/>
          <w:jc w:val="center"/>
        </w:trPr>
        <w:tc>
          <w:tcPr>
            <w:tcW w:w="892" w:type="pct"/>
            <w:vAlign w:val="center"/>
          </w:tcPr>
          <w:p w14:paraId="2C880B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734" w:type="pct"/>
            <w:vAlign w:val="center"/>
          </w:tcPr>
          <w:p w14:paraId="7A3297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tcPr>
          <w:p w14:paraId="01E131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tcPr>
          <w:p w14:paraId="37471D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tcPr>
          <w:p w14:paraId="3E386E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tcPr>
          <w:p w14:paraId="16013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tcPr>
          <w:p w14:paraId="47B06E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bl>
    <w:p w14:paraId="17F7234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上市公司采用的预期信用损失率与同行业可比公司信用损失率基本保持一致，</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年内略低于同行业平均水平。同时，公司信用风险组合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中</w:t>
      </w:r>
      <w:r w:rsidRPr="00DA3766">
        <w:rPr>
          <w:rFonts w:ascii="Times New Roman" w:hAnsi="Times New Roman" w:cs="Times New Roman"/>
          <w:kern w:val="2"/>
          <w14:ligatures w14:val="standardContextual"/>
        </w:rPr>
        <w:t>3-5</w:t>
      </w:r>
      <w:r w:rsidRPr="00DA3766">
        <w:rPr>
          <w:rFonts w:ascii="Times New Roman" w:hAnsi="Times New Roman" w:cs="Times New Roman"/>
          <w:kern w:val="2"/>
          <w14:ligatures w14:val="standardContextual"/>
        </w:rPr>
        <w:t>年账龄段采用了相较于同行业更为谨慎的预期信用损失率。</w:t>
      </w:r>
    </w:p>
    <w:p w14:paraId="7F11031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最终客户主要为政府部门、事业单位及大中型国有企业，均具有良好资信和支付保障能力，款项支付进度主要受到客户预算款项拨款进度、经费支付计划、付款审批流程等影响，不存在较大的回收风险，公司出于谨慎性考虑，已经充分计提坏账准备。</w:t>
      </w:r>
    </w:p>
    <w:bookmarkEnd w:id="284"/>
    <w:p w14:paraId="4AB0F202"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八、上市公司在产品的产品明细、库龄、是否具有订单支撑、是否存在周转缓慢或滞销情况，</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年在产品规模增长的原因，对应存货成本归集、分配、核算是否准确、可靠。</w:t>
      </w:r>
    </w:p>
    <w:p w14:paraId="0141106B"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（一）上市公司在产品的产品明细、库龄、是否具有订单支撑、是否存在周转缓慢或滞销情况</w:t>
      </w:r>
    </w:p>
    <w:p w14:paraId="381F9C9B"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、在产品的产品明细及库龄情况，</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年在产品规模增长的原因</w:t>
      </w:r>
    </w:p>
    <w:p w14:paraId="2FC7C7F1"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上市公司在产品为在建项目的已发生成本，具体包含直接材料、直接人工、劳务服务成本等，其中直接材料、劳务服务成本为主要构成要素。库龄是指在库存货从入库到出库</w:t>
      </w:r>
      <w:r w:rsidRPr="00DA3766">
        <w:rPr>
          <w:rFonts w:ascii="Times New Roman" w:hAnsi="Times New Roman" w:cs="Times New Roman"/>
          <w:kern w:val="2"/>
          <w:szCs w:val="23"/>
        </w:rPr>
        <w:t>/</w:t>
      </w:r>
      <w:r w:rsidRPr="00DA3766">
        <w:rPr>
          <w:rFonts w:ascii="Times New Roman" w:hAnsi="Times New Roman" w:cs="Times New Roman"/>
          <w:kern w:val="2"/>
          <w:szCs w:val="23"/>
        </w:rPr>
        <w:t>报告期末计算在库时间，上市公司如上分析，其在产品构成是已经出库的直接材料、项目归集的直接人工及劳务服务成本等，不适用库龄计算，</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年各期末，上市公司在产品的主要构成情况如下：</w:t>
      </w:r>
    </w:p>
    <w:p w14:paraId="1E4E417E" w14:textId="77777777" w:rsidR="003F2129" w:rsidRPr="00DA3766" w:rsidRDefault="003F2129" w:rsidP="003F2129">
      <w:pPr>
        <w:keepNext/>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415"/>
        <w:gridCol w:w="2415"/>
        <w:gridCol w:w="1724"/>
      </w:tblGrid>
      <w:tr w:rsidR="003F2129" w:rsidRPr="00DA3766" w14:paraId="03BDB8B6" w14:textId="77777777" w:rsidTr="00DA3766">
        <w:trPr>
          <w:trHeight w:val="397"/>
          <w:tblHeader/>
          <w:jc w:val="center"/>
        </w:trPr>
        <w:tc>
          <w:tcPr>
            <w:tcW w:w="1157" w:type="pct"/>
            <w:vAlign w:val="center"/>
          </w:tcPr>
          <w:p w14:paraId="3B33498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1416" w:type="pct"/>
            <w:vAlign w:val="center"/>
          </w:tcPr>
          <w:p w14:paraId="39998AB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年期末账面余额</w:t>
            </w:r>
          </w:p>
        </w:tc>
        <w:tc>
          <w:tcPr>
            <w:tcW w:w="1416" w:type="pct"/>
            <w:vAlign w:val="center"/>
          </w:tcPr>
          <w:p w14:paraId="526AE51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年期末账面余额</w:t>
            </w:r>
          </w:p>
        </w:tc>
        <w:tc>
          <w:tcPr>
            <w:tcW w:w="1012" w:type="pct"/>
            <w:vAlign w:val="center"/>
          </w:tcPr>
          <w:p w14:paraId="69E4A5E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同期差异</w:t>
            </w:r>
          </w:p>
        </w:tc>
      </w:tr>
      <w:tr w:rsidR="003F2129" w:rsidRPr="00DA3766" w14:paraId="24B945C8" w14:textId="77777777" w:rsidTr="00DA3766">
        <w:trPr>
          <w:trHeight w:val="397"/>
          <w:jc w:val="center"/>
        </w:trPr>
        <w:tc>
          <w:tcPr>
            <w:tcW w:w="1157" w:type="pct"/>
            <w:vAlign w:val="center"/>
          </w:tcPr>
          <w:p w14:paraId="2063C2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直接材料</w:t>
            </w:r>
          </w:p>
        </w:tc>
        <w:tc>
          <w:tcPr>
            <w:tcW w:w="1416" w:type="pct"/>
            <w:vAlign w:val="center"/>
          </w:tcPr>
          <w:p w14:paraId="2E1C60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5,270.52</w:t>
            </w:r>
          </w:p>
        </w:tc>
        <w:tc>
          <w:tcPr>
            <w:tcW w:w="1416" w:type="pct"/>
            <w:vAlign w:val="center"/>
          </w:tcPr>
          <w:p w14:paraId="11B01F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1,216.90</w:t>
            </w:r>
          </w:p>
        </w:tc>
        <w:tc>
          <w:tcPr>
            <w:tcW w:w="1012" w:type="pct"/>
            <w:vAlign w:val="center"/>
          </w:tcPr>
          <w:p w14:paraId="2CBE89C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4,053.62</w:t>
            </w:r>
          </w:p>
        </w:tc>
      </w:tr>
      <w:tr w:rsidR="003F2129" w:rsidRPr="00DA3766" w14:paraId="623DCBD9" w14:textId="77777777" w:rsidTr="00DA3766">
        <w:trPr>
          <w:trHeight w:val="397"/>
          <w:jc w:val="center"/>
        </w:trPr>
        <w:tc>
          <w:tcPr>
            <w:tcW w:w="1157" w:type="pct"/>
            <w:vAlign w:val="center"/>
          </w:tcPr>
          <w:p w14:paraId="72B6C7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直接人工</w:t>
            </w:r>
          </w:p>
        </w:tc>
        <w:tc>
          <w:tcPr>
            <w:tcW w:w="1416" w:type="pct"/>
            <w:vAlign w:val="center"/>
          </w:tcPr>
          <w:p w14:paraId="692360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887.02</w:t>
            </w:r>
          </w:p>
        </w:tc>
        <w:tc>
          <w:tcPr>
            <w:tcW w:w="1416" w:type="pct"/>
            <w:vAlign w:val="center"/>
          </w:tcPr>
          <w:p w14:paraId="0D3120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420.06</w:t>
            </w:r>
          </w:p>
        </w:tc>
        <w:tc>
          <w:tcPr>
            <w:tcW w:w="1012" w:type="pct"/>
            <w:vAlign w:val="center"/>
          </w:tcPr>
          <w:p w14:paraId="30C3CA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466.96</w:t>
            </w:r>
          </w:p>
        </w:tc>
      </w:tr>
      <w:tr w:rsidR="003F2129" w:rsidRPr="00DA3766" w14:paraId="4672A5F9" w14:textId="77777777" w:rsidTr="00DA3766">
        <w:trPr>
          <w:trHeight w:val="397"/>
          <w:jc w:val="center"/>
        </w:trPr>
        <w:tc>
          <w:tcPr>
            <w:tcW w:w="1157" w:type="pct"/>
            <w:vAlign w:val="center"/>
          </w:tcPr>
          <w:p w14:paraId="77C23B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劳务、服务成本</w:t>
            </w:r>
          </w:p>
        </w:tc>
        <w:tc>
          <w:tcPr>
            <w:tcW w:w="1416" w:type="pct"/>
            <w:vAlign w:val="center"/>
          </w:tcPr>
          <w:p w14:paraId="7162CE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1,702.37</w:t>
            </w:r>
          </w:p>
        </w:tc>
        <w:tc>
          <w:tcPr>
            <w:tcW w:w="1416" w:type="pct"/>
            <w:vAlign w:val="center"/>
          </w:tcPr>
          <w:p w14:paraId="7692640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934.83</w:t>
            </w:r>
          </w:p>
        </w:tc>
        <w:tc>
          <w:tcPr>
            <w:tcW w:w="1012" w:type="pct"/>
            <w:vAlign w:val="center"/>
          </w:tcPr>
          <w:p w14:paraId="69142F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767.54</w:t>
            </w:r>
          </w:p>
        </w:tc>
      </w:tr>
      <w:tr w:rsidR="003F2129" w:rsidRPr="00DA3766" w14:paraId="57E0887B" w14:textId="77777777" w:rsidTr="00DA3766">
        <w:trPr>
          <w:trHeight w:val="397"/>
          <w:jc w:val="center"/>
        </w:trPr>
        <w:tc>
          <w:tcPr>
            <w:tcW w:w="1157" w:type="pct"/>
            <w:vAlign w:val="center"/>
          </w:tcPr>
          <w:p w14:paraId="37560D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其他</w:t>
            </w:r>
          </w:p>
        </w:tc>
        <w:tc>
          <w:tcPr>
            <w:tcW w:w="1416" w:type="pct"/>
            <w:vAlign w:val="center"/>
          </w:tcPr>
          <w:p w14:paraId="7B4E3C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48.47</w:t>
            </w:r>
          </w:p>
        </w:tc>
        <w:tc>
          <w:tcPr>
            <w:tcW w:w="1416" w:type="pct"/>
            <w:vAlign w:val="center"/>
          </w:tcPr>
          <w:p w14:paraId="036891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4.29</w:t>
            </w:r>
          </w:p>
        </w:tc>
        <w:tc>
          <w:tcPr>
            <w:tcW w:w="1012" w:type="pct"/>
            <w:vAlign w:val="center"/>
          </w:tcPr>
          <w:p w14:paraId="5DAD2E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44.18</w:t>
            </w:r>
          </w:p>
        </w:tc>
      </w:tr>
      <w:tr w:rsidR="003F2129" w:rsidRPr="00DA3766" w14:paraId="7ACC04D5" w14:textId="77777777" w:rsidTr="00DA3766">
        <w:trPr>
          <w:trHeight w:val="397"/>
          <w:jc w:val="center"/>
        </w:trPr>
        <w:tc>
          <w:tcPr>
            <w:tcW w:w="1157" w:type="pct"/>
            <w:vAlign w:val="center"/>
          </w:tcPr>
          <w:p w14:paraId="5BE0B0A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1416" w:type="pct"/>
            <w:vAlign w:val="center"/>
          </w:tcPr>
          <w:p w14:paraId="55E696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7,908.37</w:t>
            </w:r>
          </w:p>
        </w:tc>
        <w:tc>
          <w:tcPr>
            <w:tcW w:w="1416" w:type="pct"/>
            <w:vAlign w:val="center"/>
          </w:tcPr>
          <w:p w14:paraId="0A18E7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2,576.07</w:t>
            </w:r>
          </w:p>
        </w:tc>
        <w:tc>
          <w:tcPr>
            <w:tcW w:w="1012" w:type="pct"/>
            <w:vAlign w:val="center"/>
          </w:tcPr>
          <w:p w14:paraId="7883FE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5,332.29</w:t>
            </w:r>
          </w:p>
        </w:tc>
      </w:tr>
    </w:tbl>
    <w:p w14:paraId="7FE24EF2"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年，上市公司新增在产品对应的项目具体情况如下：</w:t>
      </w:r>
    </w:p>
    <w:p w14:paraId="27FB8596"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1023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3348"/>
        <w:gridCol w:w="1418"/>
        <w:gridCol w:w="1491"/>
        <w:gridCol w:w="1173"/>
        <w:gridCol w:w="1196"/>
      </w:tblGrid>
      <w:tr w:rsidR="003F2129" w:rsidRPr="00DA3766" w14:paraId="4770BF17" w14:textId="77777777" w:rsidTr="00635015">
        <w:trPr>
          <w:trHeight w:val="397"/>
          <w:tblHeader/>
          <w:jc w:val="center"/>
        </w:trPr>
        <w:tc>
          <w:tcPr>
            <w:tcW w:w="0" w:type="auto"/>
            <w:vAlign w:val="center"/>
          </w:tcPr>
          <w:p w14:paraId="7740A61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项目编号</w:t>
            </w:r>
          </w:p>
        </w:tc>
        <w:tc>
          <w:tcPr>
            <w:tcW w:w="3348" w:type="dxa"/>
            <w:vAlign w:val="center"/>
          </w:tcPr>
          <w:p w14:paraId="06303E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客户</w:t>
            </w:r>
          </w:p>
        </w:tc>
        <w:tc>
          <w:tcPr>
            <w:tcW w:w="1418" w:type="dxa"/>
            <w:vAlign w:val="center"/>
          </w:tcPr>
          <w:p w14:paraId="03D1408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年新增投入金额</w:t>
            </w:r>
          </w:p>
        </w:tc>
        <w:tc>
          <w:tcPr>
            <w:tcW w:w="1491" w:type="dxa"/>
            <w:vAlign w:val="center"/>
          </w:tcPr>
          <w:p w14:paraId="0DA5004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w:t>
            </w: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年期末在产品新增额比重</w:t>
            </w:r>
          </w:p>
        </w:tc>
        <w:tc>
          <w:tcPr>
            <w:tcW w:w="0" w:type="auto"/>
            <w:vAlign w:val="center"/>
          </w:tcPr>
          <w:p w14:paraId="0E08E5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验收日期</w:t>
            </w:r>
          </w:p>
        </w:tc>
        <w:tc>
          <w:tcPr>
            <w:tcW w:w="0" w:type="auto"/>
            <w:vAlign w:val="center"/>
          </w:tcPr>
          <w:p w14:paraId="06640DC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立项日期</w:t>
            </w:r>
          </w:p>
        </w:tc>
      </w:tr>
      <w:tr w:rsidR="003F2129" w:rsidRPr="00DA3766" w14:paraId="77C219AB" w14:textId="77777777" w:rsidTr="00635015">
        <w:trPr>
          <w:trHeight w:val="397"/>
          <w:jc w:val="center"/>
        </w:trPr>
        <w:tc>
          <w:tcPr>
            <w:tcW w:w="0" w:type="auto"/>
            <w:vAlign w:val="center"/>
          </w:tcPr>
          <w:p w14:paraId="4B5FB9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XM20230019</w:t>
            </w:r>
          </w:p>
        </w:tc>
        <w:tc>
          <w:tcPr>
            <w:tcW w:w="3348" w:type="dxa"/>
            <w:vAlign w:val="center"/>
          </w:tcPr>
          <w:p w14:paraId="326070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14:paraId="38D683E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556.82</w:t>
            </w:r>
          </w:p>
        </w:tc>
        <w:tc>
          <w:tcPr>
            <w:tcW w:w="1491" w:type="dxa"/>
            <w:vAlign w:val="center"/>
          </w:tcPr>
          <w:p w14:paraId="189043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10.44%</w:t>
            </w:r>
          </w:p>
        </w:tc>
        <w:tc>
          <w:tcPr>
            <w:tcW w:w="0" w:type="auto"/>
            <w:vAlign w:val="center"/>
          </w:tcPr>
          <w:p w14:paraId="718464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2025/10/31</w:t>
            </w:r>
          </w:p>
        </w:tc>
        <w:tc>
          <w:tcPr>
            <w:tcW w:w="0" w:type="auto"/>
            <w:vAlign w:val="center"/>
          </w:tcPr>
          <w:p w14:paraId="7F1C32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2023/4/20</w:t>
            </w:r>
          </w:p>
        </w:tc>
      </w:tr>
      <w:tr w:rsidR="003F2129" w:rsidRPr="00DA3766" w14:paraId="3FDBDB3D" w14:textId="77777777" w:rsidTr="00635015">
        <w:trPr>
          <w:trHeight w:val="397"/>
          <w:jc w:val="center"/>
        </w:trPr>
        <w:tc>
          <w:tcPr>
            <w:tcW w:w="0" w:type="auto"/>
            <w:vAlign w:val="center"/>
          </w:tcPr>
          <w:p w14:paraId="6C5FBEC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XM20230011</w:t>
            </w:r>
          </w:p>
        </w:tc>
        <w:tc>
          <w:tcPr>
            <w:tcW w:w="3348" w:type="dxa"/>
            <w:vAlign w:val="center"/>
          </w:tcPr>
          <w:p w14:paraId="302632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14:paraId="447030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170.87</w:t>
            </w:r>
          </w:p>
        </w:tc>
        <w:tc>
          <w:tcPr>
            <w:tcW w:w="1491" w:type="dxa"/>
            <w:vAlign w:val="center"/>
          </w:tcPr>
          <w:p w14:paraId="1EF661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3.20%</w:t>
            </w:r>
          </w:p>
        </w:tc>
        <w:tc>
          <w:tcPr>
            <w:tcW w:w="0" w:type="auto"/>
            <w:vAlign w:val="center"/>
          </w:tcPr>
          <w:p w14:paraId="6D0877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78CBDC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2023/5/19</w:t>
            </w:r>
          </w:p>
        </w:tc>
      </w:tr>
      <w:tr w:rsidR="003F2129" w:rsidRPr="00DA3766" w14:paraId="34547492" w14:textId="77777777" w:rsidTr="00635015">
        <w:trPr>
          <w:trHeight w:val="397"/>
          <w:jc w:val="center"/>
        </w:trPr>
        <w:tc>
          <w:tcPr>
            <w:tcW w:w="0" w:type="auto"/>
            <w:vAlign w:val="center"/>
          </w:tcPr>
          <w:p w14:paraId="707689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01KF20240020</w:t>
            </w:r>
          </w:p>
        </w:tc>
        <w:tc>
          <w:tcPr>
            <w:tcW w:w="3348" w:type="dxa"/>
            <w:vAlign w:val="center"/>
          </w:tcPr>
          <w:p w14:paraId="0E8210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浪潮软件集团有限公司</w:t>
            </w:r>
          </w:p>
        </w:tc>
        <w:tc>
          <w:tcPr>
            <w:tcW w:w="1418" w:type="dxa"/>
            <w:vAlign w:val="center"/>
          </w:tcPr>
          <w:p w14:paraId="2ECE674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1,150.26</w:t>
            </w:r>
          </w:p>
        </w:tc>
        <w:tc>
          <w:tcPr>
            <w:tcW w:w="1491" w:type="dxa"/>
            <w:vAlign w:val="center"/>
          </w:tcPr>
          <w:p w14:paraId="3F5CB2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21.57%</w:t>
            </w:r>
          </w:p>
        </w:tc>
        <w:tc>
          <w:tcPr>
            <w:tcW w:w="0" w:type="auto"/>
            <w:vAlign w:val="center"/>
          </w:tcPr>
          <w:p w14:paraId="623CDD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2025/3/30</w:t>
            </w:r>
          </w:p>
        </w:tc>
        <w:tc>
          <w:tcPr>
            <w:tcW w:w="0" w:type="auto"/>
            <w:vAlign w:val="center"/>
          </w:tcPr>
          <w:p w14:paraId="541492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2024/8/16</w:t>
            </w:r>
          </w:p>
        </w:tc>
      </w:tr>
      <w:tr w:rsidR="003F2129" w:rsidRPr="00DA3766" w14:paraId="1122CDDB" w14:textId="77777777" w:rsidTr="00635015">
        <w:trPr>
          <w:trHeight w:val="397"/>
          <w:jc w:val="center"/>
        </w:trPr>
        <w:tc>
          <w:tcPr>
            <w:tcW w:w="0" w:type="auto"/>
            <w:vAlign w:val="center"/>
          </w:tcPr>
          <w:p w14:paraId="2708D7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01XM20240052</w:t>
            </w:r>
          </w:p>
        </w:tc>
        <w:tc>
          <w:tcPr>
            <w:tcW w:w="3348" w:type="dxa"/>
            <w:vAlign w:val="center"/>
          </w:tcPr>
          <w:p w14:paraId="194FDB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华海智汇技术有限公司</w:t>
            </w:r>
          </w:p>
        </w:tc>
        <w:tc>
          <w:tcPr>
            <w:tcW w:w="1418" w:type="dxa"/>
            <w:vAlign w:val="center"/>
          </w:tcPr>
          <w:p w14:paraId="27A230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754.37</w:t>
            </w:r>
          </w:p>
        </w:tc>
        <w:tc>
          <w:tcPr>
            <w:tcW w:w="1491" w:type="dxa"/>
            <w:vAlign w:val="center"/>
          </w:tcPr>
          <w:p w14:paraId="14333B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14.15%</w:t>
            </w:r>
          </w:p>
        </w:tc>
        <w:tc>
          <w:tcPr>
            <w:tcW w:w="0" w:type="auto"/>
            <w:vAlign w:val="center"/>
          </w:tcPr>
          <w:p w14:paraId="0C708E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2025/12/31</w:t>
            </w:r>
          </w:p>
        </w:tc>
        <w:tc>
          <w:tcPr>
            <w:tcW w:w="0" w:type="auto"/>
            <w:vAlign w:val="center"/>
          </w:tcPr>
          <w:p w14:paraId="550739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2024/8/15</w:t>
            </w:r>
          </w:p>
        </w:tc>
      </w:tr>
      <w:tr w:rsidR="003F2129" w:rsidRPr="00DA3766" w14:paraId="6A1B011C" w14:textId="77777777" w:rsidTr="00635015">
        <w:trPr>
          <w:trHeight w:val="397"/>
          <w:jc w:val="center"/>
        </w:trPr>
        <w:tc>
          <w:tcPr>
            <w:tcW w:w="0" w:type="auto"/>
            <w:vAlign w:val="center"/>
          </w:tcPr>
          <w:p w14:paraId="7F4013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01KF20240010</w:t>
            </w:r>
          </w:p>
        </w:tc>
        <w:tc>
          <w:tcPr>
            <w:tcW w:w="3348" w:type="dxa"/>
            <w:vAlign w:val="center"/>
          </w:tcPr>
          <w:p w14:paraId="58264C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深圳市深鹏达电网科技有限公司</w:t>
            </w:r>
          </w:p>
        </w:tc>
        <w:tc>
          <w:tcPr>
            <w:tcW w:w="1418" w:type="dxa"/>
            <w:vAlign w:val="center"/>
          </w:tcPr>
          <w:p w14:paraId="505A78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387.70</w:t>
            </w:r>
          </w:p>
        </w:tc>
        <w:tc>
          <w:tcPr>
            <w:tcW w:w="1491" w:type="dxa"/>
            <w:vAlign w:val="center"/>
          </w:tcPr>
          <w:p w14:paraId="39CCB2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7.27%</w:t>
            </w:r>
          </w:p>
        </w:tc>
        <w:tc>
          <w:tcPr>
            <w:tcW w:w="0" w:type="auto"/>
            <w:vAlign w:val="center"/>
          </w:tcPr>
          <w:p w14:paraId="7CE0B6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2025/6/30</w:t>
            </w:r>
          </w:p>
        </w:tc>
        <w:tc>
          <w:tcPr>
            <w:tcW w:w="0" w:type="auto"/>
            <w:vAlign w:val="center"/>
          </w:tcPr>
          <w:p w14:paraId="53B88D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2024/7/22</w:t>
            </w:r>
          </w:p>
        </w:tc>
      </w:tr>
      <w:tr w:rsidR="003F2129" w:rsidRPr="00DA3766" w14:paraId="29990F02" w14:textId="77777777" w:rsidTr="00635015">
        <w:trPr>
          <w:trHeight w:val="397"/>
          <w:jc w:val="center"/>
        </w:trPr>
        <w:tc>
          <w:tcPr>
            <w:tcW w:w="0" w:type="auto"/>
            <w:vAlign w:val="center"/>
          </w:tcPr>
          <w:p w14:paraId="290673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01XM20230132</w:t>
            </w:r>
          </w:p>
        </w:tc>
        <w:tc>
          <w:tcPr>
            <w:tcW w:w="3348" w:type="dxa"/>
            <w:vAlign w:val="center"/>
          </w:tcPr>
          <w:p w14:paraId="7786F7C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广东中都建筑集团有限公司</w:t>
            </w:r>
          </w:p>
        </w:tc>
        <w:tc>
          <w:tcPr>
            <w:tcW w:w="1418" w:type="dxa"/>
            <w:vAlign w:val="center"/>
          </w:tcPr>
          <w:p w14:paraId="0FDCB6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304.85</w:t>
            </w:r>
          </w:p>
        </w:tc>
        <w:tc>
          <w:tcPr>
            <w:tcW w:w="1491" w:type="dxa"/>
            <w:vAlign w:val="center"/>
          </w:tcPr>
          <w:p w14:paraId="21402C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5.72%</w:t>
            </w:r>
          </w:p>
        </w:tc>
        <w:tc>
          <w:tcPr>
            <w:tcW w:w="0" w:type="auto"/>
            <w:vAlign w:val="center"/>
          </w:tcPr>
          <w:p w14:paraId="36052F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7FF9B4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2023/11/28</w:t>
            </w:r>
          </w:p>
        </w:tc>
      </w:tr>
      <w:tr w:rsidR="003F2129" w:rsidRPr="00DA3766" w14:paraId="065C5F05" w14:textId="77777777" w:rsidTr="00635015">
        <w:trPr>
          <w:trHeight w:val="397"/>
          <w:jc w:val="center"/>
        </w:trPr>
        <w:tc>
          <w:tcPr>
            <w:tcW w:w="0" w:type="auto"/>
            <w:vAlign w:val="center"/>
          </w:tcPr>
          <w:p w14:paraId="6FE19BF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01KF20240021</w:t>
            </w:r>
          </w:p>
        </w:tc>
        <w:tc>
          <w:tcPr>
            <w:tcW w:w="3348" w:type="dxa"/>
            <w:vAlign w:val="center"/>
          </w:tcPr>
          <w:p w14:paraId="3D291D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工业和信息化部电子第五研究所</w:t>
            </w:r>
          </w:p>
        </w:tc>
        <w:tc>
          <w:tcPr>
            <w:tcW w:w="1418" w:type="dxa"/>
            <w:vAlign w:val="center"/>
          </w:tcPr>
          <w:p w14:paraId="6D5269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287.41</w:t>
            </w:r>
          </w:p>
        </w:tc>
        <w:tc>
          <w:tcPr>
            <w:tcW w:w="1491" w:type="dxa"/>
            <w:vAlign w:val="center"/>
          </w:tcPr>
          <w:p w14:paraId="0DA149A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5.39%</w:t>
            </w:r>
          </w:p>
        </w:tc>
        <w:tc>
          <w:tcPr>
            <w:tcW w:w="0" w:type="auto"/>
            <w:vAlign w:val="center"/>
          </w:tcPr>
          <w:p w14:paraId="7F93C4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2025/6/30</w:t>
            </w:r>
          </w:p>
        </w:tc>
        <w:tc>
          <w:tcPr>
            <w:tcW w:w="0" w:type="auto"/>
            <w:vAlign w:val="center"/>
          </w:tcPr>
          <w:p w14:paraId="62F259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2024/9/3</w:t>
            </w:r>
          </w:p>
        </w:tc>
      </w:tr>
      <w:tr w:rsidR="003F2129" w:rsidRPr="00DA3766" w14:paraId="6E226827" w14:textId="77777777" w:rsidTr="00635015">
        <w:trPr>
          <w:trHeight w:val="397"/>
          <w:jc w:val="center"/>
        </w:trPr>
        <w:tc>
          <w:tcPr>
            <w:tcW w:w="0" w:type="auto"/>
            <w:vAlign w:val="center"/>
          </w:tcPr>
          <w:p w14:paraId="20B608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01XM20240001</w:t>
            </w:r>
          </w:p>
        </w:tc>
        <w:tc>
          <w:tcPr>
            <w:tcW w:w="3348" w:type="dxa"/>
            <w:vAlign w:val="center"/>
          </w:tcPr>
          <w:p w14:paraId="027C6C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深圳市金证科技股份有限公司</w:t>
            </w:r>
          </w:p>
        </w:tc>
        <w:tc>
          <w:tcPr>
            <w:tcW w:w="1418" w:type="dxa"/>
            <w:vAlign w:val="center"/>
          </w:tcPr>
          <w:p w14:paraId="7A6D77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215.89</w:t>
            </w:r>
          </w:p>
        </w:tc>
        <w:tc>
          <w:tcPr>
            <w:tcW w:w="1491" w:type="dxa"/>
            <w:vAlign w:val="center"/>
          </w:tcPr>
          <w:p w14:paraId="549805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4.05%</w:t>
            </w:r>
          </w:p>
        </w:tc>
        <w:tc>
          <w:tcPr>
            <w:tcW w:w="0" w:type="auto"/>
            <w:vAlign w:val="center"/>
          </w:tcPr>
          <w:p w14:paraId="670A72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16C712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2024/1/4</w:t>
            </w:r>
          </w:p>
        </w:tc>
      </w:tr>
      <w:tr w:rsidR="003F2129" w:rsidRPr="00DA3766" w14:paraId="79617F05" w14:textId="77777777" w:rsidTr="00635015">
        <w:trPr>
          <w:trHeight w:val="397"/>
          <w:jc w:val="center"/>
        </w:trPr>
        <w:tc>
          <w:tcPr>
            <w:tcW w:w="0" w:type="auto"/>
            <w:vAlign w:val="center"/>
          </w:tcPr>
          <w:p w14:paraId="39028C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12XM20240010</w:t>
            </w:r>
          </w:p>
        </w:tc>
        <w:tc>
          <w:tcPr>
            <w:tcW w:w="3348" w:type="dxa"/>
            <w:vAlign w:val="center"/>
          </w:tcPr>
          <w:p w14:paraId="31E0F0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中移系统集成有限公司</w:t>
            </w:r>
          </w:p>
        </w:tc>
        <w:tc>
          <w:tcPr>
            <w:tcW w:w="1418" w:type="dxa"/>
            <w:vAlign w:val="center"/>
          </w:tcPr>
          <w:p w14:paraId="1D6764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193.72</w:t>
            </w:r>
          </w:p>
        </w:tc>
        <w:tc>
          <w:tcPr>
            <w:tcW w:w="1491" w:type="dxa"/>
            <w:vAlign w:val="center"/>
          </w:tcPr>
          <w:p w14:paraId="2290A4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3.63%</w:t>
            </w:r>
          </w:p>
        </w:tc>
        <w:tc>
          <w:tcPr>
            <w:tcW w:w="0" w:type="auto"/>
            <w:vAlign w:val="center"/>
          </w:tcPr>
          <w:p w14:paraId="21FC82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6F21A91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2024-03-19</w:t>
            </w:r>
          </w:p>
        </w:tc>
      </w:tr>
      <w:tr w:rsidR="003F2129" w:rsidRPr="00DA3766" w14:paraId="5866BCC2" w14:textId="77777777" w:rsidTr="00635015">
        <w:trPr>
          <w:trHeight w:val="397"/>
          <w:jc w:val="center"/>
        </w:trPr>
        <w:tc>
          <w:tcPr>
            <w:tcW w:w="0" w:type="auto"/>
            <w:vAlign w:val="center"/>
          </w:tcPr>
          <w:p w14:paraId="2C52D9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01FW20230022</w:t>
            </w:r>
          </w:p>
        </w:tc>
        <w:tc>
          <w:tcPr>
            <w:tcW w:w="3348" w:type="dxa"/>
            <w:vAlign w:val="center"/>
          </w:tcPr>
          <w:p w14:paraId="017798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中国移动通信集团广东有限公司汕头分公司</w:t>
            </w:r>
          </w:p>
        </w:tc>
        <w:tc>
          <w:tcPr>
            <w:tcW w:w="1418" w:type="dxa"/>
            <w:vAlign w:val="center"/>
          </w:tcPr>
          <w:p w14:paraId="642612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131.52</w:t>
            </w:r>
          </w:p>
        </w:tc>
        <w:tc>
          <w:tcPr>
            <w:tcW w:w="1491" w:type="dxa"/>
            <w:vAlign w:val="center"/>
          </w:tcPr>
          <w:p w14:paraId="239623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2.47%</w:t>
            </w:r>
          </w:p>
        </w:tc>
        <w:tc>
          <w:tcPr>
            <w:tcW w:w="0" w:type="auto"/>
            <w:vAlign w:val="center"/>
          </w:tcPr>
          <w:p w14:paraId="51DAB2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2025/8/31</w:t>
            </w:r>
          </w:p>
        </w:tc>
        <w:tc>
          <w:tcPr>
            <w:tcW w:w="0" w:type="auto"/>
            <w:vAlign w:val="center"/>
          </w:tcPr>
          <w:p w14:paraId="4E0607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2023/9/14</w:t>
            </w:r>
          </w:p>
        </w:tc>
      </w:tr>
      <w:tr w:rsidR="003F2129" w:rsidRPr="00DA3766" w14:paraId="5FF67DF2" w14:textId="77777777" w:rsidTr="00635015">
        <w:trPr>
          <w:trHeight w:val="397"/>
          <w:jc w:val="center"/>
        </w:trPr>
        <w:tc>
          <w:tcPr>
            <w:tcW w:w="4953" w:type="dxa"/>
            <w:gridSpan w:val="2"/>
            <w:vAlign w:val="center"/>
          </w:tcPr>
          <w:p w14:paraId="7864448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总计</w:t>
            </w:r>
          </w:p>
        </w:tc>
        <w:tc>
          <w:tcPr>
            <w:tcW w:w="1418" w:type="dxa"/>
            <w:vAlign w:val="center"/>
          </w:tcPr>
          <w:p w14:paraId="39A5D8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4,153.42</w:t>
            </w:r>
          </w:p>
        </w:tc>
        <w:tc>
          <w:tcPr>
            <w:tcW w:w="1491" w:type="dxa"/>
            <w:vAlign w:val="center"/>
          </w:tcPr>
          <w:p w14:paraId="2A5CFD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77.89%</w:t>
            </w:r>
          </w:p>
        </w:tc>
        <w:tc>
          <w:tcPr>
            <w:tcW w:w="0" w:type="auto"/>
            <w:vAlign w:val="center"/>
          </w:tcPr>
          <w:p w14:paraId="4C7E8E1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w:t>
            </w:r>
          </w:p>
        </w:tc>
        <w:tc>
          <w:tcPr>
            <w:tcW w:w="0" w:type="auto"/>
            <w:vAlign w:val="center"/>
          </w:tcPr>
          <w:p w14:paraId="2E1E6AD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w:t>
            </w:r>
          </w:p>
        </w:tc>
      </w:tr>
    </w:tbl>
    <w:p w14:paraId="0E4A88B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年在产品账面价值显著上升，主要系该部分新增投入在</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年期未完成验收所致。截至本回复出具之日，前述项目已经过半数完成验收。</w:t>
      </w:r>
    </w:p>
    <w:p w14:paraId="5C6B286C"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、订单支撑情况</w:t>
      </w:r>
    </w:p>
    <w:p w14:paraId="15FA9892"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上市公司是智慧城市解决方案提供商，由于客户需求具有差异化和个性化的特点，公司主要采取</w:t>
      </w:r>
      <w:r w:rsidRPr="00DA3766">
        <w:rPr>
          <w:rFonts w:cs="Times New Roman"/>
          <w:kern w:val="2"/>
          <w:szCs w:val="23"/>
        </w:rPr>
        <w:t>“</w:t>
      </w:r>
      <w:r w:rsidRPr="00DA3766">
        <w:rPr>
          <w:rFonts w:ascii="Times New Roman" w:hAnsi="Times New Roman" w:cs="Times New Roman"/>
          <w:kern w:val="2"/>
          <w:szCs w:val="23"/>
        </w:rPr>
        <w:t>以销定采</w:t>
      </w:r>
      <w:r w:rsidRPr="00DA3766">
        <w:rPr>
          <w:rFonts w:cs="Times New Roman"/>
          <w:kern w:val="2"/>
          <w:szCs w:val="23"/>
        </w:rPr>
        <w:t>”</w:t>
      </w:r>
      <w:r w:rsidRPr="00DA3766">
        <w:rPr>
          <w:rFonts w:ascii="Times New Roman" w:hAnsi="Times New Roman" w:cs="Times New Roman"/>
          <w:kern w:val="2"/>
          <w:szCs w:val="23"/>
        </w:rPr>
        <w:t>、</w:t>
      </w:r>
      <w:r w:rsidRPr="00DA3766">
        <w:rPr>
          <w:rFonts w:cs="Times New Roman"/>
          <w:kern w:val="2"/>
          <w:szCs w:val="23"/>
        </w:rPr>
        <w:t>“</w:t>
      </w:r>
      <w:r w:rsidRPr="00DA3766">
        <w:rPr>
          <w:rFonts w:ascii="Times New Roman" w:hAnsi="Times New Roman" w:cs="Times New Roman"/>
          <w:kern w:val="2"/>
          <w:szCs w:val="23"/>
        </w:rPr>
        <w:t>按需采购</w:t>
      </w:r>
      <w:r w:rsidRPr="00DA3766">
        <w:rPr>
          <w:rFonts w:cs="Times New Roman"/>
          <w:kern w:val="2"/>
          <w:szCs w:val="23"/>
        </w:rPr>
        <w:t>”</w:t>
      </w:r>
      <w:r w:rsidRPr="00DA3766">
        <w:rPr>
          <w:rFonts w:ascii="Times New Roman" w:hAnsi="Times New Roman" w:cs="Times New Roman"/>
          <w:kern w:val="2"/>
          <w:szCs w:val="23"/>
        </w:rPr>
        <w:t>的采购模式。上市公司在产品为在建项目的已发生成本，均有对应订单支撑。</w:t>
      </w:r>
    </w:p>
    <w:p w14:paraId="49BBCAA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报告期各期末，上市公司存货与在手订单的匹配情况如下：</w:t>
      </w:r>
    </w:p>
    <w:p w14:paraId="4459D8DC" w14:textId="77777777" w:rsidR="003F2129" w:rsidRPr="00DA3766" w:rsidRDefault="003F2129" w:rsidP="003F2129">
      <w:pPr>
        <w:keepNext/>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lastRenderedPageBreak/>
        <w:t>单位：万元</w:t>
      </w:r>
    </w:p>
    <w:tbl>
      <w:tblPr>
        <w:tblW w:w="512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602"/>
        <w:gridCol w:w="2056"/>
        <w:gridCol w:w="2038"/>
        <w:gridCol w:w="2037"/>
      </w:tblGrid>
      <w:tr w:rsidR="003F2129" w:rsidRPr="00DA3766" w14:paraId="60E83D17" w14:textId="77777777" w:rsidTr="00DA3766">
        <w:trPr>
          <w:trHeight w:val="397"/>
          <w:tblHeader/>
          <w:jc w:val="center"/>
        </w:trPr>
        <w:tc>
          <w:tcPr>
            <w:tcW w:w="1490" w:type="pct"/>
            <w:shd w:val="solid" w:color="FFFFFF" w:fill="FFFFFF"/>
            <w:vAlign w:val="center"/>
          </w:tcPr>
          <w:p w14:paraId="45E13D3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77" w:type="pct"/>
            <w:shd w:val="solid" w:color="FFFFFF" w:fill="FFFFFF"/>
            <w:vAlign w:val="center"/>
          </w:tcPr>
          <w:p w14:paraId="6CF7851B"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167" w:type="pct"/>
            <w:shd w:val="solid" w:color="FFFFFF" w:fill="FFFFFF"/>
            <w:vAlign w:val="center"/>
          </w:tcPr>
          <w:p w14:paraId="6EBA5A3C"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166" w:type="pct"/>
            <w:shd w:val="solid" w:color="FFFFFF" w:fill="FFFFFF"/>
            <w:vAlign w:val="center"/>
          </w:tcPr>
          <w:p w14:paraId="7E24B2B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F2129" w:rsidRPr="00DA3766" w14:paraId="5A5D37F3" w14:textId="77777777" w:rsidTr="00DA3766">
        <w:trPr>
          <w:trHeight w:val="397"/>
          <w:jc w:val="center"/>
        </w:trPr>
        <w:tc>
          <w:tcPr>
            <w:tcW w:w="1490" w:type="pct"/>
            <w:shd w:val="solid" w:color="FFFFFF" w:fill="FFFFFF"/>
            <w:vAlign w:val="center"/>
          </w:tcPr>
          <w:p w14:paraId="487C80E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在产品</w:t>
            </w:r>
          </w:p>
        </w:tc>
        <w:tc>
          <w:tcPr>
            <w:tcW w:w="1177" w:type="pct"/>
            <w:shd w:val="solid" w:color="FFFFFF" w:fill="FFFFFF"/>
            <w:vAlign w:val="center"/>
          </w:tcPr>
          <w:p w14:paraId="6B693CA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7,908.37</w:t>
            </w:r>
          </w:p>
        </w:tc>
        <w:tc>
          <w:tcPr>
            <w:tcW w:w="1167" w:type="pct"/>
            <w:shd w:val="solid" w:color="FFFFFF" w:fill="FFFFFF"/>
            <w:vAlign w:val="center"/>
          </w:tcPr>
          <w:p w14:paraId="3F49021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2,576.07</w:t>
            </w:r>
          </w:p>
        </w:tc>
        <w:tc>
          <w:tcPr>
            <w:tcW w:w="1166" w:type="pct"/>
            <w:shd w:val="solid" w:color="FFFFFF" w:fill="FFFFFF"/>
            <w:vAlign w:val="center"/>
          </w:tcPr>
          <w:p w14:paraId="6EE1754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5,332.29</w:t>
            </w:r>
          </w:p>
        </w:tc>
      </w:tr>
      <w:tr w:rsidR="003F2129" w:rsidRPr="00DA3766" w14:paraId="5E249868" w14:textId="77777777" w:rsidTr="00DA3766">
        <w:trPr>
          <w:trHeight w:val="397"/>
          <w:jc w:val="center"/>
        </w:trPr>
        <w:tc>
          <w:tcPr>
            <w:tcW w:w="1490" w:type="pct"/>
            <w:shd w:val="solid" w:color="FFFFFF" w:fill="FFFFFF"/>
            <w:vAlign w:val="center"/>
          </w:tcPr>
          <w:p w14:paraId="45385B97"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在手订单金额</w:t>
            </w:r>
          </w:p>
        </w:tc>
        <w:tc>
          <w:tcPr>
            <w:tcW w:w="1177" w:type="pct"/>
            <w:shd w:val="solid" w:color="FFFFFF" w:fill="FFFFFF"/>
            <w:vAlign w:val="center"/>
          </w:tcPr>
          <w:p w14:paraId="1E1E826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73,253.66</w:t>
            </w:r>
          </w:p>
        </w:tc>
        <w:tc>
          <w:tcPr>
            <w:tcW w:w="1167" w:type="pct"/>
            <w:shd w:val="solid" w:color="FFFFFF" w:fill="FFFFFF"/>
            <w:vAlign w:val="center"/>
          </w:tcPr>
          <w:p w14:paraId="137E6FE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16,370.76</w:t>
            </w:r>
          </w:p>
        </w:tc>
        <w:tc>
          <w:tcPr>
            <w:tcW w:w="1166" w:type="pct"/>
            <w:shd w:val="solid" w:color="FFFFFF" w:fill="FFFFFF"/>
            <w:vAlign w:val="center"/>
          </w:tcPr>
          <w:p w14:paraId="7496F43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16,479.35</w:t>
            </w:r>
          </w:p>
        </w:tc>
      </w:tr>
      <w:tr w:rsidR="003F2129" w:rsidRPr="00DA3766" w14:paraId="5BBD5259" w14:textId="77777777" w:rsidTr="00DA3766">
        <w:trPr>
          <w:trHeight w:val="397"/>
          <w:jc w:val="center"/>
        </w:trPr>
        <w:tc>
          <w:tcPr>
            <w:tcW w:w="1490" w:type="pct"/>
            <w:shd w:val="solid" w:color="FFFFFF" w:fill="FFFFFF"/>
            <w:vAlign w:val="center"/>
          </w:tcPr>
          <w:p w14:paraId="3CF7BC4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在手订单覆盖率</w:t>
            </w:r>
          </w:p>
        </w:tc>
        <w:tc>
          <w:tcPr>
            <w:tcW w:w="1177" w:type="pct"/>
            <w:shd w:val="solid" w:color="FFFFFF" w:fill="FFFFFF"/>
            <w:vAlign w:val="center"/>
          </w:tcPr>
          <w:p w14:paraId="06FFACB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926.28%</w:t>
            </w:r>
          </w:p>
        </w:tc>
        <w:tc>
          <w:tcPr>
            <w:tcW w:w="1167" w:type="pct"/>
            <w:shd w:val="solid" w:color="FFFFFF" w:fill="FFFFFF"/>
            <w:vAlign w:val="center"/>
          </w:tcPr>
          <w:p w14:paraId="1992B58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635.49%</w:t>
            </w:r>
          </w:p>
        </w:tc>
        <w:tc>
          <w:tcPr>
            <w:tcW w:w="1166" w:type="pct"/>
            <w:shd w:val="solid" w:color="FFFFFF" w:fill="FFFFFF"/>
            <w:vAlign w:val="center"/>
          </w:tcPr>
          <w:p w14:paraId="2C4B31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309.05%</w:t>
            </w:r>
          </w:p>
        </w:tc>
      </w:tr>
    </w:tbl>
    <w:p w14:paraId="090D0963" w14:textId="77777777" w:rsidR="003F2129" w:rsidRPr="00DA3766" w:rsidRDefault="003F2129" w:rsidP="00BF5BFE">
      <w:pPr>
        <w:pStyle w:val="006"/>
        <w:ind w:firstLine="420"/>
      </w:pPr>
      <w:r w:rsidRPr="00DA3766">
        <w:t>注：</w:t>
      </w:r>
      <w:r w:rsidRPr="00DA3766">
        <w:t>2024</w:t>
      </w:r>
      <w:r w:rsidRPr="00DA3766">
        <w:t>年末的在手订单中包含中国移动的</w:t>
      </w:r>
      <w:r w:rsidRPr="00DA3766">
        <w:t>38,255.80</w:t>
      </w:r>
      <w:r w:rsidRPr="00DA3766">
        <w:t>万元（含税），为期</w:t>
      </w:r>
      <w:r w:rsidRPr="00DA3766">
        <w:t>5</w:t>
      </w:r>
      <w:r w:rsidRPr="00DA3766">
        <w:t>年。</w:t>
      </w:r>
    </w:p>
    <w:p w14:paraId="542DC167"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报告期各期末，上市公司在手订单分别为</w:t>
      </w:r>
      <w:r w:rsidRPr="00DA3766">
        <w:rPr>
          <w:rFonts w:ascii="Times New Roman" w:hAnsi="Times New Roman" w:cs="Times New Roman"/>
          <w:kern w:val="2"/>
          <w:szCs w:val="23"/>
        </w:rPr>
        <w:t>16,479.35</w:t>
      </w:r>
      <w:r w:rsidRPr="00DA3766">
        <w:rPr>
          <w:rFonts w:ascii="Times New Roman" w:hAnsi="Times New Roman" w:cs="Times New Roman"/>
          <w:kern w:val="2"/>
          <w:szCs w:val="23"/>
        </w:rPr>
        <w:t>万元、</w:t>
      </w:r>
      <w:r w:rsidRPr="00DA3766">
        <w:rPr>
          <w:rFonts w:ascii="Times New Roman" w:hAnsi="Times New Roman" w:cs="Times New Roman"/>
          <w:kern w:val="2"/>
          <w:szCs w:val="23"/>
        </w:rPr>
        <w:t>16,370.76</w:t>
      </w:r>
      <w:r w:rsidRPr="00DA3766">
        <w:rPr>
          <w:rFonts w:ascii="Times New Roman" w:hAnsi="Times New Roman" w:cs="Times New Roman"/>
          <w:kern w:val="2"/>
          <w:szCs w:val="23"/>
        </w:rPr>
        <w:t>万元、</w:t>
      </w:r>
      <w:r w:rsidRPr="00DA3766">
        <w:rPr>
          <w:rFonts w:ascii="Times New Roman" w:hAnsi="Times New Roman" w:cs="Times New Roman"/>
          <w:kern w:val="2"/>
          <w:szCs w:val="23"/>
        </w:rPr>
        <w:t>73,253.66</w:t>
      </w:r>
      <w:r w:rsidRPr="00DA3766">
        <w:rPr>
          <w:rFonts w:ascii="Times New Roman" w:hAnsi="Times New Roman" w:cs="Times New Roman"/>
          <w:kern w:val="2"/>
          <w:szCs w:val="23"/>
        </w:rPr>
        <w:t>万元，</w:t>
      </w:r>
      <w:r w:rsidRPr="00DA3766">
        <w:rPr>
          <w:rFonts w:ascii="Times New Roman" w:hAnsi="Times New Roman" w:cs="Times New Roman"/>
          <w:kern w:val="2"/>
          <w:szCs w:val="23"/>
        </w:rPr>
        <w:t>2024</w:t>
      </w:r>
      <w:r w:rsidRPr="00DA3766">
        <w:rPr>
          <w:rFonts w:ascii="Times New Roman" w:hAnsi="Times New Roman" w:cs="Times New Roman"/>
          <w:kern w:val="2"/>
          <w:szCs w:val="23"/>
        </w:rPr>
        <w:t>年末在手订单金额显著增加，主要系上市公司新业务领域拓展顺利所致。报告期各期末，上市公司在产品的在手订单覆盖率均超过</w:t>
      </w:r>
      <w:r w:rsidRPr="00DA3766">
        <w:rPr>
          <w:rFonts w:ascii="Times New Roman" w:hAnsi="Times New Roman" w:cs="Times New Roman"/>
          <w:kern w:val="2"/>
          <w:szCs w:val="23"/>
        </w:rPr>
        <w:t>100.00%</w:t>
      </w:r>
      <w:r w:rsidRPr="00DA3766">
        <w:rPr>
          <w:rFonts w:ascii="Times New Roman" w:hAnsi="Times New Roman" w:cs="Times New Roman"/>
          <w:kern w:val="2"/>
          <w:szCs w:val="23"/>
        </w:rPr>
        <w:t>，覆盖率均较高。上市公司的采购、交付主要根据特定的业务合同进行，具有较强的订单匹配性和项目进度匹配性，上市公司主要通过招投标取得业务，根据项目进度进行采购，力求控制库存规模，降低存货积压风险，在手订单覆盖率较高符合上市公司项目制的业务模式特征。因此，上市公司存货结构与在手订单相匹配。</w:t>
      </w:r>
    </w:p>
    <w:p w14:paraId="7A616D3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、是否存在周转缓慢或滞销情况</w:t>
      </w:r>
    </w:p>
    <w:p w14:paraId="06A817A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报告期各期末，公司存货周转率与同行业可比公司的对比情况如下：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02"/>
        <w:gridCol w:w="2442"/>
        <w:gridCol w:w="2442"/>
        <w:gridCol w:w="2442"/>
      </w:tblGrid>
      <w:tr w:rsidR="003F2129" w:rsidRPr="00DA3766" w14:paraId="146D1E35" w14:textId="77777777" w:rsidTr="00DA3766">
        <w:trPr>
          <w:trHeight w:val="397"/>
          <w:tblHeader/>
          <w:jc w:val="center"/>
        </w:trPr>
        <w:tc>
          <w:tcPr>
            <w:tcW w:w="704" w:type="pct"/>
            <w:vAlign w:val="center"/>
            <w:hideMark/>
          </w:tcPr>
          <w:p w14:paraId="799F089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w:t>
            </w:r>
          </w:p>
        </w:tc>
        <w:tc>
          <w:tcPr>
            <w:tcW w:w="1432" w:type="pct"/>
            <w:vAlign w:val="center"/>
            <w:hideMark/>
          </w:tcPr>
          <w:p w14:paraId="6519CD9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432" w:type="pct"/>
            <w:vAlign w:val="center"/>
            <w:hideMark/>
          </w:tcPr>
          <w:p w14:paraId="29F1FFF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432" w:type="pct"/>
            <w:vAlign w:val="center"/>
            <w:hideMark/>
          </w:tcPr>
          <w:p w14:paraId="43F476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301E5D55" w14:textId="77777777" w:rsidTr="00DA3766">
        <w:trPr>
          <w:trHeight w:val="397"/>
          <w:jc w:val="center"/>
        </w:trPr>
        <w:tc>
          <w:tcPr>
            <w:tcW w:w="704" w:type="pct"/>
            <w:vAlign w:val="center"/>
            <w:hideMark/>
          </w:tcPr>
          <w:p w14:paraId="392CA3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432" w:type="pct"/>
            <w:vAlign w:val="center"/>
            <w:hideMark/>
          </w:tcPr>
          <w:p w14:paraId="009BAE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w:t>
            </w:r>
          </w:p>
        </w:tc>
        <w:tc>
          <w:tcPr>
            <w:tcW w:w="1432" w:type="pct"/>
            <w:vAlign w:val="center"/>
            <w:hideMark/>
          </w:tcPr>
          <w:p w14:paraId="6F6FED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w:t>
            </w:r>
          </w:p>
        </w:tc>
        <w:tc>
          <w:tcPr>
            <w:tcW w:w="1432" w:type="pct"/>
            <w:vAlign w:val="center"/>
            <w:hideMark/>
          </w:tcPr>
          <w:p w14:paraId="34049D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2.85</w:t>
            </w:r>
          </w:p>
        </w:tc>
      </w:tr>
      <w:tr w:rsidR="003F2129" w:rsidRPr="00DA3766" w14:paraId="3AC8C8B2" w14:textId="77777777" w:rsidTr="00DA3766">
        <w:trPr>
          <w:trHeight w:val="397"/>
          <w:jc w:val="center"/>
        </w:trPr>
        <w:tc>
          <w:tcPr>
            <w:tcW w:w="704" w:type="pct"/>
            <w:vAlign w:val="center"/>
            <w:hideMark/>
          </w:tcPr>
          <w:p w14:paraId="17EF57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432" w:type="pct"/>
            <w:vAlign w:val="center"/>
            <w:hideMark/>
          </w:tcPr>
          <w:p w14:paraId="53FE95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1.93</w:t>
            </w:r>
          </w:p>
        </w:tc>
        <w:tc>
          <w:tcPr>
            <w:tcW w:w="1432" w:type="pct"/>
            <w:vAlign w:val="center"/>
            <w:hideMark/>
          </w:tcPr>
          <w:p w14:paraId="68BE76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3.11</w:t>
            </w:r>
          </w:p>
        </w:tc>
        <w:tc>
          <w:tcPr>
            <w:tcW w:w="1432" w:type="pct"/>
            <w:vAlign w:val="center"/>
            <w:hideMark/>
          </w:tcPr>
          <w:p w14:paraId="6DCBB4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w:t>
            </w:r>
          </w:p>
        </w:tc>
      </w:tr>
      <w:tr w:rsidR="003F2129" w:rsidRPr="00DA3766" w14:paraId="266BD04F" w14:textId="77777777" w:rsidTr="00DA3766">
        <w:trPr>
          <w:trHeight w:val="397"/>
          <w:jc w:val="center"/>
        </w:trPr>
        <w:tc>
          <w:tcPr>
            <w:tcW w:w="704" w:type="pct"/>
            <w:vAlign w:val="center"/>
            <w:hideMark/>
          </w:tcPr>
          <w:p w14:paraId="43C835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432" w:type="pct"/>
            <w:vAlign w:val="center"/>
            <w:hideMark/>
          </w:tcPr>
          <w:p w14:paraId="72C0D0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1.55</w:t>
            </w:r>
          </w:p>
        </w:tc>
        <w:tc>
          <w:tcPr>
            <w:tcW w:w="1432" w:type="pct"/>
            <w:vAlign w:val="center"/>
            <w:hideMark/>
          </w:tcPr>
          <w:p w14:paraId="69FD02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2.04</w:t>
            </w:r>
          </w:p>
        </w:tc>
        <w:tc>
          <w:tcPr>
            <w:tcW w:w="1432" w:type="pct"/>
            <w:vAlign w:val="center"/>
            <w:hideMark/>
          </w:tcPr>
          <w:p w14:paraId="2A5BFF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w:t>
            </w:r>
          </w:p>
        </w:tc>
      </w:tr>
      <w:tr w:rsidR="003F2129" w:rsidRPr="00DA3766" w14:paraId="29460F76" w14:textId="77777777" w:rsidTr="00DA3766">
        <w:trPr>
          <w:trHeight w:val="397"/>
          <w:jc w:val="center"/>
        </w:trPr>
        <w:tc>
          <w:tcPr>
            <w:tcW w:w="704" w:type="pct"/>
            <w:vAlign w:val="center"/>
            <w:hideMark/>
          </w:tcPr>
          <w:p w14:paraId="11233F5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432" w:type="pct"/>
            <w:vAlign w:val="center"/>
            <w:hideMark/>
          </w:tcPr>
          <w:p w14:paraId="1041C1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1.53</w:t>
            </w:r>
          </w:p>
        </w:tc>
        <w:tc>
          <w:tcPr>
            <w:tcW w:w="1432" w:type="pct"/>
            <w:vAlign w:val="center"/>
            <w:hideMark/>
          </w:tcPr>
          <w:p w14:paraId="45B77C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w:t>
            </w:r>
          </w:p>
        </w:tc>
        <w:tc>
          <w:tcPr>
            <w:tcW w:w="1432" w:type="pct"/>
            <w:vAlign w:val="center"/>
            <w:hideMark/>
          </w:tcPr>
          <w:p w14:paraId="2B424B0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1.15</w:t>
            </w:r>
          </w:p>
        </w:tc>
      </w:tr>
      <w:tr w:rsidR="003F2129" w:rsidRPr="00DA3766" w14:paraId="129E6A59" w14:textId="77777777" w:rsidTr="00DA3766">
        <w:trPr>
          <w:trHeight w:val="397"/>
          <w:jc w:val="center"/>
        </w:trPr>
        <w:tc>
          <w:tcPr>
            <w:tcW w:w="704" w:type="pct"/>
            <w:vAlign w:val="center"/>
            <w:hideMark/>
          </w:tcPr>
          <w:p w14:paraId="7FCBDE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432" w:type="pct"/>
            <w:vAlign w:val="center"/>
            <w:hideMark/>
          </w:tcPr>
          <w:p w14:paraId="4B1A73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w:t>
            </w:r>
          </w:p>
        </w:tc>
        <w:tc>
          <w:tcPr>
            <w:tcW w:w="1432" w:type="pct"/>
            <w:vAlign w:val="center"/>
            <w:hideMark/>
          </w:tcPr>
          <w:p w14:paraId="50C440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1.82</w:t>
            </w:r>
          </w:p>
        </w:tc>
        <w:tc>
          <w:tcPr>
            <w:tcW w:w="1432" w:type="pct"/>
            <w:vAlign w:val="center"/>
            <w:hideMark/>
          </w:tcPr>
          <w:p w14:paraId="13D94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w:t>
            </w:r>
          </w:p>
        </w:tc>
      </w:tr>
      <w:tr w:rsidR="003F2129" w:rsidRPr="00DA3766" w14:paraId="56557A24" w14:textId="77777777" w:rsidTr="00DA3766">
        <w:trPr>
          <w:trHeight w:val="397"/>
          <w:jc w:val="center"/>
        </w:trPr>
        <w:tc>
          <w:tcPr>
            <w:tcW w:w="704" w:type="pct"/>
            <w:vAlign w:val="center"/>
            <w:hideMark/>
          </w:tcPr>
          <w:p w14:paraId="6262818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432" w:type="pct"/>
            <w:vAlign w:val="center"/>
            <w:hideMark/>
          </w:tcPr>
          <w:p w14:paraId="781087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0.41</w:t>
            </w:r>
          </w:p>
        </w:tc>
        <w:tc>
          <w:tcPr>
            <w:tcW w:w="1432" w:type="pct"/>
            <w:vAlign w:val="center"/>
            <w:hideMark/>
          </w:tcPr>
          <w:p w14:paraId="2D2E7A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0.96</w:t>
            </w:r>
          </w:p>
        </w:tc>
        <w:tc>
          <w:tcPr>
            <w:tcW w:w="1432" w:type="pct"/>
            <w:vAlign w:val="center"/>
            <w:hideMark/>
          </w:tcPr>
          <w:p w14:paraId="6B19C2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w:t>
            </w:r>
          </w:p>
        </w:tc>
      </w:tr>
      <w:tr w:rsidR="003F2129" w:rsidRPr="00DA3766" w14:paraId="0C05C25C" w14:textId="77777777" w:rsidTr="00DA3766">
        <w:trPr>
          <w:trHeight w:val="397"/>
          <w:jc w:val="center"/>
        </w:trPr>
        <w:tc>
          <w:tcPr>
            <w:tcW w:w="704" w:type="pct"/>
            <w:vAlign w:val="center"/>
            <w:hideMark/>
          </w:tcPr>
          <w:p w14:paraId="283B99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432" w:type="pct"/>
            <w:vAlign w:val="center"/>
            <w:hideMark/>
          </w:tcPr>
          <w:p w14:paraId="1180CA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2.96</w:t>
            </w:r>
          </w:p>
        </w:tc>
        <w:tc>
          <w:tcPr>
            <w:tcW w:w="1432" w:type="pct"/>
            <w:vAlign w:val="center"/>
            <w:hideMark/>
          </w:tcPr>
          <w:p w14:paraId="14D3CF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2.74</w:t>
            </w:r>
          </w:p>
        </w:tc>
        <w:tc>
          <w:tcPr>
            <w:tcW w:w="1432" w:type="pct"/>
            <w:vAlign w:val="center"/>
            <w:hideMark/>
          </w:tcPr>
          <w:p w14:paraId="1CD3FF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2.06</w:t>
            </w:r>
          </w:p>
        </w:tc>
      </w:tr>
      <w:tr w:rsidR="003F2129" w:rsidRPr="00DA3766" w14:paraId="2E314692" w14:textId="77777777" w:rsidTr="00DA3766">
        <w:trPr>
          <w:trHeight w:val="397"/>
          <w:jc w:val="center"/>
        </w:trPr>
        <w:tc>
          <w:tcPr>
            <w:tcW w:w="704" w:type="pct"/>
            <w:vAlign w:val="center"/>
            <w:hideMark/>
          </w:tcPr>
          <w:p w14:paraId="53FE03B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432" w:type="pct"/>
            <w:vAlign w:val="center"/>
            <w:hideMark/>
          </w:tcPr>
          <w:p w14:paraId="52E131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1.68</w:t>
            </w:r>
          </w:p>
        </w:tc>
        <w:tc>
          <w:tcPr>
            <w:tcW w:w="1432" w:type="pct"/>
            <w:vAlign w:val="center"/>
            <w:hideMark/>
          </w:tcPr>
          <w:p w14:paraId="2425F0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2.10</w:t>
            </w:r>
          </w:p>
        </w:tc>
        <w:tc>
          <w:tcPr>
            <w:tcW w:w="1432" w:type="pct"/>
            <w:vAlign w:val="center"/>
            <w:hideMark/>
          </w:tcPr>
          <w:p w14:paraId="5E9250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1.92</w:t>
            </w:r>
          </w:p>
        </w:tc>
      </w:tr>
      <w:tr w:rsidR="003F2129" w:rsidRPr="00DA3766" w14:paraId="6DEEE825" w14:textId="77777777" w:rsidTr="00DA3766">
        <w:trPr>
          <w:trHeight w:val="397"/>
          <w:jc w:val="center"/>
        </w:trPr>
        <w:tc>
          <w:tcPr>
            <w:tcW w:w="704" w:type="pct"/>
            <w:vAlign w:val="center"/>
            <w:hideMark/>
          </w:tcPr>
          <w:p w14:paraId="336D20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432" w:type="pct"/>
            <w:vAlign w:val="center"/>
            <w:hideMark/>
          </w:tcPr>
          <w:p w14:paraId="7C955F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1.55</w:t>
            </w:r>
          </w:p>
        </w:tc>
        <w:tc>
          <w:tcPr>
            <w:tcW w:w="1432" w:type="pct"/>
            <w:vAlign w:val="center"/>
            <w:hideMark/>
          </w:tcPr>
          <w:p w14:paraId="096EEA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2.04</w:t>
            </w:r>
          </w:p>
        </w:tc>
        <w:tc>
          <w:tcPr>
            <w:tcW w:w="1432" w:type="pct"/>
            <w:vAlign w:val="center"/>
            <w:hideMark/>
          </w:tcPr>
          <w:p w14:paraId="7F189A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2.06</w:t>
            </w:r>
          </w:p>
        </w:tc>
      </w:tr>
      <w:tr w:rsidR="003F2129" w:rsidRPr="00DA3766" w14:paraId="5276A353" w14:textId="77777777" w:rsidTr="00DA3766">
        <w:trPr>
          <w:trHeight w:val="397"/>
          <w:jc w:val="center"/>
        </w:trPr>
        <w:tc>
          <w:tcPr>
            <w:tcW w:w="704" w:type="pct"/>
            <w:vAlign w:val="center"/>
            <w:hideMark/>
          </w:tcPr>
          <w:p w14:paraId="014CBF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上市公司</w:t>
            </w:r>
          </w:p>
        </w:tc>
        <w:tc>
          <w:tcPr>
            <w:tcW w:w="1432" w:type="pct"/>
            <w:vAlign w:val="center"/>
            <w:hideMark/>
          </w:tcPr>
          <w:p w14:paraId="785255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3.04</w:t>
            </w:r>
          </w:p>
        </w:tc>
        <w:tc>
          <w:tcPr>
            <w:tcW w:w="1432" w:type="pct"/>
            <w:vAlign w:val="center"/>
            <w:hideMark/>
          </w:tcPr>
          <w:p w14:paraId="09B4E8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7.81</w:t>
            </w:r>
          </w:p>
        </w:tc>
        <w:tc>
          <w:tcPr>
            <w:tcW w:w="1432" w:type="pct"/>
            <w:vAlign w:val="center"/>
            <w:hideMark/>
          </w:tcPr>
          <w:p w14:paraId="7C3684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6.69</w:t>
            </w:r>
          </w:p>
        </w:tc>
      </w:tr>
    </w:tbl>
    <w:p w14:paraId="2C6484E4"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2022</w:t>
      </w:r>
      <w:r w:rsidRPr="00DA3766">
        <w:rPr>
          <w:rFonts w:ascii="Times New Roman" w:hAnsi="Times New Roman" w:cs="Times New Roman"/>
          <w:kern w:val="2"/>
          <w:szCs w:val="21"/>
        </w:rPr>
        <w:t>年度至</w:t>
      </w:r>
      <w:r w:rsidRPr="00DA3766">
        <w:rPr>
          <w:rFonts w:ascii="Times New Roman" w:hAnsi="Times New Roman" w:cs="Times New Roman"/>
          <w:kern w:val="2"/>
          <w:szCs w:val="21"/>
        </w:rPr>
        <w:t>2024</w:t>
      </w:r>
      <w:r w:rsidRPr="00DA3766">
        <w:rPr>
          <w:rFonts w:ascii="Times New Roman" w:hAnsi="Times New Roman" w:cs="Times New Roman"/>
          <w:kern w:val="2"/>
          <w:szCs w:val="21"/>
        </w:rPr>
        <w:t>年度，公司存货周转率分别为</w:t>
      </w:r>
      <w:r w:rsidRPr="00DA3766">
        <w:rPr>
          <w:rFonts w:ascii="Times New Roman" w:hAnsi="Times New Roman" w:cs="Times New Roman"/>
          <w:kern w:val="2"/>
          <w:szCs w:val="21"/>
        </w:rPr>
        <w:t>6.69</w:t>
      </w:r>
      <w:r w:rsidRPr="00DA3766">
        <w:rPr>
          <w:rFonts w:ascii="Times New Roman" w:hAnsi="Times New Roman" w:cs="Times New Roman"/>
          <w:kern w:val="2"/>
          <w:szCs w:val="21"/>
        </w:rPr>
        <w:t>、</w:t>
      </w:r>
      <w:r w:rsidRPr="00DA3766">
        <w:rPr>
          <w:rFonts w:ascii="Times New Roman" w:hAnsi="Times New Roman" w:cs="Times New Roman"/>
          <w:kern w:val="2"/>
          <w:szCs w:val="21"/>
        </w:rPr>
        <w:t>7.81</w:t>
      </w:r>
      <w:r w:rsidRPr="00DA3766">
        <w:rPr>
          <w:rFonts w:ascii="Times New Roman" w:hAnsi="Times New Roman" w:cs="Times New Roman"/>
          <w:kern w:val="2"/>
          <w:szCs w:val="21"/>
        </w:rPr>
        <w:t>、</w:t>
      </w:r>
      <w:r w:rsidRPr="00DA3766">
        <w:rPr>
          <w:rFonts w:ascii="Times New Roman" w:hAnsi="Times New Roman" w:cs="Times New Roman"/>
          <w:kern w:val="2"/>
          <w:szCs w:val="21"/>
        </w:rPr>
        <w:t>3.04</w:t>
      </w:r>
      <w:r w:rsidRPr="00DA3766">
        <w:rPr>
          <w:rFonts w:ascii="Times New Roman" w:hAnsi="Times New Roman" w:cs="Times New Roman"/>
          <w:kern w:val="2"/>
          <w:szCs w:val="21"/>
        </w:rPr>
        <w:t>，变动趋势与同行业可比公司保持一致，整体优于同行业可比公司。其中，</w:t>
      </w:r>
      <w:r w:rsidRPr="00DA3766">
        <w:rPr>
          <w:rFonts w:ascii="Times New Roman" w:hAnsi="Times New Roman" w:cs="Times New Roman"/>
          <w:kern w:val="2"/>
          <w:szCs w:val="21"/>
        </w:rPr>
        <w:t>2024</w:t>
      </w:r>
      <w:r w:rsidRPr="00DA3766">
        <w:rPr>
          <w:rFonts w:ascii="Times New Roman" w:hAnsi="Times New Roman" w:cs="Times New Roman"/>
          <w:kern w:val="2"/>
          <w:szCs w:val="21"/>
        </w:rPr>
        <w:t>年存货周转下降，主要系报告期内受地方客户财政预算不足影响，上市公司部分项目未能如期结项而致使收入未能确认及成本未能结转，上市公司在产品规模显著上升，</w:t>
      </w:r>
      <w:r w:rsidRPr="00DA3766">
        <w:rPr>
          <w:rFonts w:ascii="Times New Roman" w:hAnsi="Times New Roman" w:cs="Times New Roman"/>
          <w:kern w:val="2"/>
          <w:szCs w:val="21"/>
        </w:rPr>
        <w:lastRenderedPageBreak/>
        <w:t>带动存货规模快速增长所致。</w:t>
      </w:r>
    </w:p>
    <w:p w14:paraId="274ADB39"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综上，上市存货主要为在产品，在产品为在建项目的已发生成本，有对应订单支持，不存在周转缓慢或滞销的情况。上市公司存户周转率变动趋势与同行业可比上市公司具备一致性。</w:t>
      </w:r>
    </w:p>
    <w:p w14:paraId="7DC8DC9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（二）上市公司存货规模增长的主要原因，对应存货成本归集、分配、核算是否准确、可靠</w:t>
      </w:r>
    </w:p>
    <w:p w14:paraId="1DC47B1B"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、上市公司存货规模增长的主要原因</w:t>
      </w:r>
    </w:p>
    <w:p w14:paraId="15B38F4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报告期各期末，上市公司存货账面价值结构情况如下：</w:t>
      </w:r>
    </w:p>
    <w:p w14:paraId="248B7F4A"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64"/>
        <w:gridCol w:w="2355"/>
        <w:gridCol w:w="2355"/>
        <w:gridCol w:w="2354"/>
      </w:tblGrid>
      <w:tr w:rsidR="003F2129" w:rsidRPr="00DA3766" w14:paraId="178E4136" w14:textId="77777777" w:rsidTr="00DA3766">
        <w:trPr>
          <w:trHeight w:val="397"/>
          <w:tblHeader/>
          <w:jc w:val="center"/>
        </w:trPr>
        <w:tc>
          <w:tcPr>
            <w:tcW w:w="858" w:type="pct"/>
            <w:vAlign w:val="center"/>
          </w:tcPr>
          <w:p w14:paraId="169F091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1381" w:type="pct"/>
            <w:vAlign w:val="center"/>
          </w:tcPr>
          <w:p w14:paraId="6E2C443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81" w:type="pct"/>
            <w:vAlign w:val="center"/>
          </w:tcPr>
          <w:p w14:paraId="3342E1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81" w:type="pct"/>
            <w:vAlign w:val="center"/>
          </w:tcPr>
          <w:p w14:paraId="27D7A97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195D22A8" w14:textId="77777777" w:rsidTr="00DA3766">
        <w:trPr>
          <w:trHeight w:val="397"/>
          <w:jc w:val="center"/>
        </w:trPr>
        <w:tc>
          <w:tcPr>
            <w:tcW w:w="858" w:type="pct"/>
            <w:vAlign w:val="center"/>
          </w:tcPr>
          <w:p w14:paraId="476860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原材料</w:t>
            </w:r>
          </w:p>
        </w:tc>
        <w:tc>
          <w:tcPr>
            <w:tcW w:w="1381" w:type="pct"/>
            <w:vAlign w:val="center"/>
          </w:tcPr>
          <w:p w14:paraId="0A48FF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108.15</w:t>
            </w:r>
          </w:p>
        </w:tc>
        <w:tc>
          <w:tcPr>
            <w:tcW w:w="1381" w:type="pct"/>
            <w:vAlign w:val="center"/>
          </w:tcPr>
          <w:p w14:paraId="2D81CE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167.67</w:t>
            </w:r>
          </w:p>
        </w:tc>
        <w:tc>
          <w:tcPr>
            <w:tcW w:w="1381" w:type="pct"/>
            <w:vAlign w:val="center"/>
          </w:tcPr>
          <w:p w14:paraId="67EA0F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185.42</w:t>
            </w:r>
          </w:p>
        </w:tc>
      </w:tr>
      <w:tr w:rsidR="003F2129" w:rsidRPr="00DA3766" w14:paraId="235BEFE8" w14:textId="77777777" w:rsidTr="00DA3766">
        <w:trPr>
          <w:trHeight w:val="397"/>
          <w:jc w:val="center"/>
        </w:trPr>
        <w:tc>
          <w:tcPr>
            <w:tcW w:w="858" w:type="pct"/>
            <w:vAlign w:val="center"/>
          </w:tcPr>
          <w:p w14:paraId="25074A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在产品</w:t>
            </w:r>
          </w:p>
        </w:tc>
        <w:tc>
          <w:tcPr>
            <w:tcW w:w="1381" w:type="pct"/>
            <w:vAlign w:val="center"/>
          </w:tcPr>
          <w:p w14:paraId="23CC22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7,858.20</w:t>
            </w:r>
          </w:p>
        </w:tc>
        <w:tc>
          <w:tcPr>
            <w:tcW w:w="1381" w:type="pct"/>
            <w:vAlign w:val="center"/>
          </w:tcPr>
          <w:p w14:paraId="696139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2,539.63</w:t>
            </w:r>
          </w:p>
        </w:tc>
        <w:tc>
          <w:tcPr>
            <w:tcW w:w="1381" w:type="pct"/>
            <w:vAlign w:val="center"/>
          </w:tcPr>
          <w:p w14:paraId="51DCEC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3,750.37</w:t>
            </w:r>
          </w:p>
        </w:tc>
      </w:tr>
      <w:tr w:rsidR="003F2129" w:rsidRPr="00DA3766" w14:paraId="49CC4930" w14:textId="77777777" w:rsidTr="00DA3766">
        <w:trPr>
          <w:trHeight w:val="397"/>
          <w:jc w:val="center"/>
        </w:trPr>
        <w:tc>
          <w:tcPr>
            <w:tcW w:w="858" w:type="pct"/>
            <w:vAlign w:val="center"/>
          </w:tcPr>
          <w:p w14:paraId="190F4E0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库存商品</w:t>
            </w:r>
          </w:p>
        </w:tc>
        <w:tc>
          <w:tcPr>
            <w:tcW w:w="1381" w:type="pct"/>
            <w:vAlign w:val="center"/>
          </w:tcPr>
          <w:p w14:paraId="7B3240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106.07</w:t>
            </w:r>
          </w:p>
        </w:tc>
        <w:tc>
          <w:tcPr>
            <w:tcW w:w="1381" w:type="pct"/>
            <w:vAlign w:val="center"/>
          </w:tcPr>
          <w:p w14:paraId="51DFAC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943.14</w:t>
            </w:r>
          </w:p>
        </w:tc>
        <w:tc>
          <w:tcPr>
            <w:tcW w:w="1381" w:type="pct"/>
            <w:vAlign w:val="center"/>
          </w:tcPr>
          <w:p w14:paraId="0CE50A6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44.81</w:t>
            </w:r>
          </w:p>
        </w:tc>
      </w:tr>
      <w:tr w:rsidR="003F2129" w:rsidRPr="00DA3766" w14:paraId="1DAAEA7A" w14:textId="77777777" w:rsidTr="00DA3766">
        <w:trPr>
          <w:trHeight w:val="397"/>
          <w:jc w:val="center"/>
        </w:trPr>
        <w:tc>
          <w:tcPr>
            <w:tcW w:w="858" w:type="pct"/>
            <w:vAlign w:val="center"/>
          </w:tcPr>
          <w:p w14:paraId="3D208C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发出商品</w:t>
            </w:r>
          </w:p>
        </w:tc>
        <w:tc>
          <w:tcPr>
            <w:tcW w:w="1381" w:type="pct"/>
            <w:vAlign w:val="center"/>
          </w:tcPr>
          <w:p w14:paraId="24B64C3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49.76</w:t>
            </w:r>
          </w:p>
        </w:tc>
        <w:tc>
          <w:tcPr>
            <w:tcW w:w="1381" w:type="pct"/>
            <w:vAlign w:val="center"/>
          </w:tcPr>
          <w:p w14:paraId="0095BD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81.00</w:t>
            </w:r>
          </w:p>
        </w:tc>
        <w:tc>
          <w:tcPr>
            <w:tcW w:w="1381" w:type="pct"/>
            <w:vAlign w:val="center"/>
          </w:tcPr>
          <w:p w14:paraId="0B8C3A7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34.53</w:t>
            </w:r>
          </w:p>
        </w:tc>
      </w:tr>
      <w:tr w:rsidR="003F2129" w:rsidRPr="00DA3766" w14:paraId="7BEABEB5" w14:textId="77777777" w:rsidTr="00DA3766">
        <w:trPr>
          <w:trHeight w:val="397"/>
          <w:jc w:val="center"/>
        </w:trPr>
        <w:tc>
          <w:tcPr>
            <w:tcW w:w="858" w:type="pct"/>
            <w:vAlign w:val="center"/>
          </w:tcPr>
          <w:p w14:paraId="40F21F1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合计</w:t>
            </w:r>
          </w:p>
        </w:tc>
        <w:tc>
          <w:tcPr>
            <w:tcW w:w="1381" w:type="pct"/>
            <w:vAlign w:val="center"/>
          </w:tcPr>
          <w:p w14:paraId="23A0034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8,122.18</w:t>
            </w:r>
          </w:p>
        </w:tc>
        <w:tc>
          <w:tcPr>
            <w:tcW w:w="1381" w:type="pct"/>
            <w:vAlign w:val="center"/>
          </w:tcPr>
          <w:p w14:paraId="4CAB4A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3,731.42</w:t>
            </w:r>
          </w:p>
        </w:tc>
        <w:tc>
          <w:tcPr>
            <w:tcW w:w="1381" w:type="pct"/>
            <w:vAlign w:val="center"/>
          </w:tcPr>
          <w:p w14:paraId="625542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4,015.12</w:t>
            </w:r>
          </w:p>
        </w:tc>
      </w:tr>
    </w:tbl>
    <w:p w14:paraId="77A30EE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14:ligatures w14:val="standardContextual"/>
        </w:rPr>
      </w:pPr>
      <w:r w:rsidRPr="00DA3766">
        <w:rPr>
          <w:rFonts w:ascii="Times New Roman" w:hAnsi="Times New Roman" w:cs="Times New Roman"/>
          <w:kern w:val="2"/>
          <w:szCs w:val="21"/>
        </w:rPr>
        <w:t>2022</w:t>
      </w:r>
      <w:r w:rsidRPr="00DA3766">
        <w:rPr>
          <w:rFonts w:ascii="Times New Roman" w:hAnsi="Times New Roman" w:cs="Times New Roman"/>
          <w:kern w:val="2"/>
          <w:szCs w:val="21"/>
        </w:rPr>
        <w:t>年度至</w:t>
      </w:r>
      <w:r w:rsidRPr="00DA3766">
        <w:rPr>
          <w:rFonts w:ascii="Times New Roman" w:hAnsi="Times New Roman" w:cs="Times New Roman"/>
          <w:kern w:val="2"/>
          <w:szCs w:val="21"/>
        </w:rPr>
        <w:t>2024</w:t>
      </w:r>
      <w:r w:rsidRPr="00DA3766">
        <w:rPr>
          <w:rFonts w:ascii="Times New Roman" w:hAnsi="Times New Roman" w:cs="Times New Roman"/>
          <w:kern w:val="2"/>
          <w:szCs w:val="21"/>
        </w:rPr>
        <w:t>年度，上市公司存货规模增长主要系在产品（在建项目）规模增长所致。受地方客户财政预算不足影响，上市公司部分项目未能如期结项而致使收入未能确认及成本未能结转，上市公司在产品规模显著上升，带动存货规模快速增长。</w:t>
      </w:r>
    </w:p>
    <w:p w14:paraId="457EA195"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、存货成本归集、分配、核算是否准确、可靠</w:t>
      </w:r>
    </w:p>
    <w:p w14:paraId="2609B4D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rPr>
        <w:t>上市公司存货核算遵照企业会计准则规定，</w:t>
      </w:r>
      <w:r w:rsidRPr="00DA3766">
        <w:rPr>
          <w:rFonts w:ascii="Times New Roman" w:hAnsi="Times New Roman" w:cs="Times New Roman"/>
          <w:kern w:val="2"/>
          <w14:ligatures w14:val="standardContextual"/>
        </w:rPr>
        <w:t>存货在取得时按实际成本计价，存货成本包括采购成本、加工成本和其他成本。领用和发出时按加权平均法计价。其中项目成本归集，按照项目领料单归集每个项目的材料成本、设备成本，此部分项目上体现为直接材料，项目发生的人工、劳务成本按照每个项目耗用的工时比例进行人工及劳务成本分摊并记录为直接人工、劳务及服务费，其他零星成本按照各个项目发生额归集，出现项目共享时按照工时比例分摊，经上述归集与分摊后，形成每个项目的项目成本，在确认项目收入时同步结转对应的项目成本，在建项目成本会计核算科目为在产品。</w:t>
      </w:r>
    </w:p>
    <w:p w14:paraId="5D6C2CB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上市公司建立了完整的内部控制制度并严格执行，能够保障在产品成本归集、分配、核算的准确性、可靠性。上市公司制定了完善的内部控制制度，规范从预算、采购、领用、工时记录到成本归集、决算的全流程。公司应用</w:t>
      </w:r>
      <w:r w:rsidRPr="00DA3766">
        <w:rPr>
          <w:rFonts w:ascii="Times New Roman" w:hAnsi="Times New Roman" w:cs="Times New Roman"/>
          <w:kern w:val="2"/>
          <w14:ligatures w14:val="standardContextual"/>
        </w:rPr>
        <w:t>ERP</w:t>
      </w:r>
      <w:r w:rsidRPr="00DA3766">
        <w:rPr>
          <w:rFonts w:ascii="Times New Roman" w:hAnsi="Times New Roman" w:cs="Times New Roman"/>
          <w:kern w:val="2"/>
          <w14:ligatures w14:val="standardContextual"/>
        </w:rPr>
        <w:t>、项目管理等信息系统，实现业务流、物流与财务流的集成，确保成本数据归集的及时性和对应关系的准确性。公司建立了有效的内控体系，确保成本能够清晰、准确地追溯至具体的合同项目。</w:t>
      </w:r>
    </w:p>
    <w:p w14:paraId="19FB7B2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综上，上市公司在产品均有在手订单支持，存货周转率优于同行业平均水平，不存在周转缓慢或滞销情况，</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在产品账面价值显著上升，主要系受地方客户财政资金预算不足，上市公司部分项目未能如期结项而致使收入未能确认进而导致对应项目成本未能结转损益并形成在产品所致。上市公司成本归集、分配、核算准确、可靠。</w:t>
      </w:r>
    </w:p>
    <w:p w14:paraId="5FB0AD35"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九、上市公司算力项目、光伏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p>
    <w:p w14:paraId="17F1B7E0"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算力项目、光伏业务采购设备的对应供应商的基本情况（包括但不限于名称、成立时间、注册资本及人员规模、业务规模、其同上市公司是否存在关联关系）、采购数量、采购日期、交付日期、验收日期、采购价格及同期市场价格</w:t>
      </w:r>
    </w:p>
    <w:p w14:paraId="2F27DC40" w14:textId="1BD98808" w:rsidR="003F2129" w:rsidRPr="00DA3766" w:rsidRDefault="00DA3766" w:rsidP="00DA3766">
      <w:pPr>
        <w:keepNext/>
        <w:keepLines/>
        <w:widowControl w:val="0"/>
        <w:spacing w:before="120" w:after="120"/>
        <w:ind w:left="848" w:firstLineChars="0" w:hanging="366"/>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ab/>
      </w:r>
      <w:r w:rsidR="003F2129" w:rsidRPr="00DA3766">
        <w:rPr>
          <w:rFonts w:ascii="Times New Roman" w:hAnsi="Times New Roman" w:cs="Times New Roman"/>
          <w:b/>
          <w:bCs/>
          <w:kern w:val="2"/>
          <w:szCs w:val="28"/>
        </w:rPr>
        <w:t>算力项目设备采购对应供应商的基本情况</w:t>
      </w:r>
    </w:p>
    <w:p w14:paraId="27394EDB" w14:textId="5C469BF2" w:rsidR="003F2129" w:rsidRPr="00DA3766" w:rsidRDefault="00DA3766" w:rsidP="00DA3766">
      <w:pPr>
        <w:widowControl w:val="0"/>
        <w:snapToGrid w:val="0"/>
        <w:spacing w:before="120" w:afterLines="0" w:after="0"/>
        <w:ind w:left="1200" w:firstLineChars="0" w:hanging="720"/>
        <w:contextualSpacing/>
        <w:jc w:val="both"/>
        <w:rPr>
          <w:rFonts w:ascii="Times New Roman" w:hAnsi="Times New Roman" w:cs="Times New Roman"/>
          <w:bCs/>
          <w:kern w:val="2"/>
          <w:szCs w:val="32"/>
        </w:rPr>
      </w:pPr>
      <w:r w:rsidRPr="00DA3766">
        <w:rPr>
          <w:rFonts w:ascii="Times New Roman" w:hAnsi="Times New Roman" w:cs="Times New Roman"/>
          <w:bCs/>
          <w:kern w:val="2"/>
          <w:szCs w:val="32"/>
        </w:rPr>
        <w:t>（</w:t>
      </w:r>
      <w:r w:rsidRPr="00DA3766">
        <w:rPr>
          <w:rFonts w:ascii="Times New Roman" w:hAnsi="Times New Roman" w:cs="Times New Roman"/>
          <w:bCs/>
          <w:kern w:val="2"/>
          <w:szCs w:val="32"/>
        </w:rPr>
        <w:t>1</w:t>
      </w:r>
      <w:r w:rsidRPr="00DA3766">
        <w:rPr>
          <w:rFonts w:ascii="Times New Roman" w:hAnsi="Times New Roman" w:cs="Times New Roman"/>
          <w:bCs/>
          <w:kern w:val="2"/>
          <w:szCs w:val="32"/>
        </w:rPr>
        <w:t>）</w:t>
      </w:r>
      <w:r w:rsidRPr="00DA3766">
        <w:rPr>
          <w:rFonts w:ascii="Times New Roman" w:hAnsi="Times New Roman" w:cs="Times New Roman"/>
          <w:bCs/>
          <w:kern w:val="2"/>
          <w:szCs w:val="32"/>
        </w:rPr>
        <w:tab/>
      </w:r>
      <w:r w:rsidR="003F2129" w:rsidRPr="00DA3766">
        <w:rPr>
          <w:rFonts w:ascii="Times New Roman" w:hAnsi="Times New Roman" w:cs="Times New Roman"/>
          <w:bCs/>
          <w:kern w:val="2"/>
          <w:szCs w:val="32"/>
        </w:rPr>
        <w:t>算力项目设备采购对应供应商基本信息</w:t>
      </w:r>
    </w:p>
    <w:p w14:paraId="5C92E59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算力项目设备的供应商为北京中嘉汇溪科技有限公司、上海弘仁国际贸易有限公司、杏蕴（厦门）贸易有限公司和深圳申服信息科技有限公司，以上供应商与上市公司不存在关联方关系，股东之间亦不存在关联方关系，具体情况如下：</w:t>
      </w:r>
    </w:p>
    <w:p w14:paraId="0A7F07B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①</w:t>
      </w:r>
      <w:r w:rsidRPr="00DA3766">
        <w:rPr>
          <w:rFonts w:ascii="Times New Roman" w:hAnsi="Times New Roman" w:cs="Times New Roman"/>
          <w:kern w:val="2"/>
          <w14:ligatures w14:val="standardContextual"/>
        </w:rPr>
        <w:t>北京中嘉汇溪科技有限公司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2E905F13" w14:textId="77777777" w:rsidTr="00DA3766">
        <w:trPr>
          <w:trHeight w:val="397"/>
          <w:jc w:val="center"/>
        </w:trPr>
        <w:tc>
          <w:tcPr>
            <w:tcW w:w="895" w:type="pct"/>
            <w:vAlign w:val="center"/>
          </w:tcPr>
          <w:p w14:paraId="46577E86"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lastRenderedPageBreak/>
              <w:t>名称</w:t>
            </w:r>
          </w:p>
        </w:tc>
        <w:tc>
          <w:tcPr>
            <w:tcW w:w="4105" w:type="pct"/>
            <w:vAlign w:val="center"/>
          </w:tcPr>
          <w:p w14:paraId="259DB75E"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北京中嘉汇溪科技有限公司</w:t>
            </w:r>
          </w:p>
        </w:tc>
      </w:tr>
      <w:tr w:rsidR="003F2129" w:rsidRPr="00DA3766" w14:paraId="10B62A74" w14:textId="77777777" w:rsidTr="00DA3766">
        <w:trPr>
          <w:trHeight w:val="397"/>
          <w:jc w:val="center"/>
        </w:trPr>
        <w:tc>
          <w:tcPr>
            <w:tcW w:w="895" w:type="pct"/>
            <w:vAlign w:val="center"/>
          </w:tcPr>
          <w:p w14:paraId="739C32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4A3C91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林翔</w:t>
            </w:r>
          </w:p>
        </w:tc>
      </w:tr>
      <w:tr w:rsidR="003F2129" w:rsidRPr="00DA3766" w14:paraId="550152CC" w14:textId="77777777" w:rsidTr="00DA3766">
        <w:trPr>
          <w:trHeight w:val="397"/>
          <w:jc w:val="center"/>
        </w:trPr>
        <w:tc>
          <w:tcPr>
            <w:tcW w:w="895" w:type="pct"/>
            <w:vAlign w:val="center"/>
          </w:tcPr>
          <w:p w14:paraId="37876E5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61A012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2010-10-27</w:t>
            </w:r>
          </w:p>
        </w:tc>
      </w:tr>
      <w:tr w:rsidR="003F2129" w:rsidRPr="00DA3766" w14:paraId="066D4AEF" w14:textId="77777777" w:rsidTr="00DA3766">
        <w:trPr>
          <w:trHeight w:val="397"/>
          <w:jc w:val="center"/>
        </w:trPr>
        <w:tc>
          <w:tcPr>
            <w:tcW w:w="895" w:type="pct"/>
            <w:vAlign w:val="center"/>
          </w:tcPr>
          <w:p w14:paraId="2ED24F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553251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1,000.00</w:t>
            </w:r>
            <w:r w:rsidRPr="00DA3766">
              <w:rPr>
                <w:rFonts w:ascii="Times New Roman" w:hAnsi="Times New Roman" w:cs="Times New Roman"/>
                <w:color w:val="000000"/>
                <w:kern w:val="2"/>
                <w:sz w:val="21"/>
                <w14:ligatures w14:val="standardContextual"/>
              </w:rPr>
              <w:t>万元</w:t>
            </w:r>
            <w:r w:rsidRPr="00DA3766">
              <w:rPr>
                <w:rFonts w:ascii="Times New Roman" w:hAnsi="Times New Roman" w:cs="Times New Roman"/>
                <w:color w:val="000000"/>
                <w:kern w:val="2"/>
                <w:sz w:val="21"/>
                <w14:ligatures w14:val="standardContextual"/>
              </w:rPr>
              <w:tab/>
            </w:r>
          </w:p>
        </w:tc>
      </w:tr>
      <w:tr w:rsidR="003F2129" w:rsidRPr="00DA3766" w14:paraId="79F82B88" w14:textId="77777777" w:rsidTr="00DA3766">
        <w:trPr>
          <w:trHeight w:val="397"/>
          <w:jc w:val="center"/>
        </w:trPr>
        <w:tc>
          <w:tcPr>
            <w:tcW w:w="895" w:type="pct"/>
            <w:vAlign w:val="center"/>
          </w:tcPr>
          <w:p w14:paraId="29E065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20A1CB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田崇芬</w:t>
            </w:r>
            <w:r w:rsidRPr="00DA3766">
              <w:rPr>
                <w:rFonts w:ascii="Times New Roman" w:hAnsi="Times New Roman" w:cs="Times New Roman"/>
                <w:color w:val="000000"/>
                <w:kern w:val="2"/>
                <w:sz w:val="21"/>
                <w14:ligatures w14:val="standardContextual"/>
              </w:rPr>
              <w:t>70.00%</w:t>
            </w:r>
            <w:r w:rsidRPr="00DA3766">
              <w:rPr>
                <w:rFonts w:ascii="Times New Roman" w:hAnsi="Times New Roman" w:cs="Times New Roman"/>
                <w:color w:val="000000"/>
                <w:kern w:val="2"/>
                <w:sz w:val="21"/>
                <w14:ligatures w14:val="standardContextual"/>
              </w:rPr>
              <w:t>；刘晶莹</w:t>
            </w:r>
            <w:r w:rsidRPr="00DA3766">
              <w:rPr>
                <w:rFonts w:ascii="Times New Roman" w:hAnsi="Times New Roman" w:cs="Times New Roman"/>
                <w:color w:val="000000"/>
                <w:kern w:val="2"/>
                <w:sz w:val="21"/>
                <w14:ligatures w14:val="standardContextual"/>
              </w:rPr>
              <w:t>30.00%</w:t>
            </w:r>
          </w:p>
        </w:tc>
      </w:tr>
      <w:tr w:rsidR="003F2129" w:rsidRPr="00DA3766" w14:paraId="662F3630" w14:textId="77777777" w:rsidTr="00DA3766">
        <w:trPr>
          <w:trHeight w:val="397"/>
          <w:jc w:val="center"/>
        </w:trPr>
        <w:tc>
          <w:tcPr>
            <w:tcW w:w="895" w:type="pct"/>
            <w:vAlign w:val="center"/>
          </w:tcPr>
          <w:p w14:paraId="40AAF0E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78E78D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78E40A71" w14:textId="77777777" w:rsidTr="00DA3766">
        <w:trPr>
          <w:trHeight w:val="397"/>
          <w:jc w:val="center"/>
        </w:trPr>
        <w:tc>
          <w:tcPr>
            <w:tcW w:w="895" w:type="pct"/>
            <w:vAlign w:val="center"/>
          </w:tcPr>
          <w:p w14:paraId="3C3EBD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4E0A36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4B30F1EA" w14:textId="77777777" w:rsidTr="00DA3766">
        <w:trPr>
          <w:trHeight w:val="397"/>
          <w:jc w:val="center"/>
        </w:trPr>
        <w:tc>
          <w:tcPr>
            <w:tcW w:w="895" w:type="pct"/>
            <w:vAlign w:val="center"/>
          </w:tcPr>
          <w:p w14:paraId="5F7179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F6044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北京市西城区茶马街</w:t>
            </w:r>
            <w:r w:rsidRPr="00DA3766">
              <w:rPr>
                <w:rFonts w:ascii="Times New Roman" w:hAnsi="Times New Roman" w:cs="Times New Roman"/>
                <w:color w:val="000000"/>
                <w:kern w:val="2"/>
                <w:sz w:val="21"/>
                <w14:ligatures w14:val="standardContextual"/>
              </w:rPr>
              <w:t>8</w:t>
            </w:r>
            <w:r w:rsidRPr="00DA3766">
              <w:rPr>
                <w:rFonts w:ascii="Times New Roman" w:hAnsi="Times New Roman" w:cs="Times New Roman"/>
                <w:color w:val="000000"/>
                <w:kern w:val="2"/>
                <w:sz w:val="21"/>
                <w14:ligatures w14:val="standardContextual"/>
              </w:rPr>
              <w:t>号院</w:t>
            </w: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号楼</w:t>
            </w:r>
            <w:r w:rsidRPr="00DA3766">
              <w:rPr>
                <w:rFonts w:ascii="Times New Roman" w:hAnsi="Times New Roman" w:cs="Times New Roman"/>
                <w:color w:val="000000"/>
                <w:kern w:val="2"/>
                <w:sz w:val="21"/>
                <w14:ligatures w14:val="standardContextual"/>
              </w:rPr>
              <w:t>13</w:t>
            </w:r>
            <w:r w:rsidRPr="00DA3766">
              <w:rPr>
                <w:rFonts w:ascii="Times New Roman" w:hAnsi="Times New Roman" w:cs="Times New Roman"/>
                <w:color w:val="000000"/>
                <w:kern w:val="2"/>
                <w:sz w:val="21"/>
                <w14:ligatures w14:val="standardContextual"/>
              </w:rPr>
              <w:t>层</w:t>
            </w:r>
            <w:r w:rsidRPr="00DA3766">
              <w:rPr>
                <w:rFonts w:ascii="Times New Roman" w:hAnsi="Times New Roman" w:cs="Times New Roman"/>
                <w:color w:val="000000"/>
                <w:kern w:val="2"/>
                <w:sz w:val="21"/>
                <w14:ligatures w14:val="standardContextual"/>
              </w:rPr>
              <w:t>1305</w:t>
            </w:r>
          </w:p>
        </w:tc>
      </w:tr>
      <w:tr w:rsidR="003F2129" w:rsidRPr="00DA3766" w14:paraId="671DE246" w14:textId="77777777" w:rsidTr="00DA3766">
        <w:trPr>
          <w:trHeight w:val="397"/>
          <w:jc w:val="center"/>
        </w:trPr>
        <w:tc>
          <w:tcPr>
            <w:tcW w:w="895" w:type="pct"/>
            <w:vAlign w:val="center"/>
          </w:tcPr>
          <w:p w14:paraId="2FBD6A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10B768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技术服务、技术开发、技术咨询、技术交流、技术转让、技术推广；计算机软硬件及辅助设备批发；软件销售；软件开发；通讯设备销售；电子产品销售；机械设备销售；日用品批发；金属材料销售；文具用品批发；体育用品及器材零售；信息咨询服务（不含许可类信息咨询服务）；信息技术咨询服务；社会经济咨询服务；货物进出口；技术进出口；教育咨询服务（不含涉许可审批的教育培训活动）；会议及展览服务；组织文化艺术交流活动。（除依法须经批准的项目外，凭营业执照依法自主开展经营活动）许可项目：第一类增值电信业务；互联网信息服务；基础电信业务；第二类增值电信业务。（依法须经批准的项目，经相关部门批准后方可开展经营活动，具体经营项目以相关部门批准文件或许可证件为准）（不得从事国家和本市产业政策禁止和限制类项目的经营活动。）</w:t>
            </w:r>
          </w:p>
        </w:tc>
      </w:tr>
    </w:tbl>
    <w:p w14:paraId="007E979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②</w:t>
      </w:r>
      <w:r w:rsidRPr="00DA3766">
        <w:rPr>
          <w:rFonts w:ascii="Times New Roman" w:hAnsi="Times New Roman" w:cs="Times New Roman"/>
          <w:kern w:val="2"/>
          <w14:ligatures w14:val="standardContextual"/>
        </w:rPr>
        <w:t>上海弘仁国际贸易有限公司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4E567D10" w14:textId="77777777" w:rsidTr="00DA3766">
        <w:trPr>
          <w:trHeight w:val="397"/>
          <w:jc w:val="center"/>
        </w:trPr>
        <w:tc>
          <w:tcPr>
            <w:tcW w:w="895" w:type="pct"/>
            <w:vAlign w:val="center"/>
          </w:tcPr>
          <w:p w14:paraId="138913A8"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0CC3CB2F"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上海弘仁国际贸易有限公司</w:t>
            </w:r>
          </w:p>
        </w:tc>
      </w:tr>
      <w:tr w:rsidR="003F2129" w:rsidRPr="00DA3766" w14:paraId="31B95E1A" w14:textId="77777777" w:rsidTr="00DA3766">
        <w:trPr>
          <w:trHeight w:val="397"/>
          <w:jc w:val="center"/>
        </w:trPr>
        <w:tc>
          <w:tcPr>
            <w:tcW w:w="895" w:type="pct"/>
            <w:vAlign w:val="center"/>
          </w:tcPr>
          <w:p w14:paraId="6708AC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52D789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李舵</w:t>
            </w:r>
          </w:p>
        </w:tc>
      </w:tr>
      <w:tr w:rsidR="003F2129" w:rsidRPr="00DA3766" w14:paraId="0B318E55" w14:textId="77777777" w:rsidTr="00DA3766">
        <w:trPr>
          <w:trHeight w:val="397"/>
          <w:jc w:val="center"/>
        </w:trPr>
        <w:tc>
          <w:tcPr>
            <w:tcW w:w="895" w:type="pct"/>
            <w:vAlign w:val="center"/>
          </w:tcPr>
          <w:p w14:paraId="2F5BDCF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7238E1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2011-05-16</w:t>
            </w:r>
          </w:p>
        </w:tc>
      </w:tr>
      <w:tr w:rsidR="003F2129" w:rsidRPr="00DA3766" w14:paraId="0AA4A6C2" w14:textId="77777777" w:rsidTr="00DA3766">
        <w:trPr>
          <w:trHeight w:val="397"/>
          <w:jc w:val="center"/>
        </w:trPr>
        <w:tc>
          <w:tcPr>
            <w:tcW w:w="895" w:type="pct"/>
            <w:vAlign w:val="center"/>
          </w:tcPr>
          <w:p w14:paraId="072DF7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09833C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10,000.00</w:t>
            </w:r>
            <w:r w:rsidRPr="00DA3766">
              <w:rPr>
                <w:rFonts w:ascii="Times New Roman" w:hAnsi="Times New Roman" w:cs="Times New Roman"/>
                <w:color w:val="000000"/>
                <w:kern w:val="2"/>
                <w:sz w:val="21"/>
                <w14:ligatures w14:val="standardContextual"/>
              </w:rPr>
              <w:t>万元</w:t>
            </w:r>
          </w:p>
        </w:tc>
      </w:tr>
      <w:tr w:rsidR="003F2129" w:rsidRPr="00DA3766" w14:paraId="4E317196" w14:textId="77777777" w:rsidTr="00DA3766">
        <w:trPr>
          <w:trHeight w:val="397"/>
          <w:jc w:val="center"/>
        </w:trPr>
        <w:tc>
          <w:tcPr>
            <w:tcW w:w="895" w:type="pct"/>
            <w:vAlign w:val="center"/>
          </w:tcPr>
          <w:p w14:paraId="699E0B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6F3137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李舵</w:t>
            </w:r>
            <w:r w:rsidRPr="00DA3766">
              <w:rPr>
                <w:rFonts w:ascii="Times New Roman" w:hAnsi="Times New Roman" w:cs="Times New Roman"/>
                <w:color w:val="000000"/>
                <w:kern w:val="2"/>
                <w:sz w:val="21"/>
                <w14:ligatures w14:val="standardContextual"/>
              </w:rPr>
              <w:t>90.00%</w:t>
            </w:r>
            <w:r w:rsidRPr="00DA3766">
              <w:rPr>
                <w:rFonts w:ascii="Times New Roman" w:hAnsi="Times New Roman" w:cs="Times New Roman"/>
                <w:color w:val="000000"/>
                <w:kern w:val="2"/>
                <w:sz w:val="21"/>
                <w14:ligatures w14:val="standardContextual"/>
              </w:rPr>
              <w:t>；巴杏芬</w:t>
            </w:r>
            <w:r w:rsidRPr="00DA3766">
              <w:rPr>
                <w:rFonts w:ascii="Times New Roman" w:hAnsi="Times New Roman" w:cs="Times New Roman"/>
                <w:color w:val="000000"/>
                <w:kern w:val="2"/>
                <w:sz w:val="21"/>
                <w14:ligatures w14:val="standardContextual"/>
              </w:rPr>
              <w:t>10.00%</w:t>
            </w:r>
          </w:p>
        </w:tc>
      </w:tr>
      <w:tr w:rsidR="003F2129" w:rsidRPr="00DA3766" w14:paraId="37696F10" w14:textId="77777777" w:rsidTr="00DA3766">
        <w:trPr>
          <w:trHeight w:val="397"/>
          <w:jc w:val="center"/>
        </w:trPr>
        <w:tc>
          <w:tcPr>
            <w:tcW w:w="895" w:type="pct"/>
            <w:vAlign w:val="center"/>
          </w:tcPr>
          <w:p w14:paraId="59DF79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6D3222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25EA7D06" w14:textId="77777777" w:rsidTr="00DA3766">
        <w:trPr>
          <w:trHeight w:val="397"/>
          <w:jc w:val="center"/>
        </w:trPr>
        <w:tc>
          <w:tcPr>
            <w:tcW w:w="895" w:type="pct"/>
            <w:vAlign w:val="center"/>
          </w:tcPr>
          <w:p w14:paraId="62D68A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5B88B0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6A459DE6" w14:textId="77777777" w:rsidTr="00DA3766">
        <w:trPr>
          <w:trHeight w:val="397"/>
          <w:jc w:val="center"/>
        </w:trPr>
        <w:tc>
          <w:tcPr>
            <w:tcW w:w="895" w:type="pct"/>
            <w:vAlign w:val="center"/>
          </w:tcPr>
          <w:p w14:paraId="2FCB1A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DC6AF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上海市普陀区祁连山路</w:t>
            </w:r>
            <w:r w:rsidRPr="00DA3766">
              <w:rPr>
                <w:rFonts w:ascii="Times New Roman" w:hAnsi="Times New Roman" w:cs="Times New Roman"/>
                <w:color w:val="000000"/>
                <w:kern w:val="2"/>
                <w:sz w:val="21"/>
                <w14:ligatures w14:val="standardContextual"/>
              </w:rPr>
              <w:t>1035</w:t>
            </w:r>
            <w:r w:rsidRPr="00DA3766">
              <w:rPr>
                <w:rFonts w:ascii="Times New Roman" w:hAnsi="Times New Roman" w:cs="Times New Roman"/>
                <w:color w:val="000000"/>
                <w:kern w:val="2"/>
                <w:sz w:val="21"/>
                <w14:ligatures w14:val="standardContextual"/>
              </w:rPr>
              <w:t>弄</w:t>
            </w:r>
            <w:r w:rsidRPr="00DA3766">
              <w:rPr>
                <w:rFonts w:ascii="Times New Roman" w:hAnsi="Times New Roman" w:cs="Times New Roman"/>
                <w:color w:val="000000"/>
                <w:kern w:val="2"/>
                <w:sz w:val="21"/>
                <w14:ligatures w14:val="standardContextual"/>
              </w:rPr>
              <w:t>188</w:t>
            </w:r>
            <w:r w:rsidRPr="00DA3766">
              <w:rPr>
                <w:rFonts w:ascii="Times New Roman" w:hAnsi="Times New Roman" w:cs="Times New Roman"/>
                <w:color w:val="000000"/>
                <w:kern w:val="2"/>
                <w:sz w:val="21"/>
                <w14:ligatures w14:val="standardContextual"/>
              </w:rPr>
              <w:t>号</w:t>
            </w:r>
            <w:r w:rsidRPr="00DA3766">
              <w:rPr>
                <w:rFonts w:ascii="Times New Roman" w:hAnsi="Times New Roman" w:cs="Times New Roman"/>
                <w:color w:val="000000"/>
                <w:kern w:val="2"/>
                <w:sz w:val="21"/>
                <w14:ligatures w14:val="standardContextual"/>
              </w:rPr>
              <w:t>4</w:t>
            </w:r>
            <w:r w:rsidRPr="00DA3766">
              <w:rPr>
                <w:rFonts w:ascii="Times New Roman" w:hAnsi="Times New Roman" w:cs="Times New Roman"/>
                <w:color w:val="000000"/>
                <w:kern w:val="2"/>
                <w:sz w:val="21"/>
                <w14:ligatures w14:val="standardContextual"/>
              </w:rPr>
              <w:t>幢</w:t>
            </w:r>
            <w:r w:rsidRPr="00DA3766">
              <w:rPr>
                <w:rFonts w:ascii="Times New Roman" w:hAnsi="Times New Roman" w:cs="Times New Roman"/>
                <w:color w:val="000000"/>
                <w:kern w:val="2"/>
                <w:sz w:val="21"/>
                <w14:ligatures w14:val="standardContextual"/>
              </w:rPr>
              <w:t>196</w:t>
            </w:r>
            <w:r w:rsidRPr="00DA3766">
              <w:rPr>
                <w:rFonts w:ascii="Times New Roman" w:hAnsi="Times New Roman" w:cs="Times New Roman"/>
                <w:color w:val="000000"/>
                <w:kern w:val="2"/>
                <w:sz w:val="21"/>
                <w14:ligatures w14:val="standardContextual"/>
              </w:rPr>
              <w:t>室</w:t>
            </w:r>
          </w:p>
        </w:tc>
      </w:tr>
      <w:tr w:rsidR="003F2129" w:rsidRPr="00DA3766" w14:paraId="5FDE29B0" w14:textId="77777777" w:rsidTr="00DA3766">
        <w:trPr>
          <w:trHeight w:val="397"/>
          <w:jc w:val="center"/>
        </w:trPr>
        <w:tc>
          <w:tcPr>
            <w:tcW w:w="895" w:type="pct"/>
            <w:vAlign w:val="center"/>
          </w:tcPr>
          <w:p w14:paraId="0BC779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7E8F70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金属材料销售；塑料制品销售；电子专用材料销售；食品销售（仅销售预包装食品）；食用农产品批发；建筑材料销售；化工产品销售（不含许可类化工产品）；纸浆销售；有色金属合金销售。（除依法须经批准的项目外，凭营业执照依法自主开展经营活动）</w:t>
            </w:r>
          </w:p>
        </w:tc>
      </w:tr>
    </w:tbl>
    <w:p w14:paraId="68F23BF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③</w:t>
      </w:r>
      <w:r w:rsidRPr="00DA3766">
        <w:rPr>
          <w:rFonts w:ascii="Times New Roman" w:hAnsi="Times New Roman" w:cs="Times New Roman"/>
          <w:kern w:val="2"/>
          <w14:ligatures w14:val="standardContextual"/>
        </w:rPr>
        <w:t>杏蕴（厦门）贸易有限公司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433A7C91" w14:textId="77777777" w:rsidTr="00DA3766">
        <w:trPr>
          <w:trHeight w:val="397"/>
          <w:jc w:val="center"/>
        </w:trPr>
        <w:tc>
          <w:tcPr>
            <w:tcW w:w="895" w:type="pct"/>
            <w:vAlign w:val="center"/>
          </w:tcPr>
          <w:p w14:paraId="2FF49787"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5565F37A"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杏蕴（厦门）贸易有限公司</w:t>
            </w:r>
          </w:p>
        </w:tc>
      </w:tr>
      <w:tr w:rsidR="003F2129" w:rsidRPr="00DA3766" w14:paraId="377975EB" w14:textId="77777777" w:rsidTr="00DA3766">
        <w:trPr>
          <w:trHeight w:val="397"/>
          <w:jc w:val="center"/>
        </w:trPr>
        <w:tc>
          <w:tcPr>
            <w:tcW w:w="895" w:type="pct"/>
            <w:vAlign w:val="center"/>
          </w:tcPr>
          <w:p w14:paraId="35C99A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122884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古开瑞</w:t>
            </w:r>
          </w:p>
        </w:tc>
      </w:tr>
      <w:tr w:rsidR="003F2129" w:rsidRPr="00DA3766" w14:paraId="06440542" w14:textId="77777777" w:rsidTr="00DA3766">
        <w:trPr>
          <w:trHeight w:val="397"/>
          <w:jc w:val="center"/>
        </w:trPr>
        <w:tc>
          <w:tcPr>
            <w:tcW w:w="895" w:type="pct"/>
            <w:vAlign w:val="center"/>
          </w:tcPr>
          <w:p w14:paraId="49AD8C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21FD1C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2019-10-23</w:t>
            </w:r>
          </w:p>
        </w:tc>
      </w:tr>
      <w:tr w:rsidR="003F2129" w:rsidRPr="00DA3766" w14:paraId="7BF6E4F9" w14:textId="77777777" w:rsidTr="00DA3766">
        <w:trPr>
          <w:trHeight w:val="397"/>
          <w:jc w:val="center"/>
        </w:trPr>
        <w:tc>
          <w:tcPr>
            <w:tcW w:w="895" w:type="pct"/>
            <w:vAlign w:val="center"/>
          </w:tcPr>
          <w:p w14:paraId="7A8A67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注册资本</w:t>
            </w:r>
          </w:p>
        </w:tc>
        <w:tc>
          <w:tcPr>
            <w:tcW w:w="4105" w:type="pct"/>
            <w:vAlign w:val="center"/>
          </w:tcPr>
          <w:p w14:paraId="2ABEFC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3,000.00</w:t>
            </w:r>
            <w:r w:rsidRPr="00DA3766">
              <w:rPr>
                <w:rFonts w:ascii="Times New Roman" w:hAnsi="Times New Roman" w:cs="Times New Roman"/>
                <w:color w:val="000000"/>
                <w:kern w:val="2"/>
                <w:sz w:val="21"/>
                <w14:ligatures w14:val="standardContextual"/>
              </w:rPr>
              <w:t>万元</w:t>
            </w:r>
          </w:p>
        </w:tc>
      </w:tr>
      <w:tr w:rsidR="003F2129" w:rsidRPr="00DA3766" w14:paraId="2A78214B" w14:textId="77777777" w:rsidTr="00DA3766">
        <w:trPr>
          <w:trHeight w:val="397"/>
          <w:jc w:val="center"/>
        </w:trPr>
        <w:tc>
          <w:tcPr>
            <w:tcW w:w="895" w:type="pct"/>
            <w:vAlign w:val="center"/>
          </w:tcPr>
          <w:p w14:paraId="49BB23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2B605A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上海燕航供应链管理有限公司</w:t>
            </w:r>
            <w:r w:rsidRPr="00DA3766">
              <w:rPr>
                <w:rFonts w:ascii="Times New Roman" w:hAnsi="Times New Roman" w:cs="Times New Roman"/>
                <w:color w:val="000000"/>
                <w:kern w:val="2"/>
                <w:sz w:val="21"/>
                <w14:ligatures w14:val="standardContextual"/>
              </w:rPr>
              <w:t>90.00%</w:t>
            </w:r>
            <w:r w:rsidRPr="00DA3766">
              <w:rPr>
                <w:rFonts w:ascii="Times New Roman" w:hAnsi="Times New Roman" w:cs="Times New Roman"/>
                <w:color w:val="000000"/>
                <w:kern w:val="2"/>
                <w:sz w:val="21"/>
                <w14:ligatures w14:val="standardContextual"/>
              </w:rPr>
              <w:t>；刘智鹏</w:t>
            </w:r>
            <w:r w:rsidRPr="00DA3766">
              <w:rPr>
                <w:rFonts w:ascii="Times New Roman" w:hAnsi="Times New Roman" w:cs="Times New Roman"/>
                <w:color w:val="000000"/>
                <w:kern w:val="2"/>
                <w:sz w:val="21"/>
                <w14:ligatures w14:val="standardContextual"/>
              </w:rPr>
              <w:t>10.00%</w:t>
            </w:r>
          </w:p>
        </w:tc>
      </w:tr>
      <w:tr w:rsidR="003F2129" w:rsidRPr="00DA3766" w14:paraId="6410560A" w14:textId="77777777" w:rsidTr="00DA3766">
        <w:trPr>
          <w:trHeight w:val="397"/>
          <w:jc w:val="center"/>
        </w:trPr>
        <w:tc>
          <w:tcPr>
            <w:tcW w:w="895" w:type="pct"/>
            <w:vAlign w:val="center"/>
          </w:tcPr>
          <w:p w14:paraId="5DA1FC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2A6E49C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2447B061" w14:textId="77777777" w:rsidTr="00DA3766">
        <w:trPr>
          <w:trHeight w:val="397"/>
          <w:jc w:val="center"/>
        </w:trPr>
        <w:tc>
          <w:tcPr>
            <w:tcW w:w="895" w:type="pct"/>
            <w:vAlign w:val="center"/>
          </w:tcPr>
          <w:p w14:paraId="61C1B12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5EB6C2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3713B116" w14:textId="77777777" w:rsidTr="00DA3766">
        <w:trPr>
          <w:trHeight w:val="397"/>
          <w:jc w:val="center"/>
        </w:trPr>
        <w:tc>
          <w:tcPr>
            <w:tcW w:w="895" w:type="pct"/>
            <w:vAlign w:val="center"/>
          </w:tcPr>
          <w:p w14:paraId="6D462E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387337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厦门市翔安区双沪北路</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号之</w:t>
            </w:r>
            <w:r w:rsidRPr="00DA3766">
              <w:rPr>
                <w:rFonts w:ascii="Times New Roman" w:hAnsi="Times New Roman" w:cs="Times New Roman"/>
                <w:color w:val="000000"/>
                <w:kern w:val="2"/>
                <w:sz w:val="21"/>
                <w14:ligatures w14:val="standardContextual"/>
              </w:rPr>
              <w:t>2</w:t>
            </w:r>
            <w:r w:rsidRPr="00DA3766">
              <w:rPr>
                <w:rFonts w:ascii="Times New Roman" w:hAnsi="Times New Roman" w:cs="Times New Roman"/>
                <w:color w:val="000000"/>
                <w:kern w:val="2"/>
                <w:sz w:val="21"/>
                <w14:ligatures w14:val="standardContextual"/>
              </w:rPr>
              <w:t>号楼</w:t>
            </w:r>
            <w:r w:rsidRPr="00DA3766">
              <w:rPr>
                <w:rFonts w:ascii="Times New Roman" w:hAnsi="Times New Roman" w:cs="Times New Roman"/>
                <w:color w:val="000000"/>
                <w:kern w:val="2"/>
                <w:sz w:val="21"/>
                <w14:ligatures w14:val="standardContextual"/>
              </w:rPr>
              <w:t>232</w:t>
            </w:r>
            <w:r w:rsidRPr="00DA3766">
              <w:rPr>
                <w:rFonts w:ascii="Times New Roman" w:hAnsi="Times New Roman" w:cs="Times New Roman"/>
                <w:color w:val="000000"/>
                <w:kern w:val="2"/>
                <w:sz w:val="21"/>
                <w14:ligatures w14:val="standardContextual"/>
              </w:rPr>
              <w:t>室</w:t>
            </w:r>
          </w:p>
        </w:tc>
      </w:tr>
      <w:tr w:rsidR="003F2129" w:rsidRPr="00DA3766" w14:paraId="3BBAA495" w14:textId="77777777" w:rsidTr="00DA3766">
        <w:trPr>
          <w:trHeight w:val="397"/>
          <w:jc w:val="center"/>
        </w:trPr>
        <w:tc>
          <w:tcPr>
            <w:tcW w:w="895" w:type="pct"/>
            <w:vAlign w:val="center"/>
          </w:tcPr>
          <w:p w14:paraId="097D57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89D75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电子产品销售；计算机软硬件及辅助设备批发；计算机软硬件及辅助设备零售；食品销售（仅销售预包装食品，不含酒）；食用农产品批发；货物进出口；煤炭及制品销售；建筑材料销售；化工产品销售（不含许可类化工产品）；五金产品批发；纸浆销售；有色金属合金销售；金属材料销售。（除依法须经批准的项目外，凭营业执照依法自主开展经营活动）</w:t>
            </w:r>
          </w:p>
        </w:tc>
      </w:tr>
    </w:tbl>
    <w:p w14:paraId="0248C89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④</w:t>
      </w:r>
      <w:r w:rsidRPr="00DA3766">
        <w:rPr>
          <w:rFonts w:ascii="Times New Roman" w:hAnsi="Times New Roman" w:cs="Times New Roman"/>
          <w:kern w:val="2"/>
          <w14:ligatures w14:val="standardContextual"/>
        </w:rPr>
        <w:t>深圳申服信息科技有限公司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5AC66E4A" w14:textId="77777777" w:rsidTr="00DA3766">
        <w:trPr>
          <w:trHeight w:val="397"/>
          <w:jc w:val="center"/>
        </w:trPr>
        <w:tc>
          <w:tcPr>
            <w:tcW w:w="895" w:type="pct"/>
            <w:vAlign w:val="center"/>
          </w:tcPr>
          <w:p w14:paraId="3D430D63"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506556F9"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深圳申服信息科技有限公司</w:t>
            </w:r>
          </w:p>
        </w:tc>
      </w:tr>
      <w:tr w:rsidR="003F2129" w:rsidRPr="00DA3766" w14:paraId="2C05B54F" w14:textId="77777777" w:rsidTr="00DA3766">
        <w:trPr>
          <w:trHeight w:val="397"/>
          <w:jc w:val="center"/>
        </w:trPr>
        <w:tc>
          <w:tcPr>
            <w:tcW w:w="895" w:type="pct"/>
            <w:vAlign w:val="center"/>
          </w:tcPr>
          <w:p w14:paraId="0981F2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5951A3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李晖</w:t>
            </w:r>
          </w:p>
        </w:tc>
      </w:tr>
      <w:tr w:rsidR="003F2129" w:rsidRPr="00DA3766" w14:paraId="73E9042C" w14:textId="77777777" w:rsidTr="00DA3766">
        <w:trPr>
          <w:trHeight w:val="397"/>
          <w:jc w:val="center"/>
        </w:trPr>
        <w:tc>
          <w:tcPr>
            <w:tcW w:w="895" w:type="pct"/>
            <w:vAlign w:val="center"/>
          </w:tcPr>
          <w:p w14:paraId="7209564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6B3F3B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2021-10-12</w:t>
            </w:r>
          </w:p>
        </w:tc>
      </w:tr>
      <w:tr w:rsidR="003F2129" w:rsidRPr="00DA3766" w14:paraId="18C231FD" w14:textId="77777777" w:rsidTr="00DA3766">
        <w:trPr>
          <w:trHeight w:val="397"/>
          <w:jc w:val="center"/>
        </w:trPr>
        <w:tc>
          <w:tcPr>
            <w:tcW w:w="895" w:type="pct"/>
            <w:vAlign w:val="center"/>
          </w:tcPr>
          <w:p w14:paraId="4D51F9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5CD5FF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3,000.00</w:t>
            </w:r>
            <w:r w:rsidRPr="00DA3766">
              <w:rPr>
                <w:rFonts w:ascii="Times New Roman" w:hAnsi="Times New Roman" w:cs="Times New Roman"/>
                <w:color w:val="000000"/>
                <w:kern w:val="2"/>
                <w:sz w:val="21"/>
                <w14:ligatures w14:val="standardContextual"/>
              </w:rPr>
              <w:t>万元</w:t>
            </w:r>
          </w:p>
        </w:tc>
      </w:tr>
      <w:tr w:rsidR="003F2129" w:rsidRPr="00DA3766" w14:paraId="6DDB7863" w14:textId="77777777" w:rsidTr="00DA3766">
        <w:trPr>
          <w:trHeight w:val="397"/>
          <w:jc w:val="center"/>
        </w:trPr>
        <w:tc>
          <w:tcPr>
            <w:tcW w:w="895" w:type="pct"/>
            <w:vAlign w:val="center"/>
          </w:tcPr>
          <w:p w14:paraId="6D046F5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5E2FE11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李晖</w:t>
            </w:r>
            <w:r w:rsidRPr="00DA3766">
              <w:rPr>
                <w:rFonts w:ascii="Times New Roman" w:hAnsi="Times New Roman" w:cs="Times New Roman"/>
                <w:color w:val="000000"/>
                <w:kern w:val="2"/>
                <w:sz w:val="21"/>
                <w14:ligatures w14:val="standardContextual"/>
              </w:rPr>
              <w:t>80.00%</w:t>
            </w:r>
            <w:r w:rsidRPr="00DA3766">
              <w:rPr>
                <w:rFonts w:ascii="Times New Roman" w:hAnsi="Times New Roman" w:cs="Times New Roman"/>
                <w:color w:val="000000"/>
                <w:kern w:val="2"/>
                <w:sz w:val="21"/>
                <w14:ligatures w14:val="standardContextual"/>
              </w:rPr>
              <w:t>；聂湘琴</w:t>
            </w:r>
            <w:r w:rsidRPr="00DA3766">
              <w:rPr>
                <w:rFonts w:ascii="Times New Roman" w:hAnsi="Times New Roman" w:cs="Times New Roman"/>
                <w:color w:val="000000"/>
                <w:kern w:val="2"/>
                <w:sz w:val="21"/>
                <w14:ligatures w14:val="standardContextual"/>
              </w:rPr>
              <w:t>20.00%</w:t>
            </w:r>
          </w:p>
        </w:tc>
      </w:tr>
      <w:tr w:rsidR="003F2129" w:rsidRPr="00DA3766" w14:paraId="2540263A" w14:textId="77777777" w:rsidTr="00DA3766">
        <w:trPr>
          <w:trHeight w:val="397"/>
          <w:jc w:val="center"/>
        </w:trPr>
        <w:tc>
          <w:tcPr>
            <w:tcW w:w="895" w:type="pct"/>
            <w:vAlign w:val="center"/>
          </w:tcPr>
          <w:p w14:paraId="17A654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6314850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6352216" w14:textId="77777777" w:rsidTr="00DA3766">
        <w:trPr>
          <w:trHeight w:val="397"/>
          <w:jc w:val="center"/>
        </w:trPr>
        <w:tc>
          <w:tcPr>
            <w:tcW w:w="895" w:type="pct"/>
            <w:vAlign w:val="center"/>
          </w:tcPr>
          <w:p w14:paraId="290739E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544A9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深圳市福田区福保街道福保社区市花路</w:t>
            </w:r>
            <w:r w:rsidRPr="00DA3766">
              <w:rPr>
                <w:rFonts w:ascii="Times New Roman" w:hAnsi="Times New Roman" w:cs="Times New Roman"/>
                <w:color w:val="000000"/>
                <w:kern w:val="2"/>
                <w:sz w:val="21"/>
                <w14:ligatures w14:val="standardContextual"/>
              </w:rPr>
              <w:t>6</w:t>
            </w:r>
            <w:r w:rsidRPr="00DA3766">
              <w:rPr>
                <w:rFonts w:ascii="Times New Roman" w:hAnsi="Times New Roman" w:cs="Times New Roman"/>
                <w:color w:val="000000"/>
                <w:kern w:val="2"/>
                <w:sz w:val="21"/>
                <w14:ligatures w14:val="standardContextual"/>
              </w:rPr>
              <w:t>号德宝物流中心二层整层</w:t>
            </w:r>
          </w:p>
        </w:tc>
      </w:tr>
      <w:tr w:rsidR="003F2129" w:rsidRPr="00DA3766" w14:paraId="40722D72" w14:textId="77777777" w:rsidTr="00DA3766">
        <w:trPr>
          <w:trHeight w:val="397"/>
          <w:jc w:val="center"/>
        </w:trPr>
        <w:tc>
          <w:tcPr>
            <w:tcW w:w="895" w:type="pct"/>
            <w:vAlign w:val="center"/>
          </w:tcPr>
          <w:p w14:paraId="3F694C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459D592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技术服务、技术开发、技术咨询、技术交流、技术转让、技术推广；商务信息咨询（不含投资类咨询）；企业管理咨询；财务咨询；市场营销策划；信息系统集成服务；软件开发；计算机系统服务；计算机软硬件及辅助设备零售；电子产品销售；通讯设备销售；办公设备销售；安防设备销售；消防器材销售；国内贸易代理。住房租赁；非居住房地产租赁；以自有资金从事投资活动。（除依法须经批准的项目外，凭营业执照依法自主开展经营活动）</w:t>
            </w:r>
            <w:r w:rsidRPr="00DA3766">
              <w:rPr>
                <w:rFonts w:ascii="Times New Roman" w:hAnsi="Times New Roman" w:cs="Times New Roman"/>
                <w:color w:val="000000"/>
                <w:kern w:val="2"/>
                <w:sz w:val="21"/>
                <w14:ligatures w14:val="standardContextual"/>
              </w:rPr>
              <w:t xml:space="preserve"> </w:t>
            </w:r>
            <w:r w:rsidRPr="00DA3766">
              <w:rPr>
                <w:rFonts w:ascii="Times New Roman" w:hAnsi="Times New Roman" w:cs="Times New Roman"/>
                <w:color w:val="000000"/>
                <w:kern w:val="2"/>
                <w:sz w:val="21"/>
                <w14:ligatures w14:val="standardContextual"/>
              </w:rPr>
              <w:t>基础电信业务；第二类增值电信业务；第一类增值电信业务。（依法须经批准的项目，经相关部门批准后方可开展经营活动，具体经营项目以相关部门批准文件或许可证件为准）</w:t>
            </w:r>
          </w:p>
        </w:tc>
      </w:tr>
    </w:tbl>
    <w:p w14:paraId="7746470D" w14:textId="77777777" w:rsidR="003F2129" w:rsidRPr="00DA3766" w:rsidRDefault="003F2129" w:rsidP="003F2129">
      <w:pPr>
        <w:widowControl w:val="0"/>
        <w:spacing w:beforeLines="0" w:before="0" w:afterLines="0" w:after="0" w:line="240" w:lineRule="auto"/>
        <w:ind w:firstLineChars="0" w:firstLine="0"/>
        <w:rPr>
          <w:rFonts w:ascii="Times New Roman" w:hAnsi="Times New Roman" w:cs="Times New Roman"/>
          <w:b/>
          <w:bCs/>
          <w:kern w:val="2"/>
          <w:sz w:val="21"/>
          <w:szCs w:val="21"/>
          <w14:ligatures w14:val="standardContextual"/>
        </w:rPr>
      </w:pPr>
    </w:p>
    <w:p w14:paraId="27A58A76" w14:textId="77777777" w:rsidR="00D55B20" w:rsidRPr="00DA3766" w:rsidRDefault="00D55B20" w:rsidP="005346AA">
      <w:pPr>
        <w:snapToGrid w:val="0"/>
        <w:spacing w:before="120" w:afterLines="0" w:after="120"/>
        <w:ind w:firstLine="480"/>
        <w:jc w:val="both"/>
        <w:rPr>
          <w:rFonts w:ascii="Times New Roman" w:hAnsi="Times New Roman" w:cs="Times New Roman"/>
        </w:rPr>
        <w:sectPr w:rsidR="00D55B20" w:rsidRPr="00DA3766">
          <w:pgSz w:w="11906" w:h="16838"/>
          <w:pgMar w:top="1440" w:right="1797" w:bottom="1440" w:left="1797" w:header="851" w:footer="992" w:gutter="0"/>
          <w:cols w:space="425"/>
          <w:docGrid w:linePitch="312"/>
        </w:sectPr>
      </w:pPr>
    </w:p>
    <w:p w14:paraId="75C15F14" w14:textId="3205F5E0" w:rsidR="003A2240" w:rsidRPr="00DA3766" w:rsidRDefault="00D55B20" w:rsidP="008A1B9E">
      <w:pPr>
        <w:pStyle w:val="005"/>
        <w:spacing w:before="120" w:after="120"/>
        <w:ind w:firstLine="480"/>
      </w:pPr>
      <w:r w:rsidRPr="00DA3766">
        <w:lastRenderedPageBreak/>
        <w:t>（</w:t>
      </w:r>
      <w:r w:rsidRPr="00DA3766">
        <w:t>2</w:t>
      </w:r>
      <w:r w:rsidRPr="00DA3766">
        <w:t>）算力项目采购数量、采购日期、交付日期、验收日期、采购价格及同期市场价格</w:t>
      </w:r>
    </w:p>
    <w:tbl>
      <w:tblPr>
        <w:tblW w:w="53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1509"/>
        <w:gridCol w:w="1131"/>
        <w:gridCol w:w="1276"/>
        <w:gridCol w:w="1273"/>
        <w:gridCol w:w="899"/>
        <w:gridCol w:w="1197"/>
        <w:gridCol w:w="1200"/>
        <w:gridCol w:w="849"/>
        <w:gridCol w:w="952"/>
        <w:gridCol w:w="889"/>
        <w:gridCol w:w="955"/>
        <w:gridCol w:w="889"/>
        <w:gridCol w:w="952"/>
      </w:tblGrid>
      <w:tr w:rsidR="007D6CF8" w:rsidRPr="00DA3766" w14:paraId="1EEC57EE" w14:textId="77777777" w:rsidTr="00BF5BFE">
        <w:trPr>
          <w:trHeight w:val="397"/>
          <w:jc w:val="center"/>
        </w:trPr>
        <w:tc>
          <w:tcPr>
            <w:tcW w:w="378" w:type="pct"/>
            <w:vMerge w:val="restart"/>
            <w:tcMar>
              <w:top w:w="0" w:type="dxa"/>
              <w:bottom w:w="0" w:type="dxa"/>
            </w:tcMar>
            <w:vAlign w:val="center"/>
          </w:tcPr>
          <w:p w14:paraId="1174681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品类</w:t>
            </w:r>
          </w:p>
        </w:tc>
        <w:tc>
          <w:tcPr>
            <w:tcW w:w="499" w:type="pct"/>
            <w:vMerge w:val="restart"/>
            <w:tcMar>
              <w:top w:w="0" w:type="dxa"/>
              <w:bottom w:w="0" w:type="dxa"/>
            </w:tcMar>
            <w:vAlign w:val="center"/>
          </w:tcPr>
          <w:p w14:paraId="39C9FAF2"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74" w:type="pct"/>
            <w:vMerge w:val="restart"/>
            <w:tcMar>
              <w:top w:w="0" w:type="dxa"/>
              <w:bottom w:w="0" w:type="dxa"/>
            </w:tcMar>
            <w:vAlign w:val="center"/>
          </w:tcPr>
          <w:p w14:paraId="14ACDF6C"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采购日期</w:t>
            </w:r>
          </w:p>
        </w:tc>
        <w:tc>
          <w:tcPr>
            <w:tcW w:w="422" w:type="pct"/>
            <w:vMerge w:val="restart"/>
            <w:tcMar>
              <w:top w:w="0" w:type="dxa"/>
              <w:bottom w:w="0" w:type="dxa"/>
            </w:tcMar>
            <w:vAlign w:val="center"/>
          </w:tcPr>
          <w:p w14:paraId="4703ECFA"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交付日期</w:t>
            </w:r>
          </w:p>
        </w:tc>
        <w:tc>
          <w:tcPr>
            <w:tcW w:w="421" w:type="pct"/>
            <w:vMerge w:val="restart"/>
            <w:tcMar>
              <w:top w:w="0" w:type="dxa"/>
              <w:bottom w:w="0" w:type="dxa"/>
            </w:tcMar>
            <w:vAlign w:val="center"/>
          </w:tcPr>
          <w:p w14:paraId="7CA71C3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验收日期</w:t>
            </w:r>
          </w:p>
        </w:tc>
        <w:tc>
          <w:tcPr>
            <w:tcW w:w="297" w:type="pct"/>
            <w:vMerge w:val="restart"/>
            <w:tcMar>
              <w:top w:w="0" w:type="dxa"/>
              <w:bottom w:w="0" w:type="dxa"/>
            </w:tcMar>
            <w:vAlign w:val="center"/>
          </w:tcPr>
          <w:p w14:paraId="70D08770" w14:textId="77777777" w:rsidR="007D6CF8"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lang w:bidi="ar"/>
              </w:rPr>
            </w:pPr>
            <w:r w:rsidRPr="00DA3766">
              <w:rPr>
                <w:rFonts w:ascii="Times New Roman" w:hAnsi="Times New Roman" w:cs="Times New Roman"/>
                <w:b/>
                <w:color w:val="000000"/>
                <w:sz w:val="21"/>
                <w:lang w:bidi="ar"/>
              </w:rPr>
              <w:t>采购</w:t>
            </w:r>
          </w:p>
          <w:p w14:paraId="31F3662B" w14:textId="0AE8C834"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数量</w:t>
            </w:r>
          </w:p>
        </w:tc>
        <w:tc>
          <w:tcPr>
            <w:tcW w:w="396" w:type="pct"/>
            <w:vMerge w:val="restart"/>
            <w:tcMar>
              <w:top w:w="0" w:type="dxa"/>
              <w:bottom w:w="0" w:type="dxa"/>
            </w:tcMar>
            <w:vAlign w:val="center"/>
          </w:tcPr>
          <w:p w14:paraId="50A66CD1" w14:textId="611CB188"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采购单价（万元）</w:t>
            </w:r>
          </w:p>
        </w:tc>
        <w:tc>
          <w:tcPr>
            <w:tcW w:w="397" w:type="pct"/>
            <w:vMerge w:val="restart"/>
            <w:tcMar>
              <w:top w:w="0" w:type="dxa"/>
              <w:bottom w:w="0" w:type="dxa"/>
            </w:tcMar>
            <w:vAlign w:val="center"/>
          </w:tcPr>
          <w:p w14:paraId="4EDBC668" w14:textId="24D39044"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采购总价（万元）</w:t>
            </w:r>
          </w:p>
        </w:tc>
        <w:tc>
          <w:tcPr>
            <w:tcW w:w="596" w:type="pct"/>
            <w:gridSpan w:val="2"/>
            <w:tcMar>
              <w:top w:w="0" w:type="dxa"/>
              <w:bottom w:w="0" w:type="dxa"/>
            </w:tcMar>
            <w:vAlign w:val="center"/>
          </w:tcPr>
          <w:p w14:paraId="6057639D"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1</w:t>
            </w:r>
          </w:p>
        </w:tc>
        <w:tc>
          <w:tcPr>
            <w:tcW w:w="610" w:type="pct"/>
            <w:gridSpan w:val="2"/>
            <w:tcMar>
              <w:top w:w="0" w:type="dxa"/>
              <w:bottom w:w="0" w:type="dxa"/>
            </w:tcMar>
            <w:vAlign w:val="center"/>
          </w:tcPr>
          <w:p w14:paraId="1395641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2</w:t>
            </w:r>
          </w:p>
        </w:tc>
        <w:tc>
          <w:tcPr>
            <w:tcW w:w="609" w:type="pct"/>
            <w:gridSpan w:val="2"/>
            <w:tcMar>
              <w:top w:w="0" w:type="dxa"/>
              <w:bottom w:w="0" w:type="dxa"/>
            </w:tcMar>
            <w:vAlign w:val="center"/>
          </w:tcPr>
          <w:p w14:paraId="652D88F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3</w:t>
            </w:r>
          </w:p>
        </w:tc>
      </w:tr>
      <w:tr w:rsidR="007D6CF8" w:rsidRPr="00DA3766" w14:paraId="505218BA" w14:textId="77777777" w:rsidTr="00BF5BFE">
        <w:trPr>
          <w:trHeight w:val="397"/>
          <w:jc w:val="center"/>
        </w:trPr>
        <w:tc>
          <w:tcPr>
            <w:tcW w:w="378" w:type="pct"/>
            <w:vMerge/>
            <w:tcMar>
              <w:top w:w="0" w:type="dxa"/>
              <w:bottom w:w="0" w:type="dxa"/>
            </w:tcMar>
            <w:vAlign w:val="center"/>
          </w:tcPr>
          <w:p w14:paraId="6BF60406"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99" w:type="pct"/>
            <w:vMerge/>
            <w:tcMar>
              <w:top w:w="0" w:type="dxa"/>
              <w:bottom w:w="0" w:type="dxa"/>
            </w:tcMar>
            <w:vAlign w:val="center"/>
          </w:tcPr>
          <w:p w14:paraId="58054DB8"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74" w:type="pct"/>
            <w:vMerge/>
            <w:tcMar>
              <w:top w:w="0" w:type="dxa"/>
              <w:bottom w:w="0" w:type="dxa"/>
            </w:tcMar>
            <w:vAlign w:val="center"/>
          </w:tcPr>
          <w:p w14:paraId="5E83694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2" w:type="pct"/>
            <w:vMerge/>
            <w:tcMar>
              <w:top w:w="0" w:type="dxa"/>
              <w:bottom w:w="0" w:type="dxa"/>
            </w:tcMar>
            <w:vAlign w:val="center"/>
          </w:tcPr>
          <w:p w14:paraId="726AB609"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1" w:type="pct"/>
            <w:vMerge/>
            <w:tcMar>
              <w:top w:w="0" w:type="dxa"/>
              <w:bottom w:w="0" w:type="dxa"/>
            </w:tcMar>
            <w:vAlign w:val="center"/>
          </w:tcPr>
          <w:p w14:paraId="02D67108"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97" w:type="pct"/>
            <w:vMerge/>
            <w:tcMar>
              <w:top w:w="0" w:type="dxa"/>
              <w:bottom w:w="0" w:type="dxa"/>
            </w:tcMar>
            <w:vAlign w:val="center"/>
          </w:tcPr>
          <w:p w14:paraId="77BAF9D3"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6" w:type="pct"/>
            <w:vMerge/>
            <w:tcMar>
              <w:top w:w="0" w:type="dxa"/>
              <w:bottom w:w="0" w:type="dxa"/>
            </w:tcMar>
            <w:vAlign w:val="center"/>
          </w:tcPr>
          <w:p w14:paraId="5B0EFD2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7" w:type="pct"/>
            <w:vMerge/>
            <w:tcMar>
              <w:top w:w="0" w:type="dxa"/>
              <w:bottom w:w="0" w:type="dxa"/>
            </w:tcMar>
            <w:vAlign w:val="center"/>
          </w:tcPr>
          <w:p w14:paraId="6912A87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81" w:type="pct"/>
            <w:tcMar>
              <w:top w:w="0" w:type="dxa"/>
              <w:bottom w:w="0" w:type="dxa"/>
            </w:tcMar>
            <w:vAlign w:val="center"/>
          </w:tcPr>
          <w:p w14:paraId="0BD6D620"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5" w:type="pct"/>
            <w:tcMar>
              <w:top w:w="0" w:type="dxa"/>
              <w:bottom w:w="0" w:type="dxa"/>
            </w:tcMar>
            <w:vAlign w:val="center"/>
          </w:tcPr>
          <w:p w14:paraId="4BE12FC3"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1</w:t>
            </w:r>
          </w:p>
        </w:tc>
        <w:tc>
          <w:tcPr>
            <w:tcW w:w="294" w:type="pct"/>
            <w:tcMar>
              <w:top w:w="0" w:type="dxa"/>
              <w:bottom w:w="0" w:type="dxa"/>
            </w:tcMar>
            <w:vAlign w:val="center"/>
          </w:tcPr>
          <w:p w14:paraId="18F23724"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6" w:type="pct"/>
            <w:tcMar>
              <w:top w:w="0" w:type="dxa"/>
              <w:bottom w:w="0" w:type="dxa"/>
            </w:tcMar>
            <w:vAlign w:val="center"/>
          </w:tcPr>
          <w:p w14:paraId="1F3A17C1"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2</w:t>
            </w:r>
          </w:p>
        </w:tc>
        <w:tc>
          <w:tcPr>
            <w:tcW w:w="294" w:type="pct"/>
            <w:tcMar>
              <w:top w:w="0" w:type="dxa"/>
              <w:bottom w:w="0" w:type="dxa"/>
            </w:tcMar>
            <w:vAlign w:val="center"/>
          </w:tcPr>
          <w:p w14:paraId="12ADF905"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5" w:type="pct"/>
            <w:tcMar>
              <w:top w:w="0" w:type="dxa"/>
              <w:bottom w:w="0" w:type="dxa"/>
            </w:tcMar>
            <w:vAlign w:val="center"/>
          </w:tcPr>
          <w:p w14:paraId="3736E73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3</w:t>
            </w:r>
          </w:p>
        </w:tc>
      </w:tr>
      <w:tr w:rsidR="007D6CF8" w:rsidRPr="00DA3766" w14:paraId="300C65DB" w14:textId="77777777" w:rsidTr="00BF5BFE">
        <w:trPr>
          <w:trHeight w:val="397"/>
          <w:jc w:val="center"/>
        </w:trPr>
        <w:tc>
          <w:tcPr>
            <w:tcW w:w="378" w:type="pct"/>
            <w:tcMar>
              <w:top w:w="0" w:type="dxa"/>
              <w:bottom w:w="0" w:type="dxa"/>
            </w:tcMar>
            <w:vAlign w:val="center"/>
          </w:tcPr>
          <w:p w14:paraId="788B844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1B5EFA3B"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北京中嘉汇溪科技有限公司</w:t>
            </w:r>
          </w:p>
        </w:tc>
        <w:tc>
          <w:tcPr>
            <w:tcW w:w="374" w:type="pct"/>
            <w:tcMar>
              <w:top w:w="0" w:type="dxa"/>
              <w:bottom w:w="0" w:type="dxa"/>
            </w:tcMar>
            <w:vAlign w:val="center"/>
          </w:tcPr>
          <w:p w14:paraId="25B259E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46302D7D"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414DF930"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675D8C0A" w14:textId="4C5A7E3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57.00</w:t>
            </w:r>
          </w:p>
        </w:tc>
        <w:tc>
          <w:tcPr>
            <w:tcW w:w="396" w:type="pct"/>
            <w:tcMar>
              <w:top w:w="0" w:type="dxa"/>
              <w:bottom w:w="0" w:type="dxa"/>
            </w:tcMar>
            <w:vAlign w:val="center"/>
          </w:tcPr>
          <w:p w14:paraId="0AD2412A" w14:textId="59EAAC1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3F1AA074" w14:textId="0928FBF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14,250.00</w:t>
            </w:r>
          </w:p>
        </w:tc>
        <w:tc>
          <w:tcPr>
            <w:tcW w:w="281" w:type="pct"/>
            <w:vMerge w:val="restart"/>
            <w:tcMar>
              <w:top w:w="0" w:type="dxa"/>
              <w:bottom w:w="0" w:type="dxa"/>
            </w:tcMar>
            <w:vAlign w:val="center"/>
          </w:tcPr>
          <w:p w14:paraId="7B8A64D1" w14:textId="287C2E1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北京中嘉汇溪科技有限公司</w:t>
            </w:r>
          </w:p>
        </w:tc>
        <w:tc>
          <w:tcPr>
            <w:tcW w:w="315" w:type="pct"/>
            <w:vMerge w:val="restart"/>
            <w:tcMar>
              <w:top w:w="0" w:type="dxa"/>
              <w:bottom w:w="0" w:type="dxa"/>
            </w:tcMar>
            <w:vAlign w:val="center"/>
          </w:tcPr>
          <w:p w14:paraId="074AAE99" w14:textId="2245A64A"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w:t>
            </w:r>
            <w:r w:rsidRPr="00DA3766">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14:paraId="5718E30C" w14:textId="2C8A69F8"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上海泓呈网络科技有限公司</w:t>
            </w:r>
          </w:p>
        </w:tc>
        <w:tc>
          <w:tcPr>
            <w:tcW w:w="316" w:type="pct"/>
            <w:vMerge w:val="restart"/>
            <w:tcMar>
              <w:top w:w="0" w:type="dxa"/>
              <w:bottom w:w="0" w:type="dxa"/>
            </w:tcMar>
            <w:vAlign w:val="center"/>
          </w:tcPr>
          <w:p w14:paraId="70CB176D" w14:textId="670235E0"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268/</w:t>
            </w:r>
            <w:r w:rsidRPr="00DA3766">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14:paraId="3A4EA928" w14:textId="6E3A2E6C"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上海申服信息科技有限公司</w:t>
            </w:r>
          </w:p>
        </w:tc>
        <w:tc>
          <w:tcPr>
            <w:tcW w:w="315" w:type="pct"/>
            <w:vMerge w:val="restart"/>
            <w:tcMar>
              <w:top w:w="0" w:type="dxa"/>
              <w:bottom w:w="0" w:type="dxa"/>
            </w:tcMar>
            <w:vAlign w:val="center"/>
          </w:tcPr>
          <w:p w14:paraId="76BC4768" w14:textId="19AC5E94"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275/</w:t>
            </w:r>
            <w:r w:rsidRPr="00DA3766">
              <w:rPr>
                <w:rFonts w:ascii="Times New Roman" w:hAnsi="Times New Roman" w:cs="Times New Roman"/>
                <w:color w:val="000000"/>
                <w:sz w:val="21"/>
                <w:szCs w:val="13"/>
                <w:lang w:bidi="ar"/>
              </w:rPr>
              <w:t>台</w:t>
            </w:r>
          </w:p>
        </w:tc>
      </w:tr>
      <w:tr w:rsidR="007D6CF8" w:rsidRPr="00DA3766" w14:paraId="63393959" w14:textId="77777777" w:rsidTr="00BF5BFE">
        <w:trPr>
          <w:trHeight w:val="397"/>
          <w:jc w:val="center"/>
        </w:trPr>
        <w:tc>
          <w:tcPr>
            <w:tcW w:w="378" w:type="pct"/>
            <w:tcMar>
              <w:top w:w="0" w:type="dxa"/>
              <w:bottom w:w="0" w:type="dxa"/>
            </w:tcMar>
            <w:vAlign w:val="center"/>
          </w:tcPr>
          <w:p w14:paraId="66AC4CC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7B0BA19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上海弘仁国际贸易有限公司</w:t>
            </w:r>
          </w:p>
        </w:tc>
        <w:tc>
          <w:tcPr>
            <w:tcW w:w="374" w:type="pct"/>
            <w:tcMar>
              <w:top w:w="0" w:type="dxa"/>
              <w:bottom w:w="0" w:type="dxa"/>
            </w:tcMar>
            <w:vAlign w:val="center"/>
          </w:tcPr>
          <w:p w14:paraId="08445DB5"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41CB8F7E"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394CAB1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4D4C74C9" w14:textId="304842AC"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35.00</w:t>
            </w:r>
          </w:p>
        </w:tc>
        <w:tc>
          <w:tcPr>
            <w:tcW w:w="396" w:type="pct"/>
            <w:tcMar>
              <w:top w:w="0" w:type="dxa"/>
              <w:bottom w:w="0" w:type="dxa"/>
            </w:tcMar>
            <w:vAlign w:val="center"/>
          </w:tcPr>
          <w:p w14:paraId="09291E49" w14:textId="2EE7C6E9"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097B9324" w14:textId="3A645721"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8,750.00</w:t>
            </w:r>
          </w:p>
        </w:tc>
        <w:tc>
          <w:tcPr>
            <w:tcW w:w="281" w:type="pct"/>
            <w:vMerge/>
            <w:tcMar>
              <w:top w:w="0" w:type="dxa"/>
              <w:bottom w:w="0" w:type="dxa"/>
            </w:tcMar>
            <w:vAlign w:val="center"/>
          </w:tcPr>
          <w:p w14:paraId="64C87D8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7A849FB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4CF15E5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14:paraId="62BC340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69259C6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62EE18C5"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7D6CF8" w:rsidRPr="00DA3766" w14:paraId="6AE9D017" w14:textId="77777777" w:rsidTr="00BF5BFE">
        <w:trPr>
          <w:trHeight w:val="397"/>
          <w:jc w:val="center"/>
        </w:trPr>
        <w:tc>
          <w:tcPr>
            <w:tcW w:w="378" w:type="pct"/>
            <w:tcMar>
              <w:top w:w="0" w:type="dxa"/>
              <w:bottom w:w="0" w:type="dxa"/>
            </w:tcMar>
            <w:vAlign w:val="center"/>
          </w:tcPr>
          <w:p w14:paraId="2559E7D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0521160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杏蕴（厦门）贸易有限公司</w:t>
            </w:r>
          </w:p>
        </w:tc>
        <w:tc>
          <w:tcPr>
            <w:tcW w:w="374" w:type="pct"/>
            <w:tcMar>
              <w:top w:w="0" w:type="dxa"/>
              <w:bottom w:w="0" w:type="dxa"/>
            </w:tcMar>
            <w:vAlign w:val="center"/>
          </w:tcPr>
          <w:p w14:paraId="6155DC7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35F85CC3"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140B64E8"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142AD760" w14:textId="6A2A8BCC"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35.00</w:t>
            </w:r>
          </w:p>
        </w:tc>
        <w:tc>
          <w:tcPr>
            <w:tcW w:w="396" w:type="pct"/>
            <w:tcMar>
              <w:top w:w="0" w:type="dxa"/>
              <w:bottom w:w="0" w:type="dxa"/>
            </w:tcMar>
            <w:vAlign w:val="center"/>
          </w:tcPr>
          <w:p w14:paraId="4A952F1A" w14:textId="6A06A296"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583CDF3F" w14:textId="3C24574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8,750.00</w:t>
            </w:r>
          </w:p>
        </w:tc>
        <w:tc>
          <w:tcPr>
            <w:tcW w:w="281" w:type="pct"/>
            <w:vMerge/>
            <w:tcMar>
              <w:top w:w="0" w:type="dxa"/>
              <w:bottom w:w="0" w:type="dxa"/>
            </w:tcMar>
            <w:vAlign w:val="center"/>
          </w:tcPr>
          <w:p w14:paraId="324D55D2"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5BE21C46"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0C63921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14:paraId="62E8E62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1BD1756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4D91BC18"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7D6CF8" w:rsidRPr="00DA3766" w14:paraId="02441629" w14:textId="77777777" w:rsidTr="00BF5BFE">
        <w:trPr>
          <w:trHeight w:val="397"/>
          <w:jc w:val="center"/>
        </w:trPr>
        <w:tc>
          <w:tcPr>
            <w:tcW w:w="378" w:type="pct"/>
            <w:tcMar>
              <w:top w:w="0" w:type="dxa"/>
              <w:bottom w:w="0" w:type="dxa"/>
            </w:tcMar>
            <w:vAlign w:val="center"/>
          </w:tcPr>
          <w:p w14:paraId="1D188892" w14:textId="63523CB8"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组网设备</w:t>
            </w:r>
          </w:p>
        </w:tc>
        <w:tc>
          <w:tcPr>
            <w:tcW w:w="499" w:type="pct"/>
            <w:tcMar>
              <w:top w:w="0" w:type="dxa"/>
              <w:bottom w:w="0" w:type="dxa"/>
            </w:tcMar>
            <w:vAlign w:val="center"/>
          </w:tcPr>
          <w:p w14:paraId="513BFBD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深圳申服信息科技有限公司</w:t>
            </w:r>
          </w:p>
        </w:tc>
        <w:tc>
          <w:tcPr>
            <w:tcW w:w="374" w:type="pct"/>
            <w:tcMar>
              <w:top w:w="0" w:type="dxa"/>
              <w:bottom w:w="0" w:type="dxa"/>
            </w:tcMar>
            <w:vAlign w:val="center"/>
          </w:tcPr>
          <w:p w14:paraId="053946CB"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2024/12/7</w:t>
            </w:r>
          </w:p>
        </w:tc>
        <w:tc>
          <w:tcPr>
            <w:tcW w:w="422" w:type="pct"/>
            <w:tcMar>
              <w:top w:w="0" w:type="dxa"/>
              <w:bottom w:w="0" w:type="dxa"/>
            </w:tcMar>
            <w:vAlign w:val="center"/>
          </w:tcPr>
          <w:p w14:paraId="015D8B8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7CBD785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0BBF0026" w14:textId="72BD323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4644.00</w:t>
            </w:r>
          </w:p>
        </w:tc>
        <w:tc>
          <w:tcPr>
            <w:tcW w:w="396" w:type="pct"/>
            <w:tcMar>
              <w:top w:w="0" w:type="dxa"/>
              <w:bottom w:w="0" w:type="dxa"/>
            </w:tcMar>
            <w:vAlign w:val="center"/>
          </w:tcPr>
          <w:p w14:paraId="39755C97" w14:textId="39DABF0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rPr>
              <w:t>0.32</w:t>
            </w:r>
          </w:p>
        </w:tc>
        <w:tc>
          <w:tcPr>
            <w:tcW w:w="397" w:type="pct"/>
            <w:tcMar>
              <w:top w:w="0" w:type="dxa"/>
              <w:bottom w:w="0" w:type="dxa"/>
            </w:tcMar>
            <w:vAlign w:val="center"/>
          </w:tcPr>
          <w:p w14:paraId="666DDBD4" w14:textId="68ED0A5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1,486.08</w:t>
            </w:r>
          </w:p>
        </w:tc>
        <w:tc>
          <w:tcPr>
            <w:tcW w:w="281" w:type="pct"/>
            <w:tcMar>
              <w:top w:w="0" w:type="dxa"/>
              <w:bottom w:w="0" w:type="dxa"/>
            </w:tcMar>
            <w:vAlign w:val="center"/>
          </w:tcPr>
          <w:p w14:paraId="1F973F17" w14:textId="3A78D1F1"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北京神州新桥科技有限公司</w:t>
            </w:r>
          </w:p>
        </w:tc>
        <w:tc>
          <w:tcPr>
            <w:tcW w:w="315" w:type="pct"/>
            <w:tcMar>
              <w:top w:w="0" w:type="dxa"/>
              <w:bottom w:w="0" w:type="dxa"/>
            </w:tcMar>
            <w:vAlign w:val="center"/>
          </w:tcPr>
          <w:p w14:paraId="085C1E7D" w14:textId="4C1FF1D5"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1,604.00</w:t>
            </w:r>
          </w:p>
        </w:tc>
        <w:tc>
          <w:tcPr>
            <w:tcW w:w="294" w:type="pct"/>
            <w:tcMar>
              <w:top w:w="0" w:type="dxa"/>
              <w:bottom w:w="0" w:type="dxa"/>
            </w:tcMar>
            <w:vAlign w:val="center"/>
          </w:tcPr>
          <w:p w14:paraId="510A5FAD" w14:textId="4BD0FAE6"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深圳市巨天科技有限公司</w:t>
            </w:r>
          </w:p>
        </w:tc>
        <w:tc>
          <w:tcPr>
            <w:tcW w:w="316" w:type="pct"/>
            <w:tcMar>
              <w:top w:w="0" w:type="dxa"/>
              <w:bottom w:w="0" w:type="dxa"/>
            </w:tcMar>
            <w:vAlign w:val="center"/>
          </w:tcPr>
          <w:p w14:paraId="16054784" w14:textId="57E18C5A"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1,674.00</w:t>
            </w:r>
          </w:p>
        </w:tc>
        <w:tc>
          <w:tcPr>
            <w:tcW w:w="294" w:type="pct"/>
            <w:tcMar>
              <w:top w:w="0" w:type="dxa"/>
              <w:bottom w:w="0" w:type="dxa"/>
            </w:tcMar>
            <w:vAlign w:val="center"/>
          </w:tcPr>
          <w:p w14:paraId="63955A5C" w14:textId="555C7E44"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深圳申服信息科技公司</w:t>
            </w:r>
          </w:p>
        </w:tc>
        <w:tc>
          <w:tcPr>
            <w:tcW w:w="315" w:type="pct"/>
            <w:tcMar>
              <w:top w:w="0" w:type="dxa"/>
              <w:bottom w:w="0" w:type="dxa"/>
            </w:tcMar>
            <w:vAlign w:val="center"/>
          </w:tcPr>
          <w:p w14:paraId="73B8593B" w14:textId="329ADF64"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1,486.08</w:t>
            </w:r>
          </w:p>
        </w:tc>
      </w:tr>
    </w:tbl>
    <w:p w14:paraId="44AE7283" w14:textId="33C7F5EE" w:rsidR="00D55B20" w:rsidRPr="00DA3766" w:rsidRDefault="002E54DD" w:rsidP="008A1B9E">
      <w:pPr>
        <w:pStyle w:val="005"/>
        <w:spacing w:before="120" w:after="120"/>
        <w:ind w:firstLine="480"/>
      </w:pPr>
      <w:r w:rsidRPr="00DA3766">
        <w:t>上市公司算力项目设备采购过程中严格执行公司采购的内控制度，履行</w:t>
      </w:r>
      <w:r w:rsidR="00320112" w:rsidRPr="00DA3766">
        <w:t>询价比价程序，经过筛选确定北京中嘉汇溪科技有限公司、上海弘仁国际贸易有限公司和杏蕴（厦门）贸易有限公司作为服务器供应商，深圳申服信息科技有限公司作为组网设备的供应商。相关采购价格公允，采购数量、采购日期、交付日期以及验收日期不存在显著异常情形。</w:t>
      </w:r>
    </w:p>
    <w:p w14:paraId="14BD94E8" w14:textId="237EB268" w:rsidR="00D55B20" w:rsidRPr="00DA3766" w:rsidRDefault="00D55B20" w:rsidP="002E54DD">
      <w:pPr>
        <w:snapToGrid w:val="0"/>
        <w:spacing w:before="120" w:afterLines="0" w:after="120"/>
        <w:ind w:firstLine="480"/>
        <w:jc w:val="both"/>
        <w:rPr>
          <w:rFonts w:ascii="Times New Roman" w:hAnsi="Times New Roman" w:cs="Times New Roman"/>
        </w:rPr>
        <w:sectPr w:rsidR="00D55B20" w:rsidRPr="00DA3766" w:rsidSect="00D55B20">
          <w:pgSz w:w="16838" w:h="11906" w:orient="landscape"/>
          <w:pgMar w:top="1797" w:right="1440" w:bottom="1797" w:left="1440" w:header="851" w:footer="992" w:gutter="0"/>
          <w:cols w:space="425"/>
          <w:docGrid w:linePitch="312"/>
        </w:sectPr>
      </w:pPr>
    </w:p>
    <w:p w14:paraId="6F045D35" w14:textId="78E74B74" w:rsidR="003F2129" w:rsidRPr="00DA3766" w:rsidRDefault="00DA3766" w:rsidP="00DA3766">
      <w:pPr>
        <w:keepNext/>
        <w:keepLines/>
        <w:widowControl w:val="0"/>
        <w:spacing w:before="120" w:after="120"/>
        <w:ind w:left="848" w:firstLineChars="0" w:hanging="366"/>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2</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ab/>
      </w:r>
      <w:r w:rsidR="003F2129" w:rsidRPr="00DA3766">
        <w:rPr>
          <w:rFonts w:ascii="Times New Roman" w:hAnsi="Times New Roman" w:cs="Times New Roman"/>
          <w:b/>
          <w:bCs/>
          <w:kern w:val="2"/>
          <w:szCs w:val="28"/>
        </w:rPr>
        <w:t>光伏业务设备采购对应供应商的基本情况</w:t>
      </w:r>
    </w:p>
    <w:p w14:paraId="1578B59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）光伏业务设备采购对应供应商基本信息</w:t>
      </w:r>
    </w:p>
    <w:p w14:paraId="52DB14BB"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上市公司算力项目设备的主要供应商为湖南省第四工程有限公司、上海市安装工程集团有限公司，以上供应商与上市公司不存在关联方关系，股东之间亦不存在关联方关系，具体情况如下：</w:t>
      </w:r>
    </w:p>
    <w:p w14:paraId="39B7309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）湖南省第四工程有限公司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02DF3125" w14:textId="77777777" w:rsidTr="00DA3766">
        <w:trPr>
          <w:trHeight w:val="397"/>
          <w:jc w:val="center"/>
        </w:trPr>
        <w:tc>
          <w:tcPr>
            <w:tcW w:w="895" w:type="pct"/>
            <w:vAlign w:val="center"/>
          </w:tcPr>
          <w:p w14:paraId="43CFBE7D"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13CB8CA4"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湖南省第四工程有限公司</w:t>
            </w:r>
          </w:p>
        </w:tc>
      </w:tr>
      <w:tr w:rsidR="003F2129" w:rsidRPr="00DA3766" w14:paraId="3080D7FF" w14:textId="77777777" w:rsidTr="00DA3766">
        <w:trPr>
          <w:trHeight w:val="397"/>
          <w:jc w:val="center"/>
        </w:trPr>
        <w:tc>
          <w:tcPr>
            <w:tcW w:w="895" w:type="pct"/>
            <w:vAlign w:val="center"/>
          </w:tcPr>
          <w:p w14:paraId="476D097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3D102C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吴顺利</w:t>
            </w:r>
          </w:p>
        </w:tc>
      </w:tr>
      <w:tr w:rsidR="003F2129" w:rsidRPr="00DA3766" w14:paraId="76201FE6" w14:textId="77777777" w:rsidTr="00DA3766">
        <w:trPr>
          <w:trHeight w:val="397"/>
          <w:jc w:val="center"/>
        </w:trPr>
        <w:tc>
          <w:tcPr>
            <w:tcW w:w="895" w:type="pct"/>
            <w:vAlign w:val="center"/>
          </w:tcPr>
          <w:p w14:paraId="59EB30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2EBBCF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1958-08-10</w:t>
            </w:r>
          </w:p>
        </w:tc>
      </w:tr>
      <w:tr w:rsidR="003F2129" w:rsidRPr="00DA3766" w14:paraId="6B4C3B2D" w14:textId="77777777" w:rsidTr="00DA3766">
        <w:trPr>
          <w:trHeight w:val="397"/>
          <w:jc w:val="center"/>
        </w:trPr>
        <w:tc>
          <w:tcPr>
            <w:tcW w:w="895" w:type="pct"/>
            <w:vAlign w:val="center"/>
          </w:tcPr>
          <w:p w14:paraId="4974A3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1AAC9E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150,000.00</w:t>
            </w:r>
            <w:r w:rsidRPr="00DA3766">
              <w:rPr>
                <w:rFonts w:ascii="Times New Roman" w:hAnsi="Times New Roman" w:cs="Times New Roman"/>
                <w:color w:val="000000"/>
                <w:kern w:val="2"/>
                <w:sz w:val="21"/>
                <w14:ligatures w14:val="standardContextual"/>
              </w:rPr>
              <w:t>万元</w:t>
            </w:r>
          </w:p>
        </w:tc>
      </w:tr>
      <w:tr w:rsidR="003F2129" w:rsidRPr="00DA3766" w14:paraId="13717F0A" w14:textId="77777777" w:rsidTr="00DA3766">
        <w:trPr>
          <w:trHeight w:val="397"/>
          <w:jc w:val="center"/>
        </w:trPr>
        <w:tc>
          <w:tcPr>
            <w:tcW w:w="895" w:type="pct"/>
            <w:vAlign w:val="center"/>
          </w:tcPr>
          <w:p w14:paraId="66871C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684AAA3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湖南建工集团有限公司</w:t>
            </w:r>
            <w:r w:rsidRPr="00DA3766">
              <w:rPr>
                <w:rFonts w:ascii="Times New Roman" w:hAnsi="Times New Roman" w:cs="Times New Roman"/>
                <w:color w:val="000000"/>
                <w:kern w:val="2"/>
                <w:sz w:val="21"/>
                <w14:ligatures w14:val="standardContextual"/>
              </w:rPr>
              <w:t>100.00%</w:t>
            </w:r>
          </w:p>
        </w:tc>
      </w:tr>
      <w:tr w:rsidR="003F2129" w:rsidRPr="00DA3766" w14:paraId="29F25BCE" w14:textId="77777777" w:rsidTr="00DA3766">
        <w:trPr>
          <w:trHeight w:val="397"/>
          <w:jc w:val="center"/>
        </w:trPr>
        <w:tc>
          <w:tcPr>
            <w:tcW w:w="895" w:type="pct"/>
            <w:vAlign w:val="center"/>
          </w:tcPr>
          <w:p w14:paraId="042361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5C6BAD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3000-3999</w:t>
            </w:r>
            <w:r w:rsidRPr="00DA3766">
              <w:rPr>
                <w:rFonts w:ascii="Times New Roman" w:hAnsi="Times New Roman" w:cs="Times New Roman"/>
                <w:color w:val="000000"/>
                <w:kern w:val="2"/>
                <w:sz w:val="21"/>
                <w14:ligatures w14:val="standardContextual"/>
              </w:rPr>
              <w:t>人</w:t>
            </w:r>
          </w:p>
        </w:tc>
      </w:tr>
      <w:tr w:rsidR="003F2129" w:rsidRPr="00DA3766" w14:paraId="66A80254" w14:textId="77777777" w:rsidTr="00DA3766">
        <w:trPr>
          <w:trHeight w:val="397"/>
          <w:jc w:val="center"/>
        </w:trPr>
        <w:tc>
          <w:tcPr>
            <w:tcW w:w="895" w:type="pct"/>
            <w:vAlign w:val="center"/>
          </w:tcPr>
          <w:p w14:paraId="51B8A9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34561D1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5439480" w14:textId="77777777" w:rsidTr="00DA3766">
        <w:trPr>
          <w:trHeight w:val="397"/>
          <w:jc w:val="center"/>
        </w:trPr>
        <w:tc>
          <w:tcPr>
            <w:tcW w:w="895" w:type="pct"/>
            <w:vAlign w:val="center"/>
          </w:tcPr>
          <w:p w14:paraId="566E49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5FF641B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邵阳市双清区东大路</w:t>
            </w:r>
            <w:r w:rsidRPr="00DA3766">
              <w:rPr>
                <w:rFonts w:ascii="Times New Roman" w:hAnsi="Times New Roman" w:cs="Times New Roman"/>
                <w:color w:val="000000"/>
                <w:kern w:val="2"/>
                <w:sz w:val="21"/>
                <w14:ligatures w14:val="standardContextual"/>
              </w:rPr>
              <w:t>675</w:t>
            </w:r>
            <w:r w:rsidRPr="00DA3766">
              <w:rPr>
                <w:rFonts w:ascii="Times New Roman" w:hAnsi="Times New Roman" w:cs="Times New Roman"/>
                <w:color w:val="000000"/>
                <w:kern w:val="2"/>
                <w:sz w:val="21"/>
                <w14:ligatures w14:val="standardContextual"/>
              </w:rPr>
              <w:t>号</w:t>
            </w:r>
          </w:p>
        </w:tc>
      </w:tr>
      <w:tr w:rsidR="003F2129" w:rsidRPr="00DA3766" w14:paraId="211526E5" w14:textId="77777777" w:rsidTr="00DA3766">
        <w:trPr>
          <w:trHeight w:val="397"/>
          <w:jc w:val="center"/>
        </w:trPr>
        <w:tc>
          <w:tcPr>
            <w:tcW w:w="895" w:type="pct"/>
            <w:vAlign w:val="center"/>
          </w:tcPr>
          <w:p w14:paraId="0CA49A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1C86D4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承包各类通用工业与民用建筑项目的建筑施工（包括装饰、市政公用、地基与基础、打桩、钢结构、高耸构筑物、环保、水电、水利、消防、警报、电梯、通风空调、园林绿化工程）；承包公路工程、桥梁工程及普通设备仪表安装、建筑设计、房屋拆除、渣土清运、建筑幕墙工程；建筑材料（不含危险化学品）及钢结构制品的销售；承装（修、试）电力设施；电力工程设计咨询；承担建筑装饰工程、建筑幕墙工程、轻型钢结构工程、建筑智能化系统、照明工程和消防设施工程设计相应范围的甲级专项工程设计业务；从事资质证书许可范围内相应的建设工程总承包业务以及项目管理和相关的技术与管理服务；承包境外房屋建筑、市政公用、地基与基础、钢结构、高耸构筑物、环保、桥梁工程、园林绿化和境内国际招标工程，上述境外工程所需的设备、材料出口；房地产开发经营；物业管理。（依法须经批准的项目，经相关部门批准后方可开展经营活动）</w:t>
            </w:r>
          </w:p>
        </w:tc>
      </w:tr>
    </w:tbl>
    <w:p w14:paraId="4381DA7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）上海市安装工程集团有限公司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123D8608" w14:textId="77777777" w:rsidTr="00BF5BFE">
        <w:trPr>
          <w:trHeight w:val="397"/>
          <w:jc w:val="center"/>
        </w:trPr>
        <w:tc>
          <w:tcPr>
            <w:tcW w:w="895" w:type="pct"/>
            <w:vAlign w:val="center"/>
          </w:tcPr>
          <w:p w14:paraId="67A6AE57"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007B38C5"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上海市安装工程集团有限公司</w:t>
            </w:r>
          </w:p>
        </w:tc>
      </w:tr>
      <w:tr w:rsidR="003F2129" w:rsidRPr="00DA3766" w14:paraId="77A9D71E" w14:textId="77777777" w:rsidTr="00BF5BFE">
        <w:trPr>
          <w:trHeight w:val="397"/>
          <w:jc w:val="center"/>
        </w:trPr>
        <w:tc>
          <w:tcPr>
            <w:tcW w:w="895" w:type="pct"/>
            <w:vAlign w:val="center"/>
          </w:tcPr>
          <w:p w14:paraId="5D4B97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3806CB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黄震</w:t>
            </w:r>
          </w:p>
        </w:tc>
      </w:tr>
      <w:tr w:rsidR="003F2129" w:rsidRPr="00DA3766" w14:paraId="2349A687" w14:textId="77777777" w:rsidTr="00BF5BFE">
        <w:trPr>
          <w:trHeight w:val="397"/>
          <w:jc w:val="center"/>
        </w:trPr>
        <w:tc>
          <w:tcPr>
            <w:tcW w:w="895" w:type="pct"/>
            <w:vAlign w:val="center"/>
          </w:tcPr>
          <w:p w14:paraId="49AE88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47BFC7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1993-09-21</w:t>
            </w:r>
          </w:p>
        </w:tc>
      </w:tr>
      <w:tr w:rsidR="003F2129" w:rsidRPr="00DA3766" w14:paraId="0ECBEC27" w14:textId="77777777" w:rsidTr="00BF5BFE">
        <w:trPr>
          <w:trHeight w:val="397"/>
          <w:jc w:val="center"/>
        </w:trPr>
        <w:tc>
          <w:tcPr>
            <w:tcW w:w="895" w:type="pct"/>
            <w:vAlign w:val="center"/>
          </w:tcPr>
          <w:p w14:paraId="5B8648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49A9B6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50,000.00</w:t>
            </w:r>
            <w:r w:rsidRPr="00DA3766">
              <w:rPr>
                <w:rFonts w:ascii="Times New Roman" w:hAnsi="Times New Roman" w:cs="Times New Roman"/>
                <w:color w:val="000000"/>
                <w:kern w:val="2"/>
                <w:sz w:val="21"/>
                <w14:ligatures w14:val="standardContextual"/>
              </w:rPr>
              <w:t>万元</w:t>
            </w:r>
          </w:p>
        </w:tc>
      </w:tr>
      <w:tr w:rsidR="003F2129" w:rsidRPr="00DA3766" w14:paraId="06C90A9B" w14:textId="77777777" w:rsidTr="00BF5BFE">
        <w:trPr>
          <w:trHeight w:val="397"/>
          <w:jc w:val="center"/>
        </w:trPr>
        <w:tc>
          <w:tcPr>
            <w:tcW w:w="895" w:type="pct"/>
            <w:vAlign w:val="center"/>
          </w:tcPr>
          <w:p w14:paraId="402F53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72B0E1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上海建工集团股份有限公司</w:t>
            </w:r>
            <w:r w:rsidRPr="00DA3766">
              <w:rPr>
                <w:rFonts w:ascii="Times New Roman" w:hAnsi="Times New Roman" w:cs="Times New Roman"/>
                <w:color w:val="000000"/>
                <w:kern w:val="2"/>
                <w:sz w:val="21"/>
                <w14:ligatures w14:val="standardContextual"/>
              </w:rPr>
              <w:t>100.00%</w:t>
            </w:r>
          </w:p>
        </w:tc>
      </w:tr>
      <w:tr w:rsidR="003F2129" w:rsidRPr="00DA3766" w14:paraId="32010E82" w14:textId="77777777" w:rsidTr="00BF5BFE">
        <w:trPr>
          <w:trHeight w:val="397"/>
          <w:jc w:val="center"/>
        </w:trPr>
        <w:tc>
          <w:tcPr>
            <w:tcW w:w="895" w:type="pct"/>
            <w:vAlign w:val="center"/>
          </w:tcPr>
          <w:p w14:paraId="69A89A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044A50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2000-2999</w:t>
            </w:r>
            <w:r w:rsidRPr="00DA3766">
              <w:rPr>
                <w:rFonts w:ascii="Times New Roman" w:hAnsi="Times New Roman" w:cs="Times New Roman"/>
                <w:color w:val="000000"/>
                <w:kern w:val="2"/>
                <w:sz w:val="21"/>
                <w14:ligatures w14:val="standardContextual"/>
              </w:rPr>
              <w:t>人</w:t>
            </w:r>
          </w:p>
        </w:tc>
      </w:tr>
      <w:tr w:rsidR="003F2129" w:rsidRPr="00DA3766" w14:paraId="16BD5C51" w14:textId="77777777" w:rsidTr="00BF5BFE">
        <w:trPr>
          <w:trHeight w:val="397"/>
          <w:jc w:val="center"/>
        </w:trPr>
        <w:tc>
          <w:tcPr>
            <w:tcW w:w="895" w:type="pct"/>
            <w:vAlign w:val="center"/>
          </w:tcPr>
          <w:p w14:paraId="6D9670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3F6813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740F432" w14:textId="77777777" w:rsidTr="00BF5BFE">
        <w:trPr>
          <w:trHeight w:val="397"/>
          <w:jc w:val="center"/>
        </w:trPr>
        <w:tc>
          <w:tcPr>
            <w:tcW w:w="895" w:type="pct"/>
            <w:vAlign w:val="center"/>
          </w:tcPr>
          <w:p w14:paraId="798B599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注册地址</w:t>
            </w:r>
          </w:p>
        </w:tc>
        <w:tc>
          <w:tcPr>
            <w:tcW w:w="4105" w:type="pct"/>
            <w:vAlign w:val="center"/>
          </w:tcPr>
          <w:p w14:paraId="71F962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上海市虹口区塘沽路</w:t>
            </w:r>
            <w:r w:rsidRPr="00DA3766">
              <w:rPr>
                <w:rFonts w:ascii="Times New Roman" w:hAnsi="Times New Roman" w:cs="Times New Roman"/>
                <w:color w:val="000000"/>
                <w:kern w:val="2"/>
                <w:sz w:val="21"/>
                <w14:ligatures w14:val="standardContextual"/>
              </w:rPr>
              <w:t>390</w:t>
            </w:r>
            <w:r w:rsidRPr="00DA3766">
              <w:rPr>
                <w:rFonts w:ascii="Times New Roman" w:hAnsi="Times New Roman" w:cs="Times New Roman"/>
                <w:color w:val="000000"/>
                <w:kern w:val="2"/>
                <w:sz w:val="21"/>
                <w14:ligatures w14:val="standardContextual"/>
              </w:rPr>
              <w:t>号</w:t>
            </w:r>
          </w:p>
        </w:tc>
      </w:tr>
      <w:tr w:rsidR="003F2129" w:rsidRPr="00DA3766" w14:paraId="6B08739A" w14:textId="77777777" w:rsidTr="00BF5BFE">
        <w:trPr>
          <w:trHeight w:val="397"/>
          <w:jc w:val="center"/>
        </w:trPr>
        <w:tc>
          <w:tcPr>
            <w:tcW w:w="895" w:type="pct"/>
            <w:vAlign w:val="center"/>
          </w:tcPr>
          <w:p w14:paraId="61E4CF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1F910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许可项目：建设工程施工；建设工程设计；特种设备设计；特种设备安装改造修理；特种设备制造；第三类医疗器械经营。（依法须经批准的项目，经相关部门批准后方可开展经营活动，具体经营项目以相关部门批准文件或许可证件为准）一般项目：物业管理；第二类医疗器械销售。（除依法须经批准的项目外，凭营业执照依法自主开展经营活动）自主展示（特色）项目：消防技术服务；机械电气设备销售；电气设备销售；建筑材料销售；建筑装饰材料销售；机械设备销售；制冷、空调设备销售；智能输配电及控制设备销售；配电开关控制设备销售；消防器材销售；环境保护专用设备销售；生态环境材料销售；新能源原动设备销售；光伏设备及元器件销售；家具销售；家具安装和维修服务；专用设备修理；通用设备修理；智能机器人的研发；智能物料搬运装备销售；物料搬运装备销售；工程管理服务；合同能源管理。</w:t>
            </w:r>
          </w:p>
        </w:tc>
      </w:tr>
    </w:tbl>
    <w:p w14:paraId="3E47D72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）光伏业务采购数量、采购日期、交付日期、验收日期、采购价格及同期市价</w:t>
      </w:r>
    </w:p>
    <w:p w14:paraId="6516B97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公司</w:t>
      </w:r>
      <w:r w:rsidRPr="00DA3766">
        <w:rPr>
          <w:rFonts w:ascii="Times New Roman" w:hAnsi="Times New Roman" w:cs="Times New Roman"/>
          <w:kern w:val="2"/>
          <w14:ligatures w14:val="standardContextual"/>
        </w:rPr>
        <w:t>5MW</w:t>
      </w:r>
      <w:r w:rsidRPr="00DA3766">
        <w:rPr>
          <w:rFonts w:ascii="Times New Roman" w:hAnsi="Times New Roman" w:cs="Times New Roman"/>
          <w:kern w:val="2"/>
          <w14:ligatures w14:val="standardContextual"/>
        </w:rPr>
        <w:t>以上的光伏项目具体情况如下：</w:t>
      </w:r>
    </w:p>
    <w:p w14:paraId="33D67F3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月，上市公司子公司恒台爱道光伏发电有限公司与承包方湖南省第四工程有限公司签订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总承包合同，项目名称为山东有道轮胎有限公司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分布式光伏发电项目，实际总装机容量为</w:t>
      </w:r>
      <w:r w:rsidRPr="00DA3766">
        <w:rPr>
          <w:rFonts w:ascii="Times New Roman" w:hAnsi="Times New Roman" w:cs="Times New Roman"/>
          <w:kern w:val="2"/>
          <w14:ligatures w14:val="standardContextual"/>
        </w:rPr>
        <w:t>11.96MW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3.8</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月达到预定可使用状态，按时结转为固定资产。</w:t>
      </w:r>
    </w:p>
    <w:p w14:paraId="46DC6C6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月，上市公司与承包商上海市安装工程集团有限公司签订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地面分布式光伏电站，实际总装机容量为</w:t>
      </w:r>
      <w:r w:rsidRPr="00DA3766">
        <w:rPr>
          <w:rFonts w:ascii="Times New Roman" w:hAnsi="Times New Roman" w:cs="Times New Roman"/>
          <w:kern w:val="2"/>
          <w14:ligatures w14:val="standardContextual"/>
        </w:rPr>
        <w:t>24.23MW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3.15</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月达到预定可使用状态，按时结转为固定资产。</w:t>
      </w:r>
    </w:p>
    <w:p w14:paraId="11368C9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月，上市公司与承包方上海市安装工程集团有限公司签订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总承包合同，项目名称天宝实业分布式光伏发电项目，实际总装机容量为</w:t>
      </w:r>
      <w:r w:rsidRPr="00DA3766">
        <w:rPr>
          <w:rFonts w:ascii="Times New Roman" w:hAnsi="Times New Roman" w:cs="Times New Roman"/>
          <w:kern w:val="2"/>
          <w14:ligatures w14:val="standardContextual"/>
        </w:rPr>
        <w:t>13.56MW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4.30</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月达到预定可使用状态，按时结转为固定资产。</w:t>
      </w:r>
    </w:p>
    <w:p w14:paraId="74BB93E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根据伍德麦肯兹光伏研究团队近期发布最新报《中国分布式光伏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中标概况</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年，中国工商业光伏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中标均价</w:t>
      </w:r>
      <w:r w:rsidRPr="00DA3766">
        <w:rPr>
          <w:rFonts w:ascii="Times New Roman" w:hAnsi="Times New Roman" w:cs="Times New Roman"/>
          <w:kern w:val="2"/>
          <w14:ligatures w14:val="standardContextual"/>
        </w:rPr>
        <w:t>3.34</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，中国用户光伏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中标均价</w:t>
      </w:r>
      <w:r w:rsidRPr="00DA3766">
        <w:rPr>
          <w:rFonts w:ascii="Times New Roman" w:hAnsi="Times New Roman" w:cs="Times New Roman"/>
          <w:kern w:val="2"/>
          <w14:ligatures w14:val="standardContextual"/>
        </w:rPr>
        <w:t>3.39</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，考虑到分布式光伏价格与项目设计、规模、施工难度等要求密切相关，上市公司光伏项目合同价格与同期市价不存在显著差异。</w:t>
      </w:r>
    </w:p>
    <w:p w14:paraId="5B250C95"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（二）对应固定资产、在建工程的会计核算是否准确，在建工程是否按时转固</w:t>
      </w:r>
    </w:p>
    <w:p w14:paraId="3760950F"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固定资产按照成本进行初始计量。对于外购固定资产的成本，包括购买价款、相关税费、使固定资产达到预定可使用状态前所发生的可归属于该项资产的运输费、装卸费、安装费和专业人员服务费等。外购固定资产在验收入库时，上市公司将其计入工程物资，领用出库时，计入固定资产。对于自行建造固定资产的成本，由建造该项资产达到预定可使用状态前所发生的必要支出构成。</w:t>
      </w:r>
    </w:p>
    <w:p w14:paraId="0F432DA1"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在建工程分项目进行核算，将项目达到预定可使用状态前所发生的必要支出的成本进行归集，确认为在建工程。公司待在建工程项目达到预定可使用状态，且相关成本能够可靠计量时，结转固定资产或长期待摊费用。固定资产和在建工程的费用归集符合《企业会计准则第</w:t>
      </w: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固定资产》的规定。</w:t>
      </w:r>
    </w:p>
    <w:p w14:paraId="1F3A306A"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对于算力项目、光伏项目固定资产，达到预定可使用状态经使用部门验收后转入固定资产。报告期内，公司在建工程能够在达到可使用状态以后及时转入固定资产。</w:t>
      </w:r>
    </w:p>
    <w:p w14:paraId="16600B7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综上，上市公司算力项目、光伏项目设备采购供应商与公司不存在关联关系；公司固定资产、在建工程核算准确、合规，在建工程按时转固。</w:t>
      </w:r>
    </w:p>
    <w:p w14:paraId="7DA43CC6"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十、上市公司与深圳移动的算力服务项目约定交付期限较短的原因及合理性，已完成交付的情况下截至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14:paraId="20BC7DC1"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（一）上市公司与深圳移动的算力服务项目约定交付期限较短的原因及合理性，已完成交付的情况下截至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w:t>
      </w:r>
    </w:p>
    <w:p w14:paraId="7A311878"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kern w:val="2"/>
          <w:szCs w:val="32"/>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kern w:val="2"/>
          <w:szCs w:val="32"/>
        </w:rPr>
        <w:t>上市公司与深圳移动的算力服务项目约定交付期限较短的原因及合理性</w:t>
      </w:r>
    </w:p>
    <w:p w14:paraId="4884BF1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上市公司在与深圳移动签订合同前已收到甄选结果通知，并提前备货，合同约定的设备到货及集成服务期限短具备合理性。具体情况如下：</w:t>
      </w:r>
    </w:p>
    <w:p w14:paraId="27A47768"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lastRenderedPageBreak/>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10</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18</w:t>
      </w:r>
      <w:r w:rsidRPr="00DA3766">
        <w:rPr>
          <w:rFonts w:ascii="Times New Roman" w:hAnsi="Times New Roman" w:cs="Times New Roman"/>
          <w:bCs/>
          <w:kern w:val="2"/>
          <w:szCs w:val="32"/>
        </w:rPr>
        <w:t>日，公司收到中国移动通信集团广东有限公司深圳分公司关于</w:t>
      </w:r>
      <w:r w:rsidRPr="00DA3766">
        <w:rPr>
          <w:rFonts w:cs="Times New Roman"/>
          <w:bCs/>
          <w:kern w:val="2"/>
          <w:szCs w:val="32"/>
        </w:rPr>
        <w:t>“</w:t>
      </w:r>
      <w:r w:rsidRPr="00DA3766">
        <w:rPr>
          <w:rFonts w:ascii="Times New Roman" w:hAnsi="Times New Roman" w:cs="Times New Roman"/>
          <w:bCs/>
          <w:kern w:val="2"/>
          <w:szCs w:val="32"/>
        </w:rPr>
        <w:t>算力网络集群服务项目算力服务</w:t>
      </w:r>
      <w:r w:rsidRPr="00DA3766">
        <w:rPr>
          <w:rFonts w:cs="Times New Roman"/>
          <w:bCs/>
          <w:kern w:val="2"/>
          <w:szCs w:val="32"/>
        </w:rPr>
        <w:t>”</w:t>
      </w:r>
      <w:r w:rsidRPr="00DA3766">
        <w:rPr>
          <w:rFonts w:ascii="Times New Roman" w:hAnsi="Times New Roman" w:cs="Times New Roman"/>
          <w:bCs/>
          <w:kern w:val="2"/>
          <w:szCs w:val="32"/>
        </w:rPr>
        <w:t>项目和</w:t>
      </w:r>
      <w:r w:rsidRPr="00DA3766">
        <w:rPr>
          <w:rFonts w:cs="Times New Roman"/>
          <w:bCs/>
          <w:kern w:val="2"/>
          <w:szCs w:val="32"/>
        </w:rPr>
        <w:t>“</w:t>
      </w:r>
      <w:r w:rsidRPr="00DA3766">
        <w:rPr>
          <w:rFonts w:ascii="Times New Roman" w:hAnsi="Times New Roman" w:cs="Times New Roman"/>
          <w:bCs/>
          <w:kern w:val="2"/>
          <w:szCs w:val="32"/>
        </w:rPr>
        <w:t>算力网络集群服务项目算力维保服务</w:t>
      </w:r>
      <w:r w:rsidRPr="00DA3766">
        <w:rPr>
          <w:rFonts w:cs="Times New Roman"/>
          <w:bCs/>
          <w:kern w:val="2"/>
          <w:szCs w:val="32"/>
        </w:rPr>
        <w:t>”</w:t>
      </w:r>
      <w:r w:rsidRPr="00DA3766">
        <w:rPr>
          <w:rFonts w:ascii="Times New Roman" w:hAnsi="Times New Roman" w:cs="Times New Roman"/>
          <w:bCs/>
          <w:kern w:val="2"/>
          <w:szCs w:val="32"/>
        </w:rPr>
        <w:t>项目的甄选结果通知，经评定，公司为上述项目的中选单位。其中</w:t>
      </w:r>
      <w:r w:rsidRPr="00DA3766">
        <w:rPr>
          <w:rFonts w:cs="Times New Roman"/>
          <w:bCs/>
          <w:kern w:val="2"/>
          <w:szCs w:val="32"/>
        </w:rPr>
        <w:t>“</w:t>
      </w:r>
      <w:r w:rsidRPr="00DA3766">
        <w:rPr>
          <w:rFonts w:ascii="Times New Roman" w:hAnsi="Times New Roman" w:cs="Times New Roman"/>
          <w:bCs/>
          <w:kern w:val="2"/>
          <w:szCs w:val="32"/>
        </w:rPr>
        <w:t>某客户算力网络集群服务项目算力服务</w:t>
      </w:r>
      <w:r w:rsidRPr="00DA3766">
        <w:rPr>
          <w:rFonts w:cs="Times New Roman"/>
          <w:bCs/>
          <w:kern w:val="2"/>
          <w:szCs w:val="32"/>
        </w:rPr>
        <w:t>”</w:t>
      </w:r>
      <w:r w:rsidRPr="00DA3766">
        <w:rPr>
          <w:rFonts w:ascii="Times New Roman" w:hAnsi="Times New Roman" w:cs="Times New Roman"/>
          <w:bCs/>
          <w:kern w:val="2"/>
          <w:szCs w:val="32"/>
        </w:rPr>
        <w:t>中选金额</w:t>
      </w:r>
      <w:r w:rsidRPr="00DA3766">
        <w:rPr>
          <w:rFonts w:ascii="Times New Roman" w:hAnsi="Times New Roman" w:cs="Times New Roman"/>
          <w:bCs/>
          <w:kern w:val="2"/>
          <w:szCs w:val="32"/>
        </w:rPr>
        <w:t>33,086.04</w:t>
      </w:r>
      <w:r w:rsidRPr="00DA3766">
        <w:rPr>
          <w:rFonts w:ascii="Times New Roman" w:hAnsi="Times New Roman" w:cs="Times New Roman"/>
          <w:bCs/>
          <w:kern w:val="2"/>
          <w:szCs w:val="32"/>
        </w:rPr>
        <w:t>万元（含税），</w:t>
      </w:r>
      <w:r w:rsidRPr="00DA3766">
        <w:rPr>
          <w:rFonts w:cs="Times New Roman"/>
          <w:bCs/>
          <w:kern w:val="2"/>
          <w:szCs w:val="32"/>
        </w:rPr>
        <w:t>“</w:t>
      </w:r>
      <w:r w:rsidRPr="00DA3766">
        <w:rPr>
          <w:rFonts w:ascii="Times New Roman" w:hAnsi="Times New Roman" w:cs="Times New Roman"/>
          <w:bCs/>
          <w:kern w:val="2"/>
          <w:szCs w:val="32"/>
        </w:rPr>
        <w:t>某客户算力网络集群服务项目算力维保服务</w:t>
      </w:r>
      <w:r w:rsidRPr="00DA3766">
        <w:rPr>
          <w:rFonts w:cs="Times New Roman"/>
          <w:bCs/>
          <w:kern w:val="2"/>
          <w:szCs w:val="32"/>
        </w:rPr>
        <w:t>”</w:t>
      </w:r>
      <w:r w:rsidRPr="00DA3766">
        <w:rPr>
          <w:rFonts w:ascii="Times New Roman" w:hAnsi="Times New Roman" w:cs="Times New Roman"/>
          <w:bCs/>
          <w:kern w:val="2"/>
          <w:szCs w:val="32"/>
        </w:rPr>
        <w:t>中选金额</w:t>
      </w:r>
      <w:r w:rsidRPr="00DA3766">
        <w:rPr>
          <w:rFonts w:ascii="Times New Roman" w:hAnsi="Times New Roman" w:cs="Times New Roman"/>
          <w:bCs/>
          <w:kern w:val="2"/>
          <w:szCs w:val="32"/>
        </w:rPr>
        <w:t>5,169.76</w:t>
      </w:r>
      <w:r w:rsidRPr="00DA3766">
        <w:rPr>
          <w:rFonts w:ascii="Times New Roman" w:hAnsi="Times New Roman" w:cs="Times New Roman"/>
          <w:bCs/>
          <w:kern w:val="2"/>
          <w:szCs w:val="32"/>
        </w:rPr>
        <w:t>万元（含税），两项目合计约</w:t>
      </w:r>
      <w:r w:rsidRPr="00DA3766">
        <w:rPr>
          <w:rFonts w:ascii="Times New Roman" w:hAnsi="Times New Roman" w:cs="Times New Roman"/>
          <w:bCs/>
          <w:kern w:val="2"/>
          <w:szCs w:val="32"/>
        </w:rPr>
        <w:t>3.83</w:t>
      </w:r>
      <w:r w:rsidRPr="00DA3766">
        <w:rPr>
          <w:rFonts w:ascii="Times New Roman" w:hAnsi="Times New Roman" w:cs="Times New Roman"/>
          <w:bCs/>
          <w:kern w:val="2"/>
          <w:szCs w:val="32"/>
        </w:rPr>
        <w:t>亿元。</w:t>
      </w:r>
    </w:p>
    <w:p w14:paraId="6B85894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年国内算力市场规模呈现高速发展态势，高性能算力服务设备供不应求，公司中选算力服务项目后，就设备性能要求、数量、交付期及交付方式等提前收集和比较供应商报价，保证算力服务设备能按期到货。</w:t>
      </w:r>
    </w:p>
    <w:p w14:paraId="7CF040FB"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6</w:t>
      </w:r>
      <w:r w:rsidRPr="00DA3766">
        <w:rPr>
          <w:rFonts w:ascii="Times New Roman" w:hAnsi="Times New Roman" w:cs="Times New Roman"/>
          <w:bCs/>
          <w:kern w:val="2"/>
          <w:szCs w:val="32"/>
        </w:rPr>
        <w:t>日，公司与深圳移动签署《算力网络集群服务项目算力服务实施合同》《算力网络集群服务项目算力维保服务实施合同》，合同约定于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日前项目所需所有硬件设备到货。</w:t>
      </w:r>
    </w:p>
    <w:p w14:paraId="27F9D572"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该算力服务项目实际交付日期与合同约定日期出现延期情况，公司就延期原因与客户和供应商进行沟通，协商解决，公司于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19</w:t>
      </w:r>
      <w:r w:rsidRPr="00DA3766">
        <w:rPr>
          <w:rFonts w:ascii="Times New Roman" w:hAnsi="Times New Roman" w:cs="Times New Roman"/>
          <w:bCs/>
          <w:kern w:val="2"/>
          <w:szCs w:val="32"/>
        </w:rPr>
        <w:t>日完成项目设备组网，并于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月完成项目集成、调试、试运行，达到合同预定可使用状态满足后续为客户提供既定服务的条件。</w:t>
      </w:r>
    </w:p>
    <w:p w14:paraId="367E3E6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与深圳移动的算力服务项目约定期限较短的原因主要系合同签订时间前，上市公司已经收到甄选结果通知，具备商业合理性，上市公司在取得甄选结果通知后快速选定供应商并进行采购，合同约定期限短具备合理性。</w:t>
      </w:r>
    </w:p>
    <w:p w14:paraId="242D7E1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w:t>
      </w:r>
    </w:p>
    <w:p w14:paraId="004A1AEF"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算力设备交付后需要复杂的集成调试及试运行，达到既定的可使用状态，满足后续为客户提供服务的基本条件方可进行转固。上市公司算力设备转固的具体情况如下：</w:t>
      </w:r>
    </w:p>
    <w:p w14:paraId="35F8049D"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上市公司就算力设备进行软硬件协调兼容调试及试运行后，于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月取得深圳移动出具的正式服务通知函，通知函确认公司算力设备从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月正式投入服务，并按照合同约定进行正式服务计费。</w:t>
      </w:r>
    </w:p>
    <w:p w14:paraId="06D5C0F3"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年年末，该算力服务项目仍处于软件及数据库的部署、调试及试运行</w:t>
      </w:r>
      <w:r w:rsidRPr="00DA3766">
        <w:rPr>
          <w:rFonts w:ascii="Times New Roman" w:hAnsi="Times New Roman" w:cs="Times New Roman"/>
          <w:bCs/>
          <w:kern w:val="2"/>
          <w:szCs w:val="32"/>
        </w:rPr>
        <w:lastRenderedPageBreak/>
        <w:t>阶段，暂时未达到预定可使用状态，所以仍计入在建工程核算，未转入固定资产，公司不存在延迟转固的情况。</w:t>
      </w:r>
    </w:p>
    <w:p w14:paraId="5157D7D5"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14:paraId="31FFF10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、行业发展前景与市场竞争情况</w:t>
      </w:r>
    </w:p>
    <w:p w14:paraId="42CD790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算力产业以计算力、存储力和运载力为核心要素，通过智能算力中心等基础设施向社会提供算力资源，是数字经济的核心生产力。在</w:t>
      </w:r>
      <w:r w:rsidRPr="00DA3766">
        <w:rPr>
          <w:rFonts w:cs="Times New Roman"/>
          <w:bCs/>
          <w:kern w:val="2"/>
          <w:szCs w:val="32"/>
        </w:rPr>
        <w:t>“</w:t>
      </w:r>
      <w:r w:rsidRPr="00DA3766">
        <w:rPr>
          <w:rFonts w:ascii="Times New Roman" w:hAnsi="Times New Roman" w:cs="Times New Roman"/>
          <w:bCs/>
          <w:kern w:val="2"/>
          <w:szCs w:val="32"/>
        </w:rPr>
        <w:t>人工智能</w:t>
      </w:r>
      <w:r w:rsidRPr="00DA3766">
        <w:rPr>
          <w:rFonts w:ascii="Times New Roman" w:hAnsi="Times New Roman" w:cs="Times New Roman"/>
          <w:bCs/>
          <w:kern w:val="2"/>
          <w:szCs w:val="32"/>
        </w:rPr>
        <w:t>+</w:t>
      </w:r>
      <w:r w:rsidRPr="00DA3766">
        <w:rPr>
          <w:rFonts w:cs="Times New Roman"/>
          <w:bCs/>
          <w:kern w:val="2"/>
          <w:szCs w:val="32"/>
        </w:rPr>
        <w:t>”</w:t>
      </w:r>
      <w:r w:rsidRPr="00DA3766">
        <w:rPr>
          <w:rFonts w:ascii="Times New Roman" w:hAnsi="Times New Roman" w:cs="Times New Roman"/>
          <w:bCs/>
          <w:kern w:val="2"/>
          <w:szCs w:val="32"/>
        </w:rPr>
        <w:t>行动、</w:t>
      </w:r>
      <w:r w:rsidRPr="00DA3766">
        <w:rPr>
          <w:rFonts w:cs="Times New Roman"/>
          <w:bCs/>
          <w:kern w:val="2"/>
          <w:szCs w:val="32"/>
        </w:rPr>
        <w:t>“</w:t>
      </w:r>
      <w:r w:rsidRPr="00DA3766">
        <w:rPr>
          <w:rFonts w:ascii="Times New Roman" w:hAnsi="Times New Roman" w:cs="Times New Roman"/>
          <w:bCs/>
          <w:kern w:val="2"/>
          <w:szCs w:val="32"/>
        </w:rPr>
        <w:t>东数西算</w:t>
      </w:r>
      <w:r w:rsidRPr="00DA3766">
        <w:rPr>
          <w:rFonts w:cs="Times New Roman"/>
          <w:bCs/>
          <w:kern w:val="2"/>
          <w:szCs w:val="32"/>
        </w:rPr>
        <w:t>”</w:t>
      </w:r>
      <w:r w:rsidRPr="00DA3766">
        <w:rPr>
          <w:rFonts w:ascii="Times New Roman" w:hAnsi="Times New Roman" w:cs="Times New Roman"/>
          <w:bCs/>
          <w:kern w:val="2"/>
          <w:szCs w:val="32"/>
        </w:rPr>
        <w:t>工程等政策引领下，加之</w:t>
      </w:r>
      <w:r w:rsidRPr="00DA3766">
        <w:rPr>
          <w:rFonts w:ascii="Times New Roman" w:hAnsi="Times New Roman" w:cs="Times New Roman"/>
          <w:bCs/>
          <w:kern w:val="2"/>
          <w:szCs w:val="32"/>
        </w:rPr>
        <w:t>AI</w:t>
      </w:r>
      <w:r w:rsidRPr="00DA3766">
        <w:rPr>
          <w:rFonts w:ascii="Times New Roman" w:hAnsi="Times New Roman" w:cs="Times New Roman"/>
          <w:bCs/>
          <w:kern w:val="2"/>
          <w:szCs w:val="32"/>
        </w:rPr>
        <w:t>技术迭代及大模型应用创新驱动智能算力需求激增，智能算力中心市场规模快速扩张，市场分层竞争加剧。作为信创产业的核心支撑，算力产业正迎来技术突破与生态重构的双重机遇。国家发展改革委明确要求加速国产芯片、服务器等硬件技术攻关，推动</w:t>
      </w:r>
      <w:r w:rsidRPr="00DA3766">
        <w:rPr>
          <w:rFonts w:ascii="Times New Roman" w:hAnsi="Times New Roman" w:cs="Times New Roman"/>
          <w:bCs/>
          <w:kern w:val="2"/>
          <w:szCs w:val="32"/>
        </w:rPr>
        <w:t>AI</w:t>
      </w:r>
      <w:r w:rsidRPr="00DA3766">
        <w:rPr>
          <w:rFonts w:ascii="Times New Roman" w:hAnsi="Times New Roman" w:cs="Times New Roman"/>
          <w:bCs/>
          <w:kern w:val="2"/>
          <w:szCs w:val="32"/>
        </w:rPr>
        <w:t>大模型在金融风控、智能客服等场景的落地应用，形成</w:t>
      </w:r>
      <w:r w:rsidRPr="00DA3766">
        <w:rPr>
          <w:rFonts w:cs="Times New Roman"/>
          <w:bCs/>
          <w:kern w:val="2"/>
          <w:szCs w:val="32"/>
        </w:rPr>
        <w:t>“</w:t>
      </w:r>
      <w:r w:rsidRPr="00DA3766">
        <w:rPr>
          <w:rFonts w:ascii="Times New Roman" w:hAnsi="Times New Roman" w:cs="Times New Roman"/>
          <w:bCs/>
          <w:kern w:val="2"/>
          <w:szCs w:val="32"/>
        </w:rPr>
        <w:t>硬件国产化</w:t>
      </w:r>
      <w:r w:rsidRPr="00DA3766">
        <w:rPr>
          <w:rFonts w:ascii="Times New Roman" w:hAnsi="Times New Roman" w:cs="Times New Roman"/>
          <w:bCs/>
          <w:kern w:val="2"/>
          <w:szCs w:val="32"/>
        </w:rPr>
        <w:t>—</w:t>
      </w:r>
      <w:r w:rsidRPr="00DA3766">
        <w:rPr>
          <w:rFonts w:ascii="Times New Roman" w:hAnsi="Times New Roman" w:cs="Times New Roman"/>
          <w:bCs/>
          <w:kern w:val="2"/>
          <w:szCs w:val="32"/>
        </w:rPr>
        <w:t>软件适配</w:t>
      </w:r>
      <w:r w:rsidRPr="00DA3766">
        <w:rPr>
          <w:rFonts w:ascii="Times New Roman" w:hAnsi="Times New Roman" w:cs="Times New Roman"/>
          <w:bCs/>
          <w:kern w:val="2"/>
          <w:szCs w:val="32"/>
        </w:rPr>
        <w:t>—</w:t>
      </w:r>
      <w:r w:rsidRPr="00DA3766">
        <w:rPr>
          <w:rFonts w:ascii="Times New Roman" w:hAnsi="Times New Roman" w:cs="Times New Roman"/>
          <w:bCs/>
          <w:kern w:val="2"/>
          <w:szCs w:val="32"/>
        </w:rPr>
        <w:t>场景创新</w:t>
      </w:r>
      <w:r w:rsidRPr="00DA3766">
        <w:rPr>
          <w:rFonts w:cs="Times New Roman"/>
          <w:bCs/>
          <w:kern w:val="2"/>
          <w:szCs w:val="32"/>
        </w:rPr>
        <w:t>”</w:t>
      </w:r>
      <w:r w:rsidRPr="00DA3766">
        <w:rPr>
          <w:rFonts w:ascii="Times New Roman" w:hAnsi="Times New Roman" w:cs="Times New Roman"/>
          <w:bCs/>
          <w:kern w:val="2"/>
          <w:szCs w:val="32"/>
        </w:rPr>
        <w:t>的闭环生态。市场参与者方面，算力赛道吸引了众多参与者，包括传统电信运营商、云服务商、专业算力服务商以及众多跨界布局的上市公司。根据中国信通院《中国算力发展指数白皮书（</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2021</w:t>
      </w:r>
      <w:r w:rsidRPr="00DA3766">
        <w:rPr>
          <w:rFonts w:ascii="Times New Roman" w:hAnsi="Times New Roman" w:cs="Times New Roman"/>
          <w:bCs/>
          <w:kern w:val="2"/>
          <w:szCs w:val="32"/>
        </w:rPr>
        <w:t>年全球计算设备算力总规模达到</w:t>
      </w:r>
      <w:r w:rsidRPr="00DA3766">
        <w:rPr>
          <w:rFonts w:ascii="Times New Roman" w:hAnsi="Times New Roman" w:cs="Times New Roman"/>
          <w:bCs/>
          <w:kern w:val="2"/>
          <w:szCs w:val="32"/>
        </w:rPr>
        <w:t>615EFlops</w:t>
      </w:r>
      <w:r w:rsidRPr="00DA3766">
        <w:rPr>
          <w:rFonts w:ascii="Times New Roman" w:hAnsi="Times New Roman" w:cs="Times New Roman"/>
          <w:bCs/>
          <w:kern w:val="2"/>
          <w:szCs w:val="32"/>
        </w:rPr>
        <w:t>，同比增长</w:t>
      </w:r>
      <w:r w:rsidRPr="00DA3766">
        <w:rPr>
          <w:rFonts w:ascii="Times New Roman" w:hAnsi="Times New Roman" w:cs="Times New Roman"/>
          <w:bCs/>
          <w:kern w:val="2"/>
          <w:szCs w:val="32"/>
        </w:rPr>
        <w:t>44%</w:t>
      </w:r>
      <w:r w:rsidRPr="00DA3766">
        <w:rPr>
          <w:rFonts w:ascii="Times New Roman" w:hAnsi="Times New Roman" w:cs="Times New Roman"/>
          <w:bCs/>
          <w:kern w:val="2"/>
          <w:szCs w:val="32"/>
        </w:rPr>
        <w:t>。预计到</w:t>
      </w:r>
      <w:r w:rsidRPr="00DA3766">
        <w:rPr>
          <w:rFonts w:ascii="Times New Roman" w:hAnsi="Times New Roman" w:cs="Times New Roman"/>
          <w:bCs/>
          <w:kern w:val="2"/>
          <w:szCs w:val="32"/>
        </w:rPr>
        <w:t>2030</w:t>
      </w:r>
      <w:r w:rsidRPr="00DA3766">
        <w:rPr>
          <w:rFonts w:ascii="Times New Roman" w:hAnsi="Times New Roman" w:cs="Times New Roman"/>
          <w:bCs/>
          <w:kern w:val="2"/>
          <w:szCs w:val="32"/>
        </w:rPr>
        <w:t>年，全球算力规模将达到</w:t>
      </w:r>
      <w:r w:rsidRPr="00DA3766">
        <w:rPr>
          <w:rFonts w:ascii="Times New Roman" w:hAnsi="Times New Roman" w:cs="Times New Roman"/>
          <w:bCs/>
          <w:kern w:val="2"/>
          <w:szCs w:val="32"/>
        </w:rPr>
        <w:t>56ZFlops</w:t>
      </w:r>
      <w:r w:rsidRPr="00DA3766">
        <w:rPr>
          <w:rFonts w:ascii="Times New Roman" w:hAnsi="Times New Roman" w:cs="Times New Roman"/>
          <w:bCs/>
          <w:kern w:val="2"/>
          <w:szCs w:val="32"/>
        </w:rPr>
        <w:t>，年均增速高达</w:t>
      </w:r>
      <w:r w:rsidRPr="00DA3766">
        <w:rPr>
          <w:rFonts w:ascii="Times New Roman" w:hAnsi="Times New Roman" w:cs="Times New Roman"/>
          <w:bCs/>
          <w:kern w:val="2"/>
          <w:szCs w:val="32"/>
        </w:rPr>
        <w:t>65%</w:t>
      </w:r>
      <w:r w:rsidRPr="00DA3766">
        <w:rPr>
          <w:rFonts w:ascii="Times New Roman" w:hAnsi="Times New Roman" w:cs="Times New Roman"/>
          <w:bCs/>
          <w:kern w:val="2"/>
          <w:szCs w:val="32"/>
        </w:rPr>
        <w:t>。</w:t>
      </w:r>
    </w:p>
    <w:p w14:paraId="5FA9985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、投资回报率与投资回收期</w:t>
      </w:r>
    </w:p>
    <w:p w14:paraId="08468A1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根据算力集群服务项目投资估算，项目资金的具体用途如下所示：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1762"/>
        <w:gridCol w:w="2086"/>
        <w:gridCol w:w="3590"/>
      </w:tblGrid>
      <w:tr w:rsidR="003F2129" w:rsidRPr="00DA3766" w14:paraId="51E71A5B" w14:textId="77777777" w:rsidTr="00BF5BFE">
        <w:trPr>
          <w:trHeight w:val="397"/>
          <w:tblHeader/>
          <w:jc w:val="center"/>
        </w:trPr>
        <w:tc>
          <w:tcPr>
            <w:tcW w:w="639" w:type="pct"/>
            <w:vAlign w:val="center"/>
          </w:tcPr>
          <w:p w14:paraId="152D571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序号</w:t>
            </w:r>
          </w:p>
        </w:tc>
        <w:tc>
          <w:tcPr>
            <w:tcW w:w="1033" w:type="pct"/>
            <w:vAlign w:val="center"/>
          </w:tcPr>
          <w:p w14:paraId="077233E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费用名称</w:t>
            </w:r>
          </w:p>
        </w:tc>
        <w:tc>
          <w:tcPr>
            <w:tcW w:w="1223" w:type="pct"/>
            <w:vAlign w:val="center"/>
          </w:tcPr>
          <w:p w14:paraId="433D905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项目金额（万元）</w:t>
            </w:r>
          </w:p>
        </w:tc>
        <w:tc>
          <w:tcPr>
            <w:tcW w:w="2105" w:type="pct"/>
            <w:vAlign w:val="center"/>
          </w:tcPr>
          <w:p w14:paraId="2BD628C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主要用途</w:t>
            </w:r>
          </w:p>
        </w:tc>
      </w:tr>
      <w:tr w:rsidR="003F2129" w:rsidRPr="00DA3766" w14:paraId="426248AA" w14:textId="77777777" w:rsidTr="00BF5BFE">
        <w:trPr>
          <w:trHeight w:val="397"/>
          <w:jc w:val="center"/>
        </w:trPr>
        <w:tc>
          <w:tcPr>
            <w:tcW w:w="639" w:type="pct"/>
            <w:vAlign w:val="center"/>
          </w:tcPr>
          <w:p w14:paraId="29EAFA8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p>
        </w:tc>
        <w:tc>
          <w:tcPr>
            <w:tcW w:w="1033" w:type="pct"/>
            <w:vAlign w:val="center"/>
          </w:tcPr>
          <w:p w14:paraId="36994B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设备购置</w:t>
            </w:r>
          </w:p>
        </w:tc>
        <w:tc>
          <w:tcPr>
            <w:tcW w:w="1223" w:type="pct"/>
            <w:vAlign w:val="center"/>
          </w:tcPr>
          <w:p w14:paraId="31E60A8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33,250.00</w:t>
            </w:r>
          </w:p>
        </w:tc>
        <w:tc>
          <w:tcPr>
            <w:tcW w:w="2105" w:type="pct"/>
            <w:vAlign w:val="center"/>
          </w:tcPr>
          <w:p w14:paraId="612E25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用于购置算力设备等相关费用。</w:t>
            </w:r>
          </w:p>
        </w:tc>
      </w:tr>
      <w:tr w:rsidR="003F2129" w:rsidRPr="00DA3766" w14:paraId="002458AC" w14:textId="77777777" w:rsidTr="00BF5BFE">
        <w:trPr>
          <w:trHeight w:val="397"/>
          <w:jc w:val="center"/>
        </w:trPr>
        <w:tc>
          <w:tcPr>
            <w:tcW w:w="639" w:type="pct"/>
            <w:vAlign w:val="center"/>
          </w:tcPr>
          <w:p w14:paraId="4F8A8A6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w:t>
            </w:r>
          </w:p>
        </w:tc>
        <w:tc>
          <w:tcPr>
            <w:tcW w:w="1033" w:type="pct"/>
            <w:vAlign w:val="center"/>
          </w:tcPr>
          <w:p w14:paraId="10ED94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运维成本</w:t>
            </w:r>
          </w:p>
        </w:tc>
        <w:tc>
          <w:tcPr>
            <w:tcW w:w="1223" w:type="pct"/>
            <w:vAlign w:val="center"/>
          </w:tcPr>
          <w:p w14:paraId="056C73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756.00</w:t>
            </w:r>
          </w:p>
        </w:tc>
        <w:tc>
          <w:tcPr>
            <w:tcW w:w="2105" w:type="pct"/>
            <w:vAlign w:val="center"/>
          </w:tcPr>
          <w:p w14:paraId="2C9235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用于项目经营期间日常运维、设备管理、客户服务等相关运营维护投入。</w:t>
            </w:r>
          </w:p>
        </w:tc>
      </w:tr>
      <w:tr w:rsidR="003F2129" w:rsidRPr="00DA3766" w14:paraId="26B1352B" w14:textId="77777777" w:rsidTr="00BF5BFE">
        <w:trPr>
          <w:trHeight w:val="397"/>
          <w:jc w:val="center"/>
        </w:trPr>
        <w:tc>
          <w:tcPr>
            <w:tcW w:w="639" w:type="pct"/>
            <w:vAlign w:val="center"/>
          </w:tcPr>
          <w:p w14:paraId="0D6A7D2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p>
        </w:tc>
        <w:tc>
          <w:tcPr>
            <w:tcW w:w="1033" w:type="pct"/>
            <w:vAlign w:val="center"/>
          </w:tcPr>
          <w:p w14:paraId="494F08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铺底流动资金</w:t>
            </w:r>
          </w:p>
        </w:tc>
        <w:tc>
          <w:tcPr>
            <w:tcW w:w="1223" w:type="pct"/>
            <w:vAlign w:val="center"/>
          </w:tcPr>
          <w:p w14:paraId="781055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2,223.00</w:t>
            </w:r>
          </w:p>
        </w:tc>
        <w:tc>
          <w:tcPr>
            <w:tcW w:w="2105" w:type="pct"/>
            <w:vAlign w:val="center"/>
          </w:tcPr>
          <w:p w14:paraId="259D82D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用于项目进行正常生产经营活动与周转。</w:t>
            </w:r>
          </w:p>
        </w:tc>
      </w:tr>
      <w:tr w:rsidR="003F2129" w:rsidRPr="00DA3766" w14:paraId="6897F260" w14:textId="77777777" w:rsidTr="00BF5BFE">
        <w:trPr>
          <w:trHeight w:val="397"/>
          <w:jc w:val="center"/>
        </w:trPr>
        <w:tc>
          <w:tcPr>
            <w:tcW w:w="639" w:type="pct"/>
            <w:vAlign w:val="center"/>
          </w:tcPr>
          <w:p w14:paraId="77517BE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w:t>
            </w:r>
          </w:p>
        </w:tc>
        <w:tc>
          <w:tcPr>
            <w:tcW w:w="1033" w:type="pct"/>
            <w:vAlign w:val="center"/>
          </w:tcPr>
          <w:p w14:paraId="0C0B19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总投资额</w:t>
            </w:r>
          </w:p>
        </w:tc>
        <w:tc>
          <w:tcPr>
            <w:tcW w:w="1223" w:type="pct"/>
            <w:vAlign w:val="center"/>
          </w:tcPr>
          <w:p w14:paraId="20CF89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36,229.00</w:t>
            </w:r>
          </w:p>
        </w:tc>
        <w:tc>
          <w:tcPr>
            <w:tcW w:w="2105" w:type="pct"/>
            <w:vAlign w:val="center"/>
          </w:tcPr>
          <w:p w14:paraId="54E4CCF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bl>
    <w:p w14:paraId="283A3421" w14:textId="3A91C45F" w:rsidR="003F2129" w:rsidRPr="00DA3766" w:rsidRDefault="003F2129" w:rsidP="00BF5BFE">
      <w:pPr>
        <w:pStyle w:val="005"/>
        <w:spacing w:before="120" w:after="120"/>
        <w:ind w:firstLine="480"/>
      </w:pPr>
      <w:r w:rsidRPr="00DA3766">
        <w:t>项目投资回报率及回收期测算如下：</w:t>
      </w:r>
    </w:p>
    <w:tbl>
      <w:tblPr>
        <w:tblW w:w="612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082"/>
        <w:gridCol w:w="747"/>
        <w:gridCol w:w="1218"/>
        <w:gridCol w:w="1189"/>
        <w:gridCol w:w="1193"/>
        <w:gridCol w:w="1193"/>
        <w:gridCol w:w="1193"/>
        <w:gridCol w:w="764"/>
        <w:gridCol w:w="985"/>
      </w:tblGrid>
      <w:tr w:rsidR="00BF5BFE" w:rsidRPr="00DA3766" w14:paraId="0D969942" w14:textId="77777777" w:rsidTr="00BF5BFE">
        <w:trPr>
          <w:trHeight w:val="397"/>
          <w:tblHeader/>
          <w:jc w:val="center"/>
        </w:trPr>
        <w:tc>
          <w:tcPr>
            <w:tcW w:w="367" w:type="pct"/>
            <w:tcMar>
              <w:left w:w="57" w:type="dxa"/>
              <w:right w:w="57" w:type="dxa"/>
            </w:tcMar>
            <w:vAlign w:val="center"/>
          </w:tcPr>
          <w:p w14:paraId="5BEE950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lastRenderedPageBreak/>
              <w:t>算力项目收入类别</w:t>
            </w:r>
          </w:p>
        </w:tc>
        <w:tc>
          <w:tcPr>
            <w:tcW w:w="524" w:type="pct"/>
            <w:tcMar>
              <w:left w:w="57" w:type="dxa"/>
              <w:right w:w="57" w:type="dxa"/>
            </w:tcMar>
            <w:vAlign w:val="center"/>
          </w:tcPr>
          <w:p w14:paraId="6AD717F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年现金流入（含税收入）（万元）</w:t>
            </w:r>
          </w:p>
        </w:tc>
        <w:tc>
          <w:tcPr>
            <w:tcW w:w="362" w:type="pct"/>
            <w:tcMar>
              <w:left w:w="57" w:type="dxa"/>
              <w:right w:w="57" w:type="dxa"/>
            </w:tcMar>
            <w:vAlign w:val="center"/>
          </w:tcPr>
          <w:p w14:paraId="58C009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在手订单期数（年）</w:t>
            </w:r>
          </w:p>
        </w:tc>
        <w:tc>
          <w:tcPr>
            <w:tcW w:w="590" w:type="pct"/>
            <w:tcMar>
              <w:left w:w="57" w:type="dxa"/>
              <w:right w:w="57" w:type="dxa"/>
            </w:tcMar>
            <w:vAlign w:val="center"/>
          </w:tcPr>
          <w:p w14:paraId="5A38223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预计项目周期内在手订单外剩余期数（年）</w:t>
            </w:r>
          </w:p>
        </w:tc>
        <w:tc>
          <w:tcPr>
            <w:tcW w:w="576" w:type="pct"/>
            <w:tcMar>
              <w:left w:w="57" w:type="dxa"/>
              <w:right w:w="57" w:type="dxa"/>
            </w:tcMar>
            <w:vAlign w:val="center"/>
          </w:tcPr>
          <w:p w14:paraId="3685D8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在手订单现金流入预测（万元）</w:t>
            </w:r>
          </w:p>
        </w:tc>
        <w:tc>
          <w:tcPr>
            <w:tcW w:w="578" w:type="pct"/>
            <w:tcMar>
              <w:left w:w="57" w:type="dxa"/>
              <w:right w:w="57" w:type="dxa"/>
            </w:tcMar>
            <w:vAlign w:val="center"/>
          </w:tcPr>
          <w:p w14:paraId="47D145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项目剩余周期现金流入预测（万元）</w:t>
            </w:r>
          </w:p>
        </w:tc>
        <w:tc>
          <w:tcPr>
            <w:tcW w:w="578" w:type="pct"/>
            <w:tcMar>
              <w:left w:w="57" w:type="dxa"/>
              <w:right w:w="57" w:type="dxa"/>
            </w:tcMar>
            <w:vAlign w:val="center"/>
          </w:tcPr>
          <w:p w14:paraId="426A0C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项目现金流入合计预测（万元）</w:t>
            </w:r>
          </w:p>
        </w:tc>
        <w:tc>
          <w:tcPr>
            <w:tcW w:w="578" w:type="pct"/>
            <w:tcMar>
              <w:left w:w="57" w:type="dxa"/>
              <w:right w:w="57" w:type="dxa"/>
            </w:tcMar>
            <w:vAlign w:val="center"/>
          </w:tcPr>
          <w:p w14:paraId="797C0AB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项目现金流出预测合计（万元）</w:t>
            </w:r>
          </w:p>
        </w:tc>
        <w:tc>
          <w:tcPr>
            <w:tcW w:w="370" w:type="pct"/>
            <w:tcMar>
              <w:left w:w="57" w:type="dxa"/>
              <w:right w:w="57" w:type="dxa"/>
            </w:tcMar>
            <w:vAlign w:val="center"/>
          </w:tcPr>
          <w:p w14:paraId="26B3200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静态投资回报率预测</w:t>
            </w:r>
          </w:p>
        </w:tc>
        <w:tc>
          <w:tcPr>
            <w:tcW w:w="479" w:type="pct"/>
            <w:tcMar>
              <w:left w:w="57" w:type="dxa"/>
              <w:right w:w="57" w:type="dxa"/>
            </w:tcMar>
            <w:vAlign w:val="center"/>
          </w:tcPr>
          <w:p w14:paraId="40E0DD4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静态投资回收期预测（年）</w:t>
            </w:r>
          </w:p>
        </w:tc>
      </w:tr>
      <w:tr w:rsidR="00BF5BFE" w:rsidRPr="00DA3766" w14:paraId="0C729C23" w14:textId="77777777" w:rsidTr="00BF5BFE">
        <w:trPr>
          <w:trHeight w:val="397"/>
          <w:jc w:val="center"/>
        </w:trPr>
        <w:tc>
          <w:tcPr>
            <w:tcW w:w="367" w:type="pct"/>
            <w:tcMar>
              <w:left w:w="57" w:type="dxa"/>
              <w:right w:w="57" w:type="dxa"/>
            </w:tcMar>
            <w:vAlign w:val="center"/>
          </w:tcPr>
          <w:p w14:paraId="23C356BE" w14:textId="539CCA8B"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训练基础高性能算力服务及算力运维服务</w:t>
            </w:r>
          </w:p>
        </w:tc>
        <w:tc>
          <w:tcPr>
            <w:tcW w:w="524" w:type="pct"/>
            <w:tcMar>
              <w:left w:w="57" w:type="dxa"/>
              <w:right w:w="57" w:type="dxa"/>
            </w:tcMar>
            <w:vAlign w:val="center"/>
          </w:tcPr>
          <w:p w14:paraId="17E381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lang w:bidi="ar"/>
                <w14:ligatures w14:val="standardContextual"/>
              </w:rPr>
              <w:t>7,651.16</w:t>
            </w:r>
          </w:p>
        </w:tc>
        <w:tc>
          <w:tcPr>
            <w:tcW w:w="362" w:type="pct"/>
            <w:tcMar>
              <w:left w:w="57" w:type="dxa"/>
              <w:right w:w="57" w:type="dxa"/>
            </w:tcMar>
            <w:vAlign w:val="center"/>
          </w:tcPr>
          <w:p w14:paraId="0DE07A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5</w:t>
            </w:r>
          </w:p>
        </w:tc>
        <w:tc>
          <w:tcPr>
            <w:tcW w:w="590" w:type="pct"/>
            <w:tcMar>
              <w:left w:w="57" w:type="dxa"/>
              <w:right w:w="57" w:type="dxa"/>
            </w:tcMar>
            <w:vAlign w:val="center"/>
          </w:tcPr>
          <w:p w14:paraId="77DB00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3</w:t>
            </w:r>
          </w:p>
        </w:tc>
        <w:tc>
          <w:tcPr>
            <w:tcW w:w="576" w:type="pct"/>
            <w:tcMar>
              <w:left w:w="57" w:type="dxa"/>
              <w:right w:w="57" w:type="dxa"/>
            </w:tcMar>
            <w:vAlign w:val="center"/>
          </w:tcPr>
          <w:p w14:paraId="27A53D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38,255.80</w:t>
            </w:r>
          </w:p>
        </w:tc>
        <w:tc>
          <w:tcPr>
            <w:tcW w:w="578" w:type="pct"/>
            <w:tcMar>
              <w:left w:w="57" w:type="dxa"/>
              <w:right w:w="57" w:type="dxa"/>
            </w:tcMar>
            <w:vAlign w:val="center"/>
          </w:tcPr>
          <w:p w14:paraId="0936AA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20,658.13</w:t>
            </w:r>
          </w:p>
        </w:tc>
        <w:tc>
          <w:tcPr>
            <w:tcW w:w="578" w:type="pct"/>
            <w:tcMar>
              <w:left w:w="57" w:type="dxa"/>
              <w:right w:w="57" w:type="dxa"/>
            </w:tcMar>
            <w:vAlign w:val="center"/>
          </w:tcPr>
          <w:p w14:paraId="11279E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58,913.93</w:t>
            </w:r>
          </w:p>
        </w:tc>
        <w:tc>
          <w:tcPr>
            <w:tcW w:w="578" w:type="pct"/>
            <w:tcMar>
              <w:left w:w="57" w:type="dxa"/>
              <w:right w:w="57" w:type="dxa"/>
            </w:tcMar>
            <w:vAlign w:val="center"/>
          </w:tcPr>
          <w:p w14:paraId="37E647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34,006.00</w:t>
            </w:r>
          </w:p>
        </w:tc>
        <w:tc>
          <w:tcPr>
            <w:tcW w:w="370" w:type="pct"/>
            <w:tcMar>
              <w:left w:w="57" w:type="dxa"/>
              <w:right w:w="57" w:type="dxa"/>
            </w:tcMar>
            <w:vAlign w:val="center"/>
          </w:tcPr>
          <w:p w14:paraId="184F65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45.77%</w:t>
            </w:r>
          </w:p>
        </w:tc>
        <w:tc>
          <w:tcPr>
            <w:tcW w:w="479" w:type="pct"/>
            <w:tcMar>
              <w:left w:w="57" w:type="dxa"/>
              <w:right w:w="57" w:type="dxa"/>
            </w:tcMar>
            <w:vAlign w:val="center"/>
          </w:tcPr>
          <w:p w14:paraId="390193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4.62</w:t>
            </w:r>
          </w:p>
        </w:tc>
      </w:tr>
    </w:tbl>
    <w:p w14:paraId="23DC925B" w14:textId="77777777" w:rsidR="003F2129" w:rsidRPr="00DA3766" w:rsidRDefault="003F2129" w:rsidP="00BF5BFE">
      <w:pPr>
        <w:pStyle w:val="006"/>
        <w:ind w:firstLine="420"/>
      </w:pPr>
      <w:r w:rsidRPr="00DA3766">
        <w:t>注：此处测算基于项目初始取得的中国移动深圳分公司订单，并未考虑公司后续取得的新订单。</w:t>
      </w:r>
    </w:p>
    <w:p w14:paraId="5FE763E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highlight w:val="yellow"/>
          <w14:ligatures w14:val="standardContextual"/>
        </w:rPr>
      </w:pPr>
      <w:r w:rsidRPr="00DA3766">
        <w:rPr>
          <w:rFonts w:ascii="Times New Roman" w:hAnsi="Times New Roman" w:cs="Times New Roman"/>
          <w:kern w:val="2"/>
          <w14:ligatures w14:val="standardContextual"/>
        </w:rPr>
        <w:t>上市公司算力集群项目总投资</w:t>
      </w:r>
      <w:r w:rsidRPr="00DA3766">
        <w:rPr>
          <w:rFonts w:ascii="Times New Roman" w:hAnsi="Times New Roman" w:cs="Times New Roman"/>
          <w:kern w:val="2"/>
          <w14:ligatures w14:val="standardContextual"/>
        </w:rPr>
        <w:t>34,006.00</w:t>
      </w:r>
      <w:r w:rsidRPr="00DA3766">
        <w:rPr>
          <w:rFonts w:ascii="Times New Roman" w:hAnsi="Times New Roman" w:cs="Times New Roman"/>
          <w:kern w:val="2"/>
          <w14:ligatures w14:val="standardContextual"/>
        </w:rPr>
        <w:t>万元（剔除铺底周转金），经以在手订单、合同及项目运营产能测算，项目在手订单静态现金流入</w:t>
      </w:r>
      <w:r w:rsidRPr="00DA3766">
        <w:rPr>
          <w:rFonts w:ascii="Times New Roman" w:hAnsi="Times New Roman" w:cs="Times New Roman"/>
          <w:kern w:val="2"/>
          <w14:ligatures w14:val="standardContextual"/>
        </w:rPr>
        <w:t>38,255.80</w:t>
      </w:r>
      <w:r w:rsidRPr="00DA3766">
        <w:rPr>
          <w:rFonts w:ascii="Times New Roman" w:hAnsi="Times New Roman" w:cs="Times New Roman"/>
          <w:kern w:val="2"/>
          <w14:ligatures w14:val="standardContextual"/>
        </w:rPr>
        <w:t>万元，在手订单外项目期内剩余现金流入</w:t>
      </w:r>
      <w:r w:rsidRPr="00DA3766">
        <w:rPr>
          <w:rFonts w:ascii="Times New Roman" w:hAnsi="Times New Roman" w:cs="Times New Roman"/>
          <w:kern w:val="2"/>
          <w14:ligatures w14:val="standardContextual"/>
        </w:rPr>
        <w:t>20,658.13</w:t>
      </w:r>
      <w:r w:rsidRPr="00DA3766">
        <w:rPr>
          <w:rFonts w:ascii="Times New Roman" w:hAnsi="Times New Roman" w:cs="Times New Roman"/>
          <w:kern w:val="2"/>
          <w14:ligatures w14:val="standardContextual"/>
        </w:rPr>
        <w:t>万元（保守按在手订单价格的</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估算），项目总现金流入测算为</w:t>
      </w:r>
      <w:r w:rsidRPr="00DA3766">
        <w:rPr>
          <w:rFonts w:ascii="Times New Roman" w:hAnsi="Times New Roman" w:cs="Times New Roman"/>
          <w:kern w:val="2"/>
          <w14:ligatures w14:val="standardContextual"/>
        </w:rPr>
        <w:t>58,913.93</w:t>
      </w:r>
      <w:r w:rsidRPr="00DA3766">
        <w:rPr>
          <w:rFonts w:ascii="Times New Roman" w:hAnsi="Times New Roman" w:cs="Times New Roman"/>
          <w:kern w:val="2"/>
          <w14:ligatures w14:val="standardContextual"/>
        </w:rPr>
        <w:t>万元，项目总投资现金流出预测合计为</w:t>
      </w:r>
      <w:r w:rsidRPr="00DA3766">
        <w:rPr>
          <w:rFonts w:ascii="Times New Roman" w:hAnsi="Times New Roman" w:cs="Times New Roman"/>
          <w:kern w:val="2"/>
          <w14:ligatures w14:val="standardContextual"/>
        </w:rPr>
        <w:t>34,006.00</w:t>
      </w:r>
      <w:r w:rsidRPr="00DA3766">
        <w:rPr>
          <w:rFonts w:ascii="Times New Roman" w:hAnsi="Times New Roman" w:cs="Times New Roman"/>
          <w:kern w:val="2"/>
          <w14:ligatures w14:val="standardContextual"/>
        </w:rPr>
        <w:t>万元，静态项目投资回报率预计为</w:t>
      </w:r>
      <w:r w:rsidRPr="00DA3766">
        <w:rPr>
          <w:rFonts w:ascii="Times New Roman" w:hAnsi="Times New Roman" w:cs="Times New Roman"/>
          <w:kern w:val="2"/>
          <w14:ligatures w14:val="standardContextual"/>
        </w:rPr>
        <w:t>45.77%</w:t>
      </w:r>
      <w:r w:rsidRPr="00DA3766">
        <w:rPr>
          <w:rFonts w:ascii="Times New Roman" w:hAnsi="Times New Roman" w:cs="Times New Roman"/>
          <w:kern w:val="2"/>
          <w14:ligatures w14:val="standardContextual"/>
        </w:rPr>
        <w:t>，项目静态投资回收期预计为</w:t>
      </w:r>
      <w:r w:rsidRPr="00DA3766">
        <w:rPr>
          <w:rFonts w:ascii="Times New Roman" w:hAnsi="Times New Roman" w:cs="Times New Roman"/>
          <w:kern w:val="2"/>
          <w14:ligatures w14:val="standardContextual"/>
        </w:rPr>
        <w:t>4.62</w:t>
      </w:r>
      <w:r w:rsidRPr="00DA3766">
        <w:rPr>
          <w:rFonts w:ascii="Times New Roman" w:hAnsi="Times New Roman" w:cs="Times New Roman"/>
          <w:kern w:val="2"/>
          <w14:ligatures w14:val="standardContextual"/>
        </w:rPr>
        <w:t>年，投资可行性、回报率、回收期测算符合公司经营战略。</w:t>
      </w:r>
    </w:p>
    <w:p w14:paraId="4AF0939F"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、项目实际执行与合同约定的一致性</w:t>
      </w:r>
    </w:p>
    <w:p w14:paraId="0A5C1A8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根据《算力网络集群服务项目算力服务实施合同》《算力网络集群服务项目算力维保服务实施合同》的约定和深圳移动出具正式服务通知函，确认双方从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日开始以合同相关约定进行正式计费，服务期</w:t>
      </w:r>
      <w:r w:rsidRPr="00DA3766">
        <w:rPr>
          <w:rFonts w:ascii="Times New Roman" w:hAnsi="Times New Roman" w:cs="Times New Roman"/>
          <w:bCs/>
          <w:kern w:val="2"/>
          <w:szCs w:val="32"/>
        </w:rPr>
        <w:t>60</w:t>
      </w:r>
      <w:r w:rsidRPr="00DA3766">
        <w:rPr>
          <w:rFonts w:ascii="Times New Roman" w:hAnsi="Times New Roman" w:cs="Times New Roman"/>
          <w:bCs/>
          <w:kern w:val="2"/>
          <w:szCs w:val="32"/>
        </w:rPr>
        <w:t>个月。截至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30</w:t>
      </w:r>
      <w:r w:rsidRPr="00DA3766">
        <w:rPr>
          <w:rFonts w:ascii="Times New Roman" w:hAnsi="Times New Roman" w:cs="Times New Roman"/>
          <w:bCs/>
          <w:kern w:val="2"/>
          <w:szCs w:val="32"/>
        </w:rPr>
        <w:t>日，公司已确认了</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月至</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月服务费，两个合同合计确认收入金额</w:t>
      </w:r>
      <w:r w:rsidRPr="00DA3766">
        <w:rPr>
          <w:rFonts w:ascii="Times New Roman" w:hAnsi="Times New Roman" w:cs="Times New Roman"/>
          <w:bCs/>
          <w:kern w:val="2"/>
          <w:szCs w:val="32"/>
        </w:rPr>
        <w:t>4,812.05</w:t>
      </w:r>
      <w:r w:rsidRPr="00DA3766">
        <w:rPr>
          <w:rFonts w:ascii="Times New Roman" w:hAnsi="Times New Roman" w:cs="Times New Roman"/>
          <w:bCs/>
          <w:kern w:val="2"/>
          <w:szCs w:val="32"/>
        </w:rPr>
        <w:t>万元，报告期内实现效益为</w:t>
      </w:r>
      <w:r w:rsidRPr="00DA3766">
        <w:rPr>
          <w:rFonts w:ascii="Times New Roman" w:hAnsi="Times New Roman" w:cs="Times New Roman"/>
          <w:bCs/>
          <w:kern w:val="2"/>
          <w:szCs w:val="32"/>
        </w:rPr>
        <w:t>1,183.23</w:t>
      </w:r>
      <w:r w:rsidRPr="00DA3766">
        <w:rPr>
          <w:rFonts w:ascii="Times New Roman" w:hAnsi="Times New Roman" w:cs="Times New Roman"/>
          <w:bCs/>
          <w:kern w:val="2"/>
          <w:szCs w:val="32"/>
        </w:rPr>
        <w:t>万元。该项目的实施有助于提高公司的经营能力，符合公司战略发展规划，市场前景广阔，经济效益良好，有助于提升公司的盈利能力及综合竞争实力，该项目可行性未发生重大变化，项目运营具有可持续性。</w:t>
      </w:r>
    </w:p>
    <w:p w14:paraId="0A723F67"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受国际算力设备供应市场限制出口的影响，算力设备处于供不应求，价格上涨，市场公允价值高于公司算力设备成本价格；该项目算力服务设备有稳定的合同服务对象，服务合同金额不变，可收回金额高于其账面价值，项目并未发生减值。</w:t>
      </w:r>
    </w:p>
    <w:p w14:paraId="5BF7192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、项目的可持续性与可行性是否发生重大不利变化</w:t>
      </w:r>
    </w:p>
    <w:p w14:paraId="318CB2A1"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截至本回复出具之日，</w:t>
      </w:r>
      <w:r w:rsidRPr="00DA3766">
        <w:rPr>
          <w:rFonts w:ascii="Times New Roman" w:hAnsi="Times New Roman" w:cs="Times New Roman"/>
          <w:bCs/>
          <w:kern w:val="2"/>
          <w:szCs w:val="32"/>
        </w:rPr>
        <w:t xml:space="preserve"> </w:t>
      </w:r>
      <w:r w:rsidRPr="00DA3766">
        <w:rPr>
          <w:rFonts w:ascii="Times New Roman" w:hAnsi="Times New Roman" w:cs="Times New Roman"/>
          <w:bCs/>
          <w:kern w:val="2"/>
          <w:szCs w:val="32"/>
        </w:rPr>
        <w:t>上市公司算力服务业务在手订单情况如下：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1856"/>
        <w:gridCol w:w="2105"/>
        <w:gridCol w:w="1598"/>
        <w:gridCol w:w="1598"/>
      </w:tblGrid>
      <w:tr w:rsidR="003F2129" w:rsidRPr="00DA3766" w14:paraId="1D8E3DA2" w14:textId="77777777" w:rsidTr="00BF5BFE">
        <w:trPr>
          <w:trHeight w:val="397"/>
          <w:tblHeader/>
          <w:jc w:val="center"/>
        </w:trPr>
        <w:tc>
          <w:tcPr>
            <w:tcW w:w="804" w:type="pct"/>
            <w:vAlign w:val="center"/>
          </w:tcPr>
          <w:p w14:paraId="7DAD8C9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lastRenderedPageBreak/>
              <w:t>时间</w:t>
            </w:r>
          </w:p>
        </w:tc>
        <w:tc>
          <w:tcPr>
            <w:tcW w:w="1088" w:type="pct"/>
            <w:vAlign w:val="center"/>
          </w:tcPr>
          <w:p w14:paraId="05F6C53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客户名称</w:t>
            </w:r>
          </w:p>
        </w:tc>
        <w:tc>
          <w:tcPr>
            <w:tcW w:w="1234" w:type="pct"/>
            <w:vAlign w:val="center"/>
          </w:tcPr>
          <w:p w14:paraId="66F7778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产品</w:t>
            </w:r>
            <w:r w:rsidRPr="00DA3766">
              <w:rPr>
                <w:rFonts w:ascii="Times New Roman" w:hAnsi="Times New Roman" w:cs="Times New Roman"/>
                <w:b/>
                <w:bCs/>
                <w:color w:val="000000"/>
                <w:kern w:val="2"/>
                <w:sz w:val="21"/>
                <w:szCs w:val="32"/>
              </w:rPr>
              <w:t>/</w:t>
            </w:r>
            <w:r w:rsidRPr="00DA3766">
              <w:rPr>
                <w:rFonts w:ascii="Times New Roman" w:hAnsi="Times New Roman" w:cs="Times New Roman"/>
                <w:b/>
                <w:bCs/>
                <w:color w:val="000000"/>
                <w:kern w:val="2"/>
                <w:sz w:val="21"/>
                <w:szCs w:val="32"/>
              </w:rPr>
              <w:t>服务内容</w:t>
            </w:r>
          </w:p>
        </w:tc>
        <w:tc>
          <w:tcPr>
            <w:tcW w:w="937" w:type="pct"/>
            <w:vAlign w:val="center"/>
          </w:tcPr>
          <w:p w14:paraId="3EB2A0D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订单金额</w:t>
            </w:r>
          </w:p>
        </w:tc>
        <w:tc>
          <w:tcPr>
            <w:tcW w:w="937" w:type="pct"/>
            <w:vAlign w:val="center"/>
          </w:tcPr>
          <w:p w14:paraId="65D0FD3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订单期限</w:t>
            </w:r>
          </w:p>
        </w:tc>
      </w:tr>
      <w:tr w:rsidR="003F2129" w:rsidRPr="00DA3766" w14:paraId="12676A65" w14:textId="77777777" w:rsidTr="00BF5BFE">
        <w:trPr>
          <w:trHeight w:val="397"/>
          <w:jc w:val="center"/>
        </w:trPr>
        <w:tc>
          <w:tcPr>
            <w:tcW w:w="804" w:type="pct"/>
            <w:vAlign w:val="center"/>
          </w:tcPr>
          <w:p w14:paraId="74DF3A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2024</w:t>
            </w:r>
            <w:r w:rsidRPr="00DA3766">
              <w:rPr>
                <w:rFonts w:ascii="Times New Roman" w:hAnsi="Times New Roman" w:cs="Times New Roman"/>
                <w:color w:val="000000"/>
                <w:kern w:val="2"/>
                <w:sz w:val="21"/>
                <w:szCs w:val="22"/>
                <w14:ligatures w14:val="standardContextual"/>
              </w:rPr>
              <w:t>年</w:t>
            </w:r>
            <w:r w:rsidRPr="00DA3766">
              <w:rPr>
                <w:rFonts w:ascii="Times New Roman" w:hAnsi="Times New Roman" w:cs="Times New Roman"/>
                <w:color w:val="000000"/>
                <w:kern w:val="2"/>
                <w:sz w:val="21"/>
                <w:szCs w:val="22"/>
                <w14:ligatures w14:val="standardContextual"/>
              </w:rPr>
              <w:t>10</w:t>
            </w:r>
            <w:r w:rsidRPr="00DA3766">
              <w:rPr>
                <w:rFonts w:ascii="Times New Roman" w:hAnsi="Times New Roman" w:cs="Times New Roman"/>
                <w:color w:val="000000"/>
                <w:kern w:val="2"/>
                <w:sz w:val="21"/>
                <w:szCs w:val="22"/>
                <w14:ligatures w14:val="standardContextual"/>
              </w:rPr>
              <w:t>月</w:t>
            </w:r>
          </w:p>
        </w:tc>
        <w:tc>
          <w:tcPr>
            <w:tcW w:w="1088" w:type="pct"/>
            <w:vAlign w:val="center"/>
          </w:tcPr>
          <w:p w14:paraId="32E1B6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中国移动通信集团广东有限公司深圳分公司</w:t>
            </w:r>
          </w:p>
        </w:tc>
        <w:tc>
          <w:tcPr>
            <w:tcW w:w="1234" w:type="pct"/>
            <w:vAlign w:val="center"/>
          </w:tcPr>
          <w:p w14:paraId="18262F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训练基础高性能算力服务及算力运维服务</w:t>
            </w:r>
          </w:p>
        </w:tc>
        <w:tc>
          <w:tcPr>
            <w:tcW w:w="937" w:type="pct"/>
            <w:vAlign w:val="center"/>
          </w:tcPr>
          <w:p w14:paraId="0BF8EB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3.83</w:t>
            </w:r>
            <w:r w:rsidRPr="00DA3766">
              <w:rPr>
                <w:rFonts w:ascii="Times New Roman" w:hAnsi="Times New Roman" w:cs="Times New Roman"/>
                <w:color w:val="000000"/>
                <w:kern w:val="2"/>
                <w:sz w:val="21"/>
                <w:szCs w:val="22"/>
                <w14:ligatures w14:val="standardContextual"/>
              </w:rPr>
              <w:t>亿元</w:t>
            </w:r>
          </w:p>
        </w:tc>
        <w:tc>
          <w:tcPr>
            <w:tcW w:w="937" w:type="pct"/>
            <w:vAlign w:val="center"/>
          </w:tcPr>
          <w:p w14:paraId="677F1C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Cs/>
                <w:kern w:val="2"/>
                <w:sz w:val="21"/>
                <w:szCs w:val="32"/>
              </w:rPr>
            </w:pPr>
            <w:r w:rsidRPr="00DA3766">
              <w:rPr>
                <w:rFonts w:ascii="Times New Roman" w:hAnsi="Times New Roman" w:cs="Times New Roman"/>
                <w:color w:val="000000"/>
                <w:kern w:val="2"/>
                <w:sz w:val="21"/>
                <w:szCs w:val="22"/>
                <w14:ligatures w14:val="standardContextual"/>
              </w:rPr>
              <w:t>5</w:t>
            </w:r>
            <w:r w:rsidRPr="00DA3766">
              <w:rPr>
                <w:rFonts w:ascii="Times New Roman" w:hAnsi="Times New Roman" w:cs="Times New Roman"/>
                <w:color w:val="000000"/>
                <w:kern w:val="2"/>
                <w:sz w:val="21"/>
                <w:szCs w:val="22"/>
                <w14:ligatures w14:val="standardContextual"/>
              </w:rPr>
              <w:t>年</w:t>
            </w:r>
          </w:p>
        </w:tc>
      </w:tr>
    </w:tbl>
    <w:p w14:paraId="24696BF3"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上市公司算力项目在手订单金额总计</w:t>
      </w:r>
      <w:r w:rsidRPr="00DA3766">
        <w:rPr>
          <w:rFonts w:ascii="Times New Roman" w:hAnsi="Times New Roman" w:cs="Times New Roman"/>
          <w:bCs/>
          <w:kern w:val="2"/>
          <w:szCs w:val="32"/>
        </w:rPr>
        <w:t>3.83</w:t>
      </w:r>
      <w:r w:rsidRPr="00DA3766">
        <w:rPr>
          <w:rFonts w:ascii="Times New Roman" w:hAnsi="Times New Roman" w:cs="Times New Roman"/>
          <w:bCs/>
          <w:kern w:val="2"/>
          <w:szCs w:val="32"/>
        </w:rPr>
        <w:t>亿元，订单覆盖期间为</w:t>
      </w:r>
      <w:r w:rsidRPr="00DA3766">
        <w:rPr>
          <w:rFonts w:ascii="Times New Roman" w:hAnsi="Times New Roman" w:cs="Times New Roman"/>
          <w:bCs/>
          <w:kern w:val="2"/>
          <w:szCs w:val="32"/>
        </w:rPr>
        <w:t>5</w:t>
      </w:r>
      <w:r w:rsidRPr="00DA3766">
        <w:rPr>
          <w:rFonts w:ascii="Times New Roman" w:hAnsi="Times New Roman" w:cs="Times New Roman"/>
          <w:bCs/>
          <w:kern w:val="2"/>
          <w:szCs w:val="32"/>
        </w:rPr>
        <w:t>年。截至本回复出具之日，上市公司与客户合作关系较为稳定，业务可持续性及可行性不存在重大不利变化。</w:t>
      </w:r>
    </w:p>
    <w:p w14:paraId="7B5F192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、资产减值准备计提是否充分</w:t>
      </w:r>
    </w:p>
    <w:p w14:paraId="0A54B8C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报告期各期末，公司按照《企业会计准则第</w:t>
      </w:r>
      <w:r w:rsidRPr="00DA3766">
        <w:rPr>
          <w:rFonts w:ascii="Times New Roman" w:hAnsi="Times New Roman" w:cs="Times New Roman"/>
          <w:bCs/>
          <w:kern w:val="2"/>
          <w:szCs w:val="32"/>
        </w:rPr>
        <w:t xml:space="preserve"> 8 </w:t>
      </w:r>
      <w:r w:rsidRPr="00DA3766">
        <w:rPr>
          <w:rFonts w:ascii="Times New Roman" w:hAnsi="Times New Roman" w:cs="Times New Roman"/>
          <w:bCs/>
          <w:kern w:val="2"/>
          <w:szCs w:val="32"/>
        </w:rPr>
        <w:t>号</w:t>
      </w:r>
      <w:r w:rsidRPr="00DA3766">
        <w:rPr>
          <w:rFonts w:ascii="Times New Roman" w:hAnsi="Times New Roman" w:cs="Times New Roman"/>
          <w:bCs/>
          <w:kern w:val="2"/>
          <w:szCs w:val="32"/>
        </w:rPr>
        <w:t>——</w:t>
      </w:r>
      <w:r w:rsidRPr="00DA3766">
        <w:rPr>
          <w:rFonts w:ascii="Times New Roman" w:hAnsi="Times New Roman" w:cs="Times New Roman"/>
          <w:bCs/>
          <w:kern w:val="2"/>
          <w:szCs w:val="32"/>
        </w:rPr>
        <w:t>资产减值》第五条的相关规定对资产负债表日的固定资产是否存在减值迹象进行逐项判断，具体分析如下：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3512"/>
        <w:gridCol w:w="2725"/>
        <w:gridCol w:w="1597"/>
      </w:tblGrid>
      <w:tr w:rsidR="003F2129" w:rsidRPr="00DA3766" w14:paraId="4014D900" w14:textId="77777777" w:rsidTr="00635015">
        <w:trPr>
          <w:trHeight w:val="397"/>
          <w:tblHeader/>
          <w:jc w:val="center"/>
        </w:trPr>
        <w:tc>
          <w:tcPr>
            <w:tcW w:w="694" w:type="dxa"/>
            <w:vAlign w:val="center"/>
          </w:tcPr>
          <w:p w14:paraId="6F41420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序号</w:t>
            </w:r>
          </w:p>
        </w:tc>
        <w:tc>
          <w:tcPr>
            <w:tcW w:w="3512" w:type="dxa"/>
            <w:vAlign w:val="center"/>
          </w:tcPr>
          <w:p w14:paraId="358F901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《企业会计准则》</w:t>
            </w:r>
          </w:p>
        </w:tc>
        <w:tc>
          <w:tcPr>
            <w:tcW w:w="2725" w:type="dxa"/>
            <w:vAlign w:val="center"/>
          </w:tcPr>
          <w:p w14:paraId="5F9792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公司具体情况</w:t>
            </w:r>
          </w:p>
        </w:tc>
        <w:tc>
          <w:tcPr>
            <w:tcW w:w="1597" w:type="dxa"/>
            <w:vAlign w:val="center"/>
          </w:tcPr>
          <w:p w14:paraId="54C90D6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减值迹象判断</w:t>
            </w:r>
          </w:p>
        </w:tc>
      </w:tr>
      <w:tr w:rsidR="003F2129" w:rsidRPr="00DA3766" w14:paraId="2388D7BB" w14:textId="77777777" w:rsidTr="00635015">
        <w:trPr>
          <w:trHeight w:val="397"/>
          <w:jc w:val="center"/>
        </w:trPr>
        <w:tc>
          <w:tcPr>
            <w:tcW w:w="694" w:type="dxa"/>
            <w:vAlign w:val="center"/>
          </w:tcPr>
          <w:p w14:paraId="7AD5BCF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w:t>
            </w:r>
          </w:p>
        </w:tc>
        <w:tc>
          <w:tcPr>
            <w:tcW w:w="3512" w:type="dxa"/>
            <w:vAlign w:val="center"/>
          </w:tcPr>
          <w:p w14:paraId="74C08755"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资产的市价当期大幅度下跌，其跌幅明显高于因时间的推移或者正常使用而预计的下跌</w:t>
            </w:r>
          </w:p>
        </w:tc>
        <w:tc>
          <w:tcPr>
            <w:tcW w:w="2725" w:type="dxa"/>
            <w:vAlign w:val="center"/>
          </w:tcPr>
          <w:p w14:paraId="1914BC1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报告期内固定资产市价不存在大幅度下跌</w:t>
            </w:r>
          </w:p>
        </w:tc>
        <w:tc>
          <w:tcPr>
            <w:tcW w:w="1597" w:type="dxa"/>
            <w:vAlign w:val="center"/>
          </w:tcPr>
          <w:p w14:paraId="4B80B41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4B2BBEBC" w14:textId="77777777" w:rsidTr="00635015">
        <w:trPr>
          <w:trHeight w:val="397"/>
          <w:jc w:val="center"/>
        </w:trPr>
        <w:tc>
          <w:tcPr>
            <w:tcW w:w="694" w:type="dxa"/>
            <w:vAlign w:val="center"/>
          </w:tcPr>
          <w:p w14:paraId="53C8D575"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w:t>
            </w:r>
          </w:p>
        </w:tc>
        <w:tc>
          <w:tcPr>
            <w:tcW w:w="3512" w:type="dxa"/>
            <w:vAlign w:val="center"/>
          </w:tcPr>
          <w:p w14:paraId="5AB1D00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企业经营所处的经济、技术或者法律等环境以及资产所处的市场在当期或者将在近期发生重大变化，从而对企业产生不利影响</w:t>
            </w:r>
          </w:p>
        </w:tc>
        <w:tc>
          <w:tcPr>
            <w:tcW w:w="2725" w:type="dxa"/>
            <w:vAlign w:val="center"/>
          </w:tcPr>
          <w:p w14:paraId="77BADAD0" w14:textId="77777777" w:rsidR="00635015"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公司经营所处的经济、技术或者法律等环境以及资产所处的市场未发生重大</w:t>
            </w:r>
          </w:p>
          <w:p w14:paraId="7285A2C8" w14:textId="56694350"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变化</w:t>
            </w:r>
          </w:p>
        </w:tc>
        <w:tc>
          <w:tcPr>
            <w:tcW w:w="1597" w:type="dxa"/>
            <w:vAlign w:val="center"/>
          </w:tcPr>
          <w:p w14:paraId="0BC2CC7E"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2C61186A" w14:textId="77777777" w:rsidTr="00635015">
        <w:trPr>
          <w:trHeight w:val="397"/>
          <w:jc w:val="center"/>
        </w:trPr>
        <w:tc>
          <w:tcPr>
            <w:tcW w:w="694" w:type="dxa"/>
            <w:vAlign w:val="center"/>
          </w:tcPr>
          <w:p w14:paraId="68411EA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w:t>
            </w:r>
          </w:p>
        </w:tc>
        <w:tc>
          <w:tcPr>
            <w:tcW w:w="3512" w:type="dxa"/>
            <w:vAlign w:val="center"/>
          </w:tcPr>
          <w:p w14:paraId="25416C72"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市场利率或者其他市场投资报酬率在当期已经提高，从而影响企业计算资产预计未来现金流量现值的折现率，导致资产可收回金额大幅度降低</w:t>
            </w:r>
          </w:p>
        </w:tc>
        <w:tc>
          <w:tcPr>
            <w:tcW w:w="2725" w:type="dxa"/>
            <w:vAlign w:val="center"/>
          </w:tcPr>
          <w:p w14:paraId="59EA165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报告期内市场利率或者其他市场投资报酬率未发生重大变化</w:t>
            </w:r>
          </w:p>
        </w:tc>
        <w:tc>
          <w:tcPr>
            <w:tcW w:w="1597" w:type="dxa"/>
            <w:vAlign w:val="center"/>
          </w:tcPr>
          <w:p w14:paraId="0468325F"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38E95331" w14:textId="77777777" w:rsidTr="00635015">
        <w:trPr>
          <w:trHeight w:val="397"/>
          <w:jc w:val="center"/>
        </w:trPr>
        <w:tc>
          <w:tcPr>
            <w:tcW w:w="694" w:type="dxa"/>
            <w:vAlign w:val="center"/>
          </w:tcPr>
          <w:p w14:paraId="23F2734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w:t>
            </w:r>
          </w:p>
        </w:tc>
        <w:tc>
          <w:tcPr>
            <w:tcW w:w="3512" w:type="dxa"/>
            <w:vAlign w:val="center"/>
          </w:tcPr>
          <w:p w14:paraId="273E0DD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有证据表明资产已经陈旧过时或者其实体已经损坏</w:t>
            </w:r>
          </w:p>
        </w:tc>
        <w:tc>
          <w:tcPr>
            <w:tcW w:w="2725" w:type="dxa"/>
            <w:vAlign w:val="center"/>
          </w:tcPr>
          <w:p w14:paraId="12A4D14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资产状况良好，经盘点，公司固定资产未发生陈旧过时或者实体损坏的情况</w:t>
            </w:r>
          </w:p>
        </w:tc>
        <w:tc>
          <w:tcPr>
            <w:tcW w:w="1597" w:type="dxa"/>
            <w:vAlign w:val="center"/>
          </w:tcPr>
          <w:p w14:paraId="57FDA68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4E23CD8D" w14:textId="77777777" w:rsidTr="00635015">
        <w:trPr>
          <w:trHeight w:val="397"/>
          <w:jc w:val="center"/>
        </w:trPr>
        <w:tc>
          <w:tcPr>
            <w:tcW w:w="694" w:type="dxa"/>
            <w:vAlign w:val="center"/>
          </w:tcPr>
          <w:p w14:paraId="6A295EB5"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w:t>
            </w:r>
          </w:p>
        </w:tc>
        <w:tc>
          <w:tcPr>
            <w:tcW w:w="3512" w:type="dxa"/>
            <w:vAlign w:val="center"/>
          </w:tcPr>
          <w:p w14:paraId="502332C6"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资产已经或者将被闲置、终止使用或者计划提前处置</w:t>
            </w:r>
          </w:p>
        </w:tc>
        <w:tc>
          <w:tcPr>
            <w:tcW w:w="2725" w:type="dxa"/>
            <w:vAlign w:val="center"/>
          </w:tcPr>
          <w:p w14:paraId="715FBAC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资产不存在已经或将被闲置、终止使用或计划提前处置的情形</w:t>
            </w:r>
          </w:p>
        </w:tc>
        <w:tc>
          <w:tcPr>
            <w:tcW w:w="1597" w:type="dxa"/>
            <w:vAlign w:val="center"/>
          </w:tcPr>
          <w:p w14:paraId="008D773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7889E130" w14:textId="77777777" w:rsidTr="00635015">
        <w:trPr>
          <w:trHeight w:val="397"/>
          <w:jc w:val="center"/>
        </w:trPr>
        <w:tc>
          <w:tcPr>
            <w:tcW w:w="694" w:type="dxa"/>
            <w:vAlign w:val="center"/>
          </w:tcPr>
          <w:p w14:paraId="4E91802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w:t>
            </w:r>
          </w:p>
        </w:tc>
        <w:tc>
          <w:tcPr>
            <w:tcW w:w="3512" w:type="dxa"/>
            <w:vAlign w:val="center"/>
          </w:tcPr>
          <w:p w14:paraId="3EED322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企业内部报告的证据表明资产的经济绩效已经低于或者将低于预期，如资产所创造的净现金流量或者实现的营业利润（或者亏损）远远低于（或者高于）预计金额等</w:t>
            </w:r>
          </w:p>
        </w:tc>
        <w:tc>
          <w:tcPr>
            <w:tcW w:w="2725" w:type="dxa"/>
            <w:vAlign w:val="center"/>
          </w:tcPr>
          <w:p w14:paraId="2CA8E20C"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资产经济绩效有长期合同支撑，不存在低于或将低于预期的情形</w:t>
            </w:r>
          </w:p>
        </w:tc>
        <w:tc>
          <w:tcPr>
            <w:tcW w:w="1597" w:type="dxa"/>
            <w:vAlign w:val="center"/>
          </w:tcPr>
          <w:p w14:paraId="65F4B9D4"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1D7E701A" w14:textId="77777777" w:rsidTr="00635015">
        <w:trPr>
          <w:trHeight w:val="397"/>
          <w:jc w:val="center"/>
        </w:trPr>
        <w:tc>
          <w:tcPr>
            <w:tcW w:w="694" w:type="dxa"/>
            <w:vAlign w:val="center"/>
          </w:tcPr>
          <w:p w14:paraId="5C90F33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w:t>
            </w:r>
          </w:p>
        </w:tc>
        <w:tc>
          <w:tcPr>
            <w:tcW w:w="3512" w:type="dxa"/>
            <w:vAlign w:val="center"/>
          </w:tcPr>
          <w:p w14:paraId="3FCF335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其他表明资产可能已经发生减值的迹象</w:t>
            </w:r>
          </w:p>
        </w:tc>
        <w:tc>
          <w:tcPr>
            <w:tcW w:w="2725" w:type="dxa"/>
            <w:vAlign w:val="center"/>
          </w:tcPr>
          <w:p w14:paraId="0AF23AF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未见其他异常现象</w:t>
            </w:r>
          </w:p>
        </w:tc>
        <w:tc>
          <w:tcPr>
            <w:tcW w:w="1597" w:type="dxa"/>
            <w:vAlign w:val="center"/>
          </w:tcPr>
          <w:p w14:paraId="09CD212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申报期内未见减值现象</w:t>
            </w:r>
          </w:p>
        </w:tc>
      </w:tr>
    </w:tbl>
    <w:p w14:paraId="169F4421"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综上，上市公司已经按照《企业会计准则第</w:t>
      </w:r>
      <w:r w:rsidRPr="00DA3766">
        <w:rPr>
          <w:rFonts w:ascii="Times New Roman" w:hAnsi="Times New Roman" w:cs="Times New Roman"/>
          <w:kern w:val="2"/>
          <w:szCs w:val="21"/>
        </w:rPr>
        <w:t xml:space="preserve"> 8 </w:t>
      </w:r>
      <w:r w:rsidRPr="00DA3766">
        <w:rPr>
          <w:rFonts w:ascii="Times New Roman" w:hAnsi="Times New Roman" w:cs="Times New Roman"/>
          <w:kern w:val="2"/>
          <w:szCs w:val="21"/>
        </w:rPr>
        <w:t>号</w:t>
      </w:r>
      <w:r w:rsidRPr="00DA3766">
        <w:rPr>
          <w:rFonts w:ascii="Times New Roman" w:hAnsi="Times New Roman" w:cs="Times New Roman"/>
          <w:kern w:val="2"/>
          <w:szCs w:val="21"/>
        </w:rPr>
        <w:t>——</w:t>
      </w:r>
      <w:r w:rsidRPr="00DA3766">
        <w:rPr>
          <w:rFonts w:ascii="Times New Roman" w:hAnsi="Times New Roman" w:cs="Times New Roman"/>
          <w:kern w:val="2"/>
          <w:szCs w:val="21"/>
        </w:rPr>
        <w:t>资产减值》相关规定于各资产负债表日进行固定资产减值迹象判断，并严格执行资产减值测试方法。报告期各期末，公司算力业务进展顺利，客户需求稳定，相关设备未出现减值迹</w:t>
      </w:r>
      <w:r w:rsidRPr="00DA3766">
        <w:rPr>
          <w:rFonts w:ascii="Times New Roman" w:hAnsi="Times New Roman" w:cs="Times New Roman"/>
          <w:kern w:val="2"/>
          <w:szCs w:val="21"/>
        </w:rPr>
        <w:lastRenderedPageBreak/>
        <w:t>象，无需计提减值准备。</w:t>
      </w:r>
    </w:p>
    <w:p w14:paraId="77055FAE"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一、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p>
    <w:p w14:paraId="2434912C"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（一）光伏业务是否具备可持续经营能力</w:t>
      </w:r>
    </w:p>
    <w:p w14:paraId="0FB1FB50"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1</w:t>
      </w:r>
      <w:r w:rsidRPr="00DA3766">
        <w:rPr>
          <w:rFonts w:ascii="Times New Roman" w:hAnsi="Times New Roman" w:cs="Times New Roman"/>
          <w:b/>
          <w:bCs/>
          <w:kern w:val="2"/>
          <w:szCs w:val="32"/>
        </w:rPr>
        <w:t>、光伏发电市场环境变化</w:t>
      </w:r>
    </w:p>
    <w:p w14:paraId="3A02D3A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近年来，中国光伏市场，特别是分布式光伏，经历了爆发式增长，并已进入平价上网的新阶段。从规模体量看，累计装机方面，</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年底全国累计并网光伏发电装机</w:t>
      </w:r>
      <w:r w:rsidRPr="00DA3766">
        <w:rPr>
          <w:rFonts w:ascii="Times New Roman" w:hAnsi="Times New Roman" w:cs="Times New Roman"/>
          <w:bCs/>
          <w:kern w:val="2"/>
          <w:szCs w:val="32"/>
        </w:rPr>
        <w:t>1,942</w:t>
      </w:r>
      <w:r w:rsidRPr="00DA3766">
        <w:rPr>
          <w:rFonts w:ascii="Times New Roman" w:hAnsi="Times New Roman" w:cs="Times New Roman"/>
          <w:bCs/>
          <w:kern w:val="2"/>
          <w:szCs w:val="32"/>
        </w:rPr>
        <w:t>万千瓦，其中分布式</w:t>
      </w:r>
      <w:r w:rsidRPr="00DA3766">
        <w:rPr>
          <w:rFonts w:ascii="Times New Roman" w:hAnsi="Times New Roman" w:cs="Times New Roman"/>
          <w:bCs/>
          <w:kern w:val="2"/>
          <w:szCs w:val="32"/>
        </w:rPr>
        <w:t>310</w:t>
      </w:r>
      <w:r w:rsidRPr="00DA3766">
        <w:rPr>
          <w:rFonts w:ascii="Times New Roman" w:hAnsi="Times New Roman" w:cs="Times New Roman"/>
          <w:bCs/>
          <w:kern w:val="2"/>
          <w:szCs w:val="32"/>
        </w:rPr>
        <w:t>万千瓦，占比</w:t>
      </w:r>
      <w:r w:rsidRPr="00DA3766">
        <w:rPr>
          <w:rFonts w:ascii="Times New Roman" w:hAnsi="Times New Roman" w:cs="Times New Roman"/>
          <w:bCs/>
          <w:kern w:val="2"/>
          <w:szCs w:val="32"/>
        </w:rPr>
        <w:t>16%</w:t>
      </w:r>
      <w:r w:rsidRPr="00DA3766">
        <w:rPr>
          <w:rFonts w:ascii="Times New Roman" w:hAnsi="Times New Roman" w:cs="Times New Roman"/>
          <w:bCs/>
          <w:kern w:val="2"/>
          <w:szCs w:val="32"/>
        </w:rPr>
        <w:t>。截至</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年底，分布式光伏发电累计装机达到</w:t>
      </w:r>
      <w:r w:rsidRPr="00DA3766">
        <w:rPr>
          <w:rFonts w:ascii="Times New Roman" w:hAnsi="Times New Roman" w:cs="Times New Roman"/>
          <w:bCs/>
          <w:kern w:val="2"/>
          <w:szCs w:val="32"/>
        </w:rPr>
        <w:t>3.7</w:t>
      </w:r>
      <w:r w:rsidRPr="00DA3766">
        <w:rPr>
          <w:rFonts w:ascii="Times New Roman" w:hAnsi="Times New Roman" w:cs="Times New Roman"/>
          <w:bCs/>
          <w:kern w:val="2"/>
          <w:szCs w:val="32"/>
        </w:rPr>
        <w:t>亿千瓦，是</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年底的</w:t>
      </w:r>
      <w:r w:rsidRPr="00DA3766">
        <w:rPr>
          <w:rFonts w:ascii="Times New Roman" w:hAnsi="Times New Roman" w:cs="Times New Roman"/>
          <w:bCs/>
          <w:kern w:val="2"/>
          <w:szCs w:val="32"/>
        </w:rPr>
        <w:t>121</w:t>
      </w:r>
      <w:r w:rsidRPr="00DA3766">
        <w:rPr>
          <w:rFonts w:ascii="Times New Roman" w:hAnsi="Times New Roman" w:cs="Times New Roman"/>
          <w:bCs/>
          <w:kern w:val="2"/>
          <w:szCs w:val="32"/>
        </w:rPr>
        <w:t>倍，占全部光伏发电装机的</w:t>
      </w:r>
      <w:r w:rsidRPr="00DA3766">
        <w:rPr>
          <w:rFonts w:ascii="Times New Roman" w:hAnsi="Times New Roman" w:cs="Times New Roman"/>
          <w:bCs/>
          <w:kern w:val="2"/>
          <w:szCs w:val="32"/>
        </w:rPr>
        <w:t>42%</w:t>
      </w:r>
      <w:r w:rsidRPr="00DA3766">
        <w:rPr>
          <w:rFonts w:ascii="Times New Roman" w:hAnsi="Times New Roman" w:cs="Times New Roman"/>
          <w:bCs/>
          <w:kern w:val="2"/>
          <w:szCs w:val="32"/>
        </w:rPr>
        <w:t>，占全国发电总装机的</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。新增装机方面，</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年分布式光伏发电新增装机达</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亿千瓦，占当年新增光伏发电装机的</w:t>
      </w:r>
      <w:r w:rsidRPr="00DA3766">
        <w:rPr>
          <w:rFonts w:ascii="Times New Roman" w:hAnsi="Times New Roman" w:cs="Times New Roman"/>
          <w:bCs/>
          <w:kern w:val="2"/>
          <w:szCs w:val="32"/>
        </w:rPr>
        <w:t>43%</w:t>
      </w:r>
      <w:r w:rsidRPr="00DA3766">
        <w:rPr>
          <w:rFonts w:ascii="Times New Roman" w:hAnsi="Times New Roman" w:cs="Times New Roman"/>
          <w:bCs/>
          <w:kern w:val="2"/>
          <w:szCs w:val="32"/>
        </w:rPr>
        <w:t>。发电量方面，</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年分布式光伏发电量</w:t>
      </w:r>
      <w:r w:rsidRPr="00DA3766">
        <w:rPr>
          <w:rFonts w:ascii="Times New Roman" w:hAnsi="Times New Roman" w:cs="Times New Roman"/>
          <w:bCs/>
          <w:kern w:val="2"/>
          <w:szCs w:val="32"/>
        </w:rPr>
        <w:t>3,462</w:t>
      </w:r>
      <w:r w:rsidRPr="00DA3766">
        <w:rPr>
          <w:rFonts w:ascii="Times New Roman" w:hAnsi="Times New Roman" w:cs="Times New Roman"/>
          <w:bCs/>
          <w:kern w:val="2"/>
          <w:szCs w:val="32"/>
        </w:rPr>
        <w:t>亿千瓦时，占光伏发电量的</w:t>
      </w:r>
      <w:r w:rsidRPr="00DA3766">
        <w:rPr>
          <w:rFonts w:ascii="Times New Roman" w:hAnsi="Times New Roman" w:cs="Times New Roman"/>
          <w:bCs/>
          <w:kern w:val="2"/>
          <w:szCs w:val="32"/>
        </w:rPr>
        <w:t>41%</w:t>
      </w:r>
      <w:r w:rsidRPr="00DA3766">
        <w:rPr>
          <w:rFonts w:ascii="Times New Roman" w:hAnsi="Times New Roman" w:cs="Times New Roman"/>
          <w:bCs/>
          <w:kern w:val="2"/>
          <w:szCs w:val="32"/>
        </w:rPr>
        <w:t>。无论累计装机、新增装机或是发电量，分布式与集中式并举和等量齐观的态势都很明显，分布式光伏发电已经成为能源转型的重要力量。伴随光伏组件价格从</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年的</w:t>
      </w:r>
      <w:r w:rsidRPr="00DA3766">
        <w:rPr>
          <w:rFonts w:ascii="Times New Roman" w:hAnsi="Times New Roman" w:cs="Times New Roman"/>
          <w:bCs/>
          <w:kern w:val="2"/>
          <w:szCs w:val="32"/>
        </w:rPr>
        <w:t>5</w:t>
      </w:r>
      <w:r w:rsidRPr="00DA3766">
        <w:rPr>
          <w:rFonts w:ascii="Times New Roman" w:hAnsi="Times New Roman" w:cs="Times New Roman"/>
          <w:bCs/>
          <w:kern w:val="2"/>
          <w:szCs w:val="32"/>
        </w:rPr>
        <w:t>元</w:t>
      </w:r>
      <w:r w:rsidRPr="00DA3766">
        <w:rPr>
          <w:rFonts w:ascii="Times New Roman" w:hAnsi="Times New Roman" w:cs="Times New Roman"/>
          <w:bCs/>
          <w:kern w:val="2"/>
          <w:szCs w:val="32"/>
        </w:rPr>
        <w:t>/</w:t>
      </w:r>
      <w:r w:rsidRPr="00DA3766">
        <w:rPr>
          <w:rFonts w:ascii="Times New Roman" w:hAnsi="Times New Roman" w:cs="Times New Roman"/>
          <w:bCs/>
          <w:kern w:val="2"/>
          <w:szCs w:val="32"/>
        </w:rPr>
        <w:t>瓦左右降至目前的</w:t>
      </w:r>
      <w:r w:rsidRPr="00DA3766">
        <w:rPr>
          <w:rFonts w:ascii="Times New Roman" w:hAnsi="Times New Roman" w:cs="Times New Roman"/>
          <w:bCs/>
          <w:kern w:val="2"/>
          <w:szCs w:val="32"/>
        </w:rPr>
        <w:t>0.70</w:t>
      </w:r>
      <w:r w:rsidRPr="00DA3766">
        <w:rPr>
          <w:rFonts w:ascii="Times New Roman" w:hAnsi="Times New Roman" w:cs="Times New Roman"/>
          <w:bCs/>
          <w:kern w:val="2"/>
          <w:szCs w:val="32"/>
        </w:rPr>
        <w:t>元</w:t>
      </w:r>
      <w:r w:rsidRPr="00DA3766">
        <w:rPr>
          <w:rFonts w:ascii="Times New Roman" w:hAnsi="Times New Roman" w:cs="Times New Roman"/>
          <w:bCs/>
          <w:kern w:val="2"/>
          <w:szCs w:val="32"/>
        </w:rPr>
        <w:t>/</w:t>
      </w:r>
      <w:r w:rsidRPr="00DA3766">
        <w:rPr>
          <w:rFonts w:ascii="Times New Roman" w:hAnsi="Times New Roman" w:cs="Times New Roman"/>
          <w:bCs/>
          <w:kern w:val="2"/>
          <w:szCs w:val="32"/>
        </w:rPr>
        <w:t>瓦左右，包括分布式光伏发电在内的新能源已全面进入平价无补贴市场化的发展阶段。</w:t>
      </w:r>
    </w:p>
    <w:p w14:paraId="197D775F"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目前，光伏发电行业发展的驱动力已从早期的国家补贴，转变为以</w:t>
      </w:r>
      <w:r w:rsidRPr="00DA3766">
        <w:rPr>
          <w:rFonts w:cs="Times New Roman"/>
          <w:bCs/>
          <w:kern w:val="2"/>
          <w:szCs w:val="32"/>
        </w:rPr>
        <w:t>“</w:t>
      </w:r>
      <w:r w:rsidRPr="00DA3766">
        <w:rPr>
          <w:rFonts w:ascii="Times New Roman" w:hAnsi="Times New Roman" w:cs="Times New Roman"/>
          <w:bCs/>
          <w:kern w:val="2"/>
          <w:szCs w:val="32"/>
        </w:rPr>
        <w:t>就近就地消纳</w:t>
      </w:r>
      <w:r w:rsidRPr="00DA3766">
        <w:rPr>
          <w:rFonts w:cs="Times New Roman"/>
          <w:bCs/>
          <w:kern w:val="2"/>
          <w:szCs w:val="32"/>
        </w:rPr>
        <w:t>”</w:t>
      </w:r>
      <w:r w:rsidRPr="00DA3766">
        <w:rPr>
          <w:rFonts w:ascii="Times New Roman" w:hAnsi="Times New Roman" w:cs="Times New Roman"/>
          <w:bCs/>
          <w:kern w:val="2"/>
          <w:szCs w:val="32"/>
        </w:rPr>
        <w:t>为核心的市场化发展机制。当前行业的主要矛盾是</w:t>
      </w:r>
      <w:r w:rsidRPr="00DA3766">
        <w:rPr>
          <w:rFonts w:cs="Times New Roman"/>
          <w:bCs/>
          <w:kern w:val="2"/>
          <w:szCs w:val="32"/>
        </w:rPr>
        <w:t>“</w:t>
      </w:r>
      <w:r w:rsidRPr="00DA3766">
        <w:rPr>
          <w:rFonts w:ascii="Times New Roman" w:hAnsi="Times New Roman" w:cs="Times New Roman"/>
          <w:bCs/>
          <w:kern w:val="2"/>
          <w:szCs w:val="32"/>
        </w:rPr>
        <w:t>接网消纳</w:t>
      </w:r>
      <w:r w:rsidRPr="00DA3766">
        <w:rPr>
          <w:rFonts w:cs="Times New Roman"/>
          <w:bCs/>
          <w:kern w:val="2"/>
          <w:szCs w:val="32"/>
        </w:rPr>
        <w:t>”</w:t>
      </w:r>
      <w:r w:rsidRPr="00DA3766">
        <w:rPr>
          <w:rFonts w:ascii="Times New Roman" w:hAnsi="Times New Roman" w:cs="Times New Roman"/>
          <w:bCs/>
          <w:kern w:val="2"/>
          <w:szCs w:val="32"/>
        </w:rPr>
        <w:t>，随着分布式光伏的快速增加，部分地区的电网承载力面临挑战。国家能源局已要求建立配电网可开放容量按季度发布和预警机制，以引导项目科学合理布局。</w:t>
      </w:r>
    </w:p>
    <w:p w14:paraId="7D592D9B"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2</w:t>
      </w:r>
      <w:r w:rsidRPr="00DA3766">
        <w:rPr>
          <w:rFonts w:ascii="Times New Roman" w:hAnsi="Times New Roman" w:cs="Times New Roman"/>
          <w:b/>
          <w:bCs/>
          <w:kern w:val="2"/>
          <w:szCs w:val="32"/>
        </w:rPr>
        <w:t>、发电设施所在地的相关产业政策及弃光情况</w:t>
      </w:r>
    </w:p>
    <w:p w14:paraId="6137990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上市公司的光伏项目分布于多个省份，包括山东、湖南、广西、河北、广东等，根据公开资料查询，各地相关产业政策及弃光情况如下：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4436"/>
        <w:gridCol w:w="3196"/>
      </w:tblGrid>
      <w:tr w:rsidR="003F2129" w:rsidRPr="00DA3766" w14:paraId="42B80328" w14:textId="77777777" w:rsidTr="00DA3766">
        <w:trPr>
          <w:trHeight w:val="397"/>
          <w:tblHeader/>
          <w:jc w:val="center"/>
        </w:trPr>
        <w:tc>
          <w:tcPr>
            <w:tcW w:w="525" w:type="pct"/>
            <w:vAlign w:val="center"/>
          </w:tcPr>
          <w:p w14:paraId="2CF790C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省份</w:t>
            </w:r>
          </w:p>
        </w:tc>
        <w:tc>
          <w:tcPr>
            <w:tcW w:w="2601" w:type="pct"/>
            <w:vAlign w:val="center"/>
          </w:tcPr>
          <w:p w14:paraId="3079918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产业政策要点</w:t>
            </w:r>
          </w:p>
        </w:tc>
        <w:tc>
          <w:tcPr>
            <w:tcW w:w="1874" w:type="pct"/>
            <w:vAlign w:val="center"/>
          </w:tcPr>
          <w:p w14:paraId="42D00E0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弃光情况与消纳风险</w:t>
            </w:r>
          </w:p>
        </w:tc>
      </w:tr>
      <w:tr w:rsidR="003F2129" w:rsidRPr="00DA3766" w14:paraId="71EA2BC5" w14:textId="77777777" w:rsidTr="00DA3766">
        <w:trPr>
          <w:trHeight w:val="397"/>
          <w:jc w:val="center"/>
        </w:trPr>
        <w:tc>
          <w:tcPr>
            <w:tcW w:w="525" w:type="pct"/>
            <w:vAlign w:val="center"/>
          </w:tcPr>
          <w:p w14:paraId="285DE7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山东</w:t>
            </w:r>
          </w:p>
        </w:tc>
        <w:tc>
          <w:tcPr>
            <w:tcW w:w="2601" w:type="pct"/>
            <w:vAlign w:val="center"/>
          </w:tcPr>
          <w:p w14:paraId="358FAE6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强力支持分布式光伏，但电价机制已转向市场化竞争。重点建设</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光伏</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基地，强制推动新</w:t>
            </w:r>
            <w:r w:rsidRPr="00DA3766">
              <w:rPr>
                <w:rFonts w:ascii="Times New Roman" w:hAnsi="Times New Roman" w:cs="Times New Roman"/>
                <w:color w:val="000000"/>
                <w:kern w:val="2"/>
                <w:sz w:val="21"/>
                <w14:ligatures w14:val="standardContextual"/>
              </w:rPr>
              <w:lastRenderedPageBreak/>
              <w:t>能源全电量参与电力市场交易，对存量与增量项目实行</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新老划断</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。市场机制以</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w:t>
            </w:r>
            <w:r w:rsidRPr="00DA3766">
              <w:rPr>
                <w:rFonts w:ascii="Times New Roman" w:hAnsi="Times New Roman" w:cs="Times New Roman"/>
                <w:color w:val="000000"/>
                <w:kern w:val="2"/>
                <w:sz w:val="21"/>
                <w14:ligatures w14:val="standardContextual"/>
              </w:rPr>
              <w:t>6</w:t>
            </w:r>
            <w:r w:rsidRPr="00DA3766">
              <w:rPr>
                <w:rFonts w:ascii="Times New Roman" w:hAnsi="Times New Roman" w:cs="Times New Roman"/>
                <w:color w:val="000000"/>
                <w:kern w:val="2"/>
                <w:sz w:val="21"/>
                <w14:ligatures w14:val="standardContextual"/>
              </w:rPr>
              <w:t>月</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日为分界点。存量项目部分电量享受固定机制电价（</w:t>
            </w:r>
            <w:r w:rsidRPr="00DA3766">
              <w:rPr>
                <w:rFonts w:ascii="Times New Roman" w:hAnsi="Times New Roman" w:cs="Times New Roman"/>
                <w:color w:val="000000"/>
                <w:kern w:val="2"/>
                <w:sz w:val="21"/>
                <w14:ligatures w14:val="standardContextual"/>
              </w:rPr>
              <w:t>0.3949</w:t>
            </w:r>
            <w:r w:rsidRPr="00DA3766">
              <w:rPr>
                <w:rFonts w:ascii="Times New Roman" w:hAnsi="Times New Roman" w:cs="Times New Roman"/>
                <w:color w:val="000000"/>
                <w:kern w:val="2"/>
                <w:sz w:val="21"/>
                <w14:ligatures w14:val="standardContextual"/>
              </w:rPr>
              <w:t>元</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千瓦时）；新增项目上网电价通过竞价确定（如</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年首次竞价出清电价低至</w:t>
            </w:r>
            <w:r w:rsidRPr="00DA3766">
              <w:rPr>
                <w:rFonts w:ascii="Times New Roman" w:hAnsi="Times New Roman" w:cs="Times New Roman"/>
                <w:color w:val="000000"/>
                <w:kern w:val="2"/>
                <w:sz w:val="21"/>
                <w14:ligatures w14:val="standardContextual"/>
              </w:rPr>
              <w:t>0.225</w:t>
            </w:r>
            <w:r w:rsidRPr="00DA3766">
              <w:rPr>
                <w:rFonts w:ascii="Times New Roman" w:hAnsi="Times New Roman" w:cs="Times New Roman"/>
                <w:color w:val="000000"/>
                <w:kern w:val="2"/>
                <w:sz w:val="21"/>
                <w14:ligatures w14:val="standardContextual"/>
              </w:rPr>
              <w:t>元</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千瓦时），且工商业分布式项目要求自发自用比例不低于</w:t>
            </w:r>
            <w:r w:rsidRPr="00DA3766">
              <w:rPr>
                <w:rFonts w:ascii="Times New Roman" w:hAnsi="Times New Roman" w:cs="Times New Roman"/>
                <w:color w:val="000000"/>
                <w:kern w:val="2"/>
                <w:sz w:val="21"/>
                <w14:ligatures w14:val="standardContextual"/>
              </w:rPr>
              <w:t>50%</w:t>
            </w:r>
            <w:r w:rsidRPr="00DA3766">
              <w:rPr>
                <w:rFonts w:ascii="Times New Roman" w:hAnsi="Times New Roman" w:cs="Times New Roman"/>
                <w:color w:val="000000"/>
                <w:kern w:val="2"/>
                <w:sz w:val="21"/>
                <w14:ligatures w14:val="standardContextual"/>
              </w:rPr>
              <w:t>。</w:t>
            </w:r>
          </w:p>
        </w:tc>
        <w:tc>
          <w:tcPr>
            <w:tcW w:w="1874" w:type="pct"/>
            <w:vAlign w:val="center"/>
          </w:tcPr>
          <w:p w14:paraId="6421709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存在阶段性弃光风险。随着装机量持续大增，在用电低谷期的消</w:t>
            </w:r>
            <w:r w:rsidRPr="00DA3766">
              <w:rPr>
                <w:rFonts w:ascii="Times New Roman" w:hAnsi="Times New Roman" w:cs="Times New Roman"/>
                <w:color w:val="000000"/>
                <w:kern w:val="2"/>
                <w:sz w:val="21"/>
                <w14:ligatures w14:val="standardContextual"/>
              </w:rPr>
              <w:lastRenderedPageBreak/>
              <w:t>纳压力依然显著，尤其在夏季以外的时间。</w:t>
            </w:r>
          </w:p>
        </w:tc>
      </w:tr>
      <w:tr w:rsidR="003F2129" w:rsidRPr="00DA3766" w14:paraId="130AA4F0" w14:textId="77777777" w:rsidTr="00DA3766">
        <w:trPr>
          <w:trHeight w:val="397"/>
          <w:jc w:val="center"/>
        </w:trPr>
        <w:tc>
          <w:tcPr>
            <w:tcW w:w="525" w:type="pct"/>
            <w:vAlign w:val="center"/>
          </w:tcPr>
          <w:p w14:paraId="3F9E24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湖南</w:t>
            </w:r>
          </w:p>
        </w:tc>
        <w:tc>
          <w:tcPr>
            <w:tcW w:w="2601" w:type="pct"/>
            <w:vAlign w:val="center"/>
          </w:tcPr>
          <w:p w14:paraId="30EFAB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鼓励就近消纳，为绿电直连提供明确路径。</w:t>
            </w:r>
            <w:r w:rsidRPr="00DA3766">
              <w:rPr>
                <w:rFonts w:ascii="Times New Roman" w:eastAsia="MS Gothic"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年底湖南省发改委印发方案，明确支持分布式光伏通过直连线路向单一用户供电。这种模式强调</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以荷定源</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，要求项目自身消纳比例不低于</w:t>
            </w:r>
            <w:r w:rsidRPr="00DA3766">
              <w:rPr>
                <w:rFonts w:ascii="Times New Roman" w:hAnsi="Times New Roman" w:cs="Times New Roman"/>
                <w:color w:val="000000"/>
                <w:kern w:val="2"/>
                <w:sz w:val="21"/>
                <w14:ligatures w14:val="standardContextual"/>
              </w:rPr>
              <w:t>60%</w:t>
            </w:r>
            <w:r w:rsidRPr="00DA3766">
              <w:rPr>
                <w:rFonts w:ascii="Times New Roman" w:hAnsi="Times New Roman" w:cs="Times New Roman"/>
                <w:color w:val="000000"/>
                <w:kern w:val="2"/>
                <w:sz w:val="21"/>
                <w14:ligatures w14:val="standardContextual"/>
              </w:rPr>
              <w:t>。这对于拥有稳定用电负荷的园区内项目是利好，降低了电网调度压力。</w:t>
            </w:r>
          </w:p>
        </w:tc>
        <w:tc>
          <w:tcPr>
            <w:tcW w:w="1874" w:type="pct"/>
            <w:vAlign w:val="center"/>
          </w:tcPr>
          <w:p w14:paraId="7595E8A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政策引导下弃光风险相对较低。绿电直连模式的核心目的就是促进就近消纳。政策要求项目</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不应向公共电网反送电</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，从设计上就避免了因向公网反送电而可能引发的弃光问题。风险主要转为项目自身负荷的稳定性。</w:t>
            </w:r>
          </w:p>
        </w:tc>
      </w:tr>
      <w:tr w:rsidR="003F2129" w:rsidRPr="00DA3766" w14:paraId="3703B314" w14:textId="77777777" w:rsidTr="00DA3766">
        <w:trPr>
          <w:trHeight w:val="397"/>
          <w:jc w:val="center"/>
        </w:trPr>
        <w:tc>
          <w:tcPr>
            <w:tcW w:w="525" w:type="pct"/>
            <w:vAlign w:val="center"/>
          </w:tcPr>
          <w:p w14:paraId="1A6638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w:t>
            </w:r>
          </w:p>
        </w:tc>
        <w:tc>
          <w:tcPr>
            <w:tcW w:w="2601" w:type="pct"/>
            <w:vAlign w:val="center"/>
          </w:tcPr>
          <w:p w14:paraId="5E81DC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政策支持历史悠久，重点关注市场化并网条件。</w:t>
            </w:r>
            <w:r w:rsidRPr="00DA3766">
              <w:rPr>
                <w:rFonts w:ascii="Times New Roman" w:hAnsi="Times New Roman" w:cs="Times New Roman"/>
                <w:color w:val="000000"/>
                <w:kern w:val="2"/>
                <w:sz w:val="21"/>
                <w14:ligatures w14:val="standardContextual"/>
              </w:rPr>
              <w:t>2014</w:t>
            </w:r>
            <w:r w:rsidRPr="00DA3766">
              <w:rPr>
                <w:rFonts w:ascii="Times New Roman" w:hAnsi="Times New Roman" w:cs="Times New Roman"/>
                <w:color w:val="000000"/>
                <w:kern w:val="2"/>
                <w:sz w:val="21"/>
                <w14:ligatures w14:val="standardContextual"/>
              </w:rPr>
              <w:t>年广东省政府就提出到</w:t>
            </w:r>
            <w:r w:rsidRPr="00DA3766">
              <w:rPr>
                <w:rFonts w:ascii="Times New Roman" w:hAnsi="Times New Roman" w:cs="Times New Roman"/>
                <w:color w:val="000000"/>
                <w:kern w:val="2"/>
                <w:sz w:val="21"/>
                <w14:ligatures w14:val="standardContextual"/>
              </w:rPr>
              <w:t>2020</w:t>
            </w:r>
            <w:r w:rsidRPr="00DA3766">
              <w:rPr>
                <w:rFonts w:ascii="Times New Roman" w:hAnsi="Times New Roman" w:cs="Times New Roman"/>
                <w:color w:val="000000"/>
                <w:kern w:val="2"/>
                <w:sz w:val="21"/>
                <w14:ligatures w14:val="standardContextual"/>
              </w:rPr>
              <w:t>年光伏装机达到</w:t>
            </w:r>
            <w:r w:rsidRPr="00DA3766">
              <w:rPr>
                <w:rFonts w:ascii="Times New Roman" w:hAnsi="Times New Roman" w:cs="Times New Roman"/>
                <w:color w:val="000000"/>
                <w:kern w:val="2"/>
                <w:sz w:val="21"/>
                <w14:ligatures w14:val="standardContextual"/>
              </w:rPr>
              <w:t>400</w:t>
            </w:r>
            <w:r w:rsidRPr="00DA3766">
              <w:rPr>
                <w:rFonts w:ascii="Times New Roman" w:hAnsi="Times New Roman" w:cs="Times New Roman"/>
                <w:color w:val="000000"/>
                <w:kern w:val="2"/>
                <w:sz w:val="21"/>
                <w14:ligatures w14:val="standardContextual"/>
              </w:rPr>
              <w:t>万千瓦的目标。当前发展的关键是电网的可开放容量和接入系统方案的有效期，这直接影响项目能否及时并网。</w:t>
            </w:r>
          </w:p>
        </w:tc>
        <w:tc>
          <w:tcPr>
            <w:tcW w:w="1874" w:type="pct"/>
            <w:vAlign w:val="center"/>
          </w:tcPr>
          <w:p w14:paraId="3700DBF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总体消纳条件较好。广东经济发达，用电负荷高，整体消纳能力较强。风险点在于局部区域因分布式光伏装机过于集中，可能超过当地电网承载力。</w:t>
            </w:r>
          </w:p>
        </w:tc>
      </w:tr>
      <w:tr w:rsidR="003F2129" w:rsidRPr="00DA3766" w14:paraId="5346561E" w14:textId="77777777" w:rsidTr="00DA3766">
        <w:trPr>
          <w:trHeight w:val="397"/>
          <w:jc w:val="center"/>
        </w:trPr>
        <w:tc>
          <w:tcPr>
            <w:tcW w:w="525" w:type="pct"/>
            <w:vAlign w:val="center"/>
          </w:tcPr>
          <w:p w14:paraId="23F9D5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广西</w:t>
            </w:r>
          </w:p>
        </w:tc>
        <w:tc>
          <w:tcPr>
            <w:tcW w:w="2601" w:type="pct"/>
            <w:vAlign w:val="center"/>
          </w:tcPr>
          <w:p w14:paraId="426DD0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推动集中式与分布式光伏协同发展，构建</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电网</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绿电</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绿证</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体系，鼓励光伏在农村地区与多种场景融合应用；陆上集中式新能源（含光伏）实行</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全电量入市</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，通过市场交易形成价格，并积极发展绿电交易。</w:t>
            </w:r>
          </w:p>
        </w:tc>
        <w:tc>
          <w:tcPr>
            <w:tcW w:w="1874" w:type="pct"/>
            <w:vAlign w:val="center"/>
          </w:tcPr>
          <w:p w14:paraId="09E939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历史数据显示曾实现连续五年（</w:t>
            </w:r>
            <w:r w:rsidRPr="00DA3766">
              <w:rPr>
                <w:rFonts w:ascii="Times New Roman" w:hAnsi="Times New Roman" w:cs="Times New Roman"/>
                <w:color w:val="000000"/>
                <w:kern w:val="2"/>
                <w:sz w:val="21"/>
                <w14:ligatures w14:val="standardContextual"/>
              </w:rPr>
              <w:t>2018-2022</w:t>
            </w:r>
            <w:r w:rsidRPr="00DA3766">
              <w:rPr>
                <w:rFonts w:ascii="Times New Roman" w:hAnsi="Times New Roman" w:cs="Times New Roman"/>
                <w:color w:val="000000"/>
                <w:kern w:val="2"/>
                <w:sz w:val="21"/>
                <w14:ligatures w14:val="standardContextual"/>
              </w:rPr>
              <w:t>年）</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零弃光</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w:t>
            </w:r>
            <w:r w:rsidRPr="00DA3766">
              <w:rPr>
                <w:rFonts w:ascii="Times New Roman" w:hAnsi="Times New Roman" w:cs="Times New Roman"/>
                <w:color w:val="000000"/>
                <w:kern w:val="2"/>
                <w:sz w:val="21"/>
                <w14:ligatures w14:val="standardContextual"/>
              </w:rPr>
              <w:t>1-7</w:t>
            </w:r>
            <w:r w:rsidRPr="00DA3766">
              <w:rPr>
                <w:rFonts w:ascii="Times New Roman" w:hAnsi="Times New Roman" w:cs="Times New Roman"/>
                <w:color w:val="000000"/>
                <w:kern w:val="2"/>
                <w:sz w:val="21"/>
                <w14:ligatures w14:val="standardContextual"/>
              </w:rPr>
              <w:t>月，可再生能源电力消纳责任权重达</w:t>
            </w:r>
            <w:r w:rsidRPr="00DA3766">
              <w:rPr>
                <w:rFonts w:ascii="Times New Roman" w:hAnsi="Times New Roman" w:cs="Times New Roman"/>
                <w:color w:val="000000"/>
                <w:kern w:val="2"/>
                <w:sz w:val="21"/>
                <w14:ligatures w14:val="standardContextual"/>
              </w:rPr>
              <w:t>50.8%</w:t>
            </w:r>
            <w:r w:rsidRPr="00DA3766">
              <w:rPr>
                <w:rFonts w:ascii="Times New Roman" w:hAnsi="Times New Roman" w:cs="Times New Roman"/>
                <w:color w:val="000000"/>
                <w:kern w:val="2"/>
                <w:sz w:val="21"/>
                <w14:ligatures w14:val="standardContextual"/>
              </w:rPr>
              <w:t>，优于国家要求。</w:t>
            </w:r>
          </w:p>
        </w:tc>
      </w:tr>
      <w:tr w:rsidR="003F2129" w:rsidRPr="00DA3766" w14:paraId="6507EC13" w14:textId="77777777" w:rsidTr="00DA3766">
        <w:trPr>
          <w:trHeight w:val="397"/>
          <w:jc w:val="center"/>
        </w:trPr>
        <w:tc>
          <w:tcPr>
            <w:tcW w:w="525" w:type="pct"/>
            <w:vAlign w:val="center"/>
          </w:tcPr>
          <w:p w14:paraId="4C629F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河北</w:t>
            </w:r>
          </w:p>
        </w:tc>
        <w:tc>
          <w:tcPr>
            <w:tcW w:w="2601" w:type="pct"/>
            <w:vAlign w:val="center"/>
          </w:tcPr>
          <w:p w14:paraId="7E7F93D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推动分布式与集中式协同发展，重点规范分布式光伏全流程管理，并通过开发区试点、</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光伏</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模式拓展应用场景；分布式光伏项目实行备案制，按类型（自然人户用、非自然人户用、工商业等）分类管理，明确并网流程与时限；鼓励自发自用，允许</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自发自用、余电上网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及</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全额上网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等多种模式。新能源发电企业全电量参与电力市场化交易。</w:t>
            </w:r>
          </w:p>
        </w:tc>
        <w:tc>
          <w:tcPr>
            <w:tcW w:w="1874" w:type="pct"/>
            <w:vAlign w:val="center"/>
          </w:tcPr>
          <w:p w14:paraId="7F57C4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通过建设抽水蓄能、新型储能、强化电网、发展绿色算力等本地消纳场景以及活跃的绿电交易，多措并举提升消纳水平。承德市新能源消纳率保持在</w:t>
            </w:r>
            <w:r w:rsidRPr="00DA3766">
              <w:rPr>
                <w:rFonts w:ascii="Times New Roman" w:hAnsi="Times New Roman" w:cs="Times New Roman"/>
                <w:color w:val="000000"/>
                <w:kern w:val="2"/>
                <w:sz w:val="21"/>
                <w14:ligatures w14:val="standardContextual"/>
              </w:rPr>
              <w:t>95%</w:t>
            </w:r>
            <w:r w:rsidRPr="00DA3766">
              <w:rPr>
                <w:rFonts w:ascii="Times New Roman" w:hAnsi="Times New Roman" w:cs="Times New Roman"/>
                <w:color w:val="000000"/>
                <w:kern w:val="2"/>
                <w:sz w:val="21"/>
                <w14:ligatures w14:val="standardContextual"/>
              </w:rPr>
              <w:t>以上。</w:t>
            </w:r>
          </w:p>
        </w:tc>
      </w:tr>
    </w:tbl>
    <w:p w14:paraId="7BF8834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光伏发电设施所在省份均积极出台产业政策，推动光伏产业规范发展，支持光伏发电市场化交易，鼓励和引导自主消纳。弃光与消纳方面，各省情况存在一定差异，但分布式光伏项目一般绑定目标客户，自主消纳比例较高的情形下，消纳风险可控。</w:t>
      </w:r>
    </w:p>
    <w:p w14:paraId="07D0DD44"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3</w:t>
      </w:r>
      <w:r w:rsidRPr="00DA3766">
        <w:rPr>
          <w:rFonts w:ascii="Times New Roman" w:hAnsi="Times New Roman" w:cs="Times New Roman"/>
          <w:b/>
          <w:bCs/>
          <w:kern w:val="2"/>
          <w:szCs w:val="32"/>
        </w:rPr>
        <w:t>、项目投资回报率及投资回收期测算情况、并网许可取得情况、是否实际运营</w:t>
      </w:r>
    </w:p>
    <w:p w14:paraId="72C51C18"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上市公司光伏项目陆续于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年取得并网批复并实现正式运营，主要光伏项目的投资回报率、投资回收期以及实际经营情况如下：</w:t>
      </w:r>
    </w:p>
    <w:p w14:paraId="0ED3ACD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）山东有道轮胎有限公司分布式光伏发电项目</w:t>
      </w:r>
    </w:p>
    <w:p w14:paraId="699BAD1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分布式光伏发电项目投资测算如下：</w:t>
      </w:r>
    </w:p>
    <w:tbl>
      <w:tblPr>
        <w:tblW w:w="522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9"/>
        <w:gridCol w:w="2768"/>
        <w:gridCol w:w="1452"/>
        <w:gridCol w:w="1453"/>
        <w:gridCol w:w="2425"/>
      </w:tblGrid>
      <w:tr w:rsidR="003F2129" w:rsidRPr="00DA3766" w14:paraId="48E49786" w14:textId="77777777" w:rsidTr="00635015">
        <w:trPr>
          <w:trHeight w:val="397"/>
          <w:tblHeader/>
          <w:jc w:val="center"/>
        </w:trPr>
        <w:tc>
          <w:tcPr>
            <w:tcW w:w="459" w:type="pct"/>
            <w:vAlign w:val="center"/>
          </w:tcPr>
          <w:p w14:paraId="144B5F03"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552" w:type="pct"/>
            <w:vAlign w:val="center"/>
          </w:tcPr>
          <w:p w14:paraId="2A88B6E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628" w:type="pct"/>
            <w:gridSpan w:val="2"/>
            <w:vAlign w:val="center"/>
          </w:tcPr>
          <w:p w14:paraId="59DD9A5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361" w:type="pct"/>
            <w:vAlign w:val="center"/>
          </w:tcPr>
          <w:p w14:paraId="25765D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70109FA1" w14:textId="77777777" w:rsidTr="00635015">
        <w:trPr>
          <w:trHeight w:val="397"/>
          <w:jc w:val="center"/>
        </w:trPr>
        <w:tc>
          <w:tcPr>
            <w:tcW w:w="459" w:type="pct"/>
            <w:vAlign w:val="center"/>
          </w:tcPr>
          <w:p w14:paraId="0495D4C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552" w:type="pct"/>
            <w:vAlign w:val="center"/>
          </w:tcPr>
          <w:p w14:paraId="030FF19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628" w:type="pct"/>
            <w:gridSpan w:val="2"/>
            <w:vAlign w:val="center"/>
          </w:tcPr>
          <w:p w14:paraId="15B402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4,683.68</w:t>
            </w:r>
          </w:p>
        </w:tc>
        <w:tc>
          <w:tcPr>
            <w:tcW w:w="1361" w:type="pct"/>
            <w:vAlign w:val="center"/>
          </w:tcPr>
          <w:p w14:paraId="35E011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1D180E7C" w14:textId="77777777" w:rsidTr="00635015">
        <w:trPr>
          <w:trHeight w:val="397"/>
          <w:jc w:val="center"/>
        </w:trPr>
        <w:tc>
          <w:tcPr>
            <w:tcW w:w="459" w:type="pct"/>
            <w:vAlign w:val="center"/>
          </w:tcPr>
          <w:p w14:paraId="48C8DD6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552" w:type="pct"/>
            <w:vAlign w:val="center"/>
          </w:tcPr>
          <w:p w14:paraId="5CE259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628" w:type="pct"/>
            <w:gridSpan w:val="2"/>
            <w:vAlign w:val="center"/>
          </w:tcPr>
          <w:p w14:paraId="72A020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12.00</w:t>
            </w:r>
          </w:p>
        </w:tc>
        <w:tc>
          <w:tcPr>
            <w:tcW w:w="1361" w:type="pct"/>
            <w:vAlign w:val="center"/>
          </w:tcPr>
          <w:p w14:paraId="041B0E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265AAE0" w14:textId="77777777" w:rsidTr="00635015">
        <w:trPr>
          <w:trHeight w:val="397"/>
          <w:jc w:val="center"/>
        </w:trPr>
        <w:tc>
          <w:tcPr>
            <w:tcW w:w="459" w:type="pct"/>
            <w:vAlign w:val="center"/>
          </w:tcPr>
          <w:p w14:paraId="3EF07EF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552" w:type="pct"/>
            <w:vAlign w:val="center"/>
          </w:tcPr>
          <w:p w14:paraId="2B43B4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5F6ACC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3.80</w:t>
            </w:r>
          </w:p>
        </w:tc>
        <w:tc>
          <w:tcPr>
            <w:tcW w:w="1361" w:type="pct"/>
            <w:vAlign w:val="center"/>
          </w:tcPr>
          <w:p w14:paraId="1F3D6C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2A2E5F6" w14:textId="77777777" w:rsidTr="00635015">
        <w:trPr>
          <w:trHeight w:val="397"/>
          <w:jc w:val="center"/>
        </w:trPr>
        <w:tc>
          <w:tcPr>
            <w:tcW w:w="459" w:type="pct"/>
            <w:vAlign w:val="center"/>
          </w:tcPr>
          <w:p w14:paraId="6159098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552" w:type="pct"/>
            <w:vAlign w:val="center"/>
          </w:tcPr>
          <w:p w14:paraId="2FD026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628" w:type="pct"/>
            <w:gridSpan w:val="2"/>
            <w:vAlign w:val="center"/>
          </w:tcPr>
          <w:p w14:paraId="5F56C4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1,175.48</w:t>
            </w:r>
          </w:p>
        </w:tc>
        <w:tc>
          <w:tcPr>
            <w:tcW w:w="1361" w:type="pct"/>
            <w:vAlign w:val="center"/>
          </w:tcPr>
          <w:p w14:paraId="1EADF5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36508C9F" w14:textId="77777777" w:rsidTr="00635015">
        <w:trPr>
          <w:trHeight w:val="397"/>
          <w:jc w:val="center"/>
        </w:trPr>
        <w:tc>
          <w:tcPr>
            <w:tcW w:w="459" w:type="pct"/>
            <w:vAlign w:val="center"/>
          </w:tcPr>
          <w:p w14:paraId="0E5CCD7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552" w:type="pct"/>
            <w:vAlign w:val="center"/>
          </w:tcPr>
          <w:p w14:paraId="1942D91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814" w:type="pct"/>
            <w:vAlign w:val="center"/>
          </w:tcPr>
          <w:p w14:paraId="348F54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余电上网</w:t>
            </w:r>
          </w:p>
        </w:tc>
        <w:tc>
          <w:tcPr>
            <w:tcW w:w="815" w:type="pct"/>
            <w:vAlign w:val="center"/>
          </w:tcPr>
          <w:p w14:paraId="79AA54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361" w:type="pct"/>
            <w:vAlign w:val="center"/>
          </w:tcPr>
          <w:p w14:paraId="166EDE3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1A8DC0E" w14:textId="77777777" w:rsidTr="00635015">
        <w:trPr>
          <w:trHeight w:val="397"/>
          <w:jc w:val="center"/>
        </w:trPr>
        <w:tc>
          <w:tcPr>
            <w:tcW w:w="459" w:type="pct"/>
            <w:vAlign w:val="center"/>
          </w:tcPr>
          <w:p w14:paraId="4B2F8E0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552" w:type="pct"/>
            <w:vAlign w:val="center"/>
          </w:tcPr>
          <w:p w14:paraId="7A6842FC" w14:textId="13A5338E"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814" w:type="pct"/>
            <w:vAlign w:val="center"/>
          </w:tcPr>
          <w:p w14:paraId="0CDEB05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90%/0.43</w:t>
            </w:r>
          </w:p>
        </w:tc>
        <w:tc>
          <w:tcPr>
            <w:tcW w:w="815" w:type="pct"/>
            <w:vAlign w:val="center"/>
          </w:tcPr>
          <w:p w14:paraId="561FB7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0%/0.3949</w:t>
            </w:r>
          </w:p>
        </w:tc>
        <w:tc>
          <w:tcPr>
            <w:tcW w:w="1361" w:type="pct"/>
            <w:vAlign w:val="center"/>
          </w:tcPr>
          <w:p w14:paraId="19D23E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8AAB5FB" w14:textId="77777777" w:rsidTr="00635015">
        <w:trPr>
          <w:trHeight w:val="397"/>
          <w:jc w:val="center"/>
        </w:trPr>
        <w:tc>
          <w:tcPr>
            <w:tcW w:w="459" w:type="pct"/>
            <w:vAlign w:val="center"/>
          </w:tcPr>
          <w:p w14:paraId="360EE16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552" w:type="pct"/>
            <w:vAlign w:val="center"/>
          </w:tcPr>
          <w:p w14:paraId="73E9D78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814" w:type="pct"/>
            <w:vAlign w:val="center"/>
          </w:tcPr>
          <w:p w14:paraId="6CFD34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0.43/0.38</w:t>
            </w:r>
          </w:p>
        </w:tc>
        <w:tc>
          <w:tcPr>
            <w:tcW w:w="815" w:type="pct"/>
            <w:vAlign w:val="center"/>
          </w:tcPr>
          <w:p w14:paraId="48CE15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0.39/0.35</w:t>
            </w:r>
          </w:p>
        </w:tc>
        <w:tc>
          <w:tcPr>
            <w:tcW w:w="1361" w:type="pct"/>
            <w:vAlign w:val="center"/>
          </w:tcPr>
          <w:p w14:paraId="250B2C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0CE24440" w14:textId="77777777" w:rsidTr="00635015">
        <w:trPr>
          <w:trHeight w:val="397"/>
          <w:jc w:val="center"/>
        </w:trPr>
        <w:tc>
          <w:tcPr>
            <w:tcW w:w="459" w:type="pct"/>
            <w:vAlign w:val="center"/>
          </w:tcPr>
          <w:p w14:paraId="08142CC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552" w:type="pct"/>
            <w:vAlign w:val="center"/>
          </w:tcPr>
          <w:p w14:paraId="0906E341" w14:textId="70FFDD4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6848EB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47.99/0.04</w:t>
            </w:r>
          </w:p>
        </w:tc>
        <w:tc>
          <w:tcPr>
            <w:tcW w:w="1361" w:type="pct"/>
            <w:vAlign w:val="center"/>
          </w:tcPr>
          <w:p w14:paraId="5092054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6139704B" w14:textId="77777777" w:rsidTr="00635015">
        <w:trPr>
          <w:trHeight w:val="397"/>
          <w:jc w:val="center"/>
        </w:trPr>
        <w:tc>
          <w:tcPr>
            <w:tcW w:w="459" w:type="pct"/>
            <w:vAlign w:val="center"/>
          </w:tcPr>
          <w:p w14:paraId="5F61069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552" w:type="pct"/>
            <w:vAlign w:val="center"/>
          </w:tcPr>
          <w:p w14:paraId="2846C9AA" w14:textId="4D6EC376"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3EB34D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无</w:t>
            </w:r>
          </w:p>
        </w:tc>
        <w:tc>
          <w:tcPr>
            <w:tcW w:w="1361" w:type="pct"/>
            <w:vAlign w:val="center"/>
          </w:tcPr>
          <w:p w14:paraId="7FAE6A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C4E752D" w14:textId="77777777" w:rsidTr="00635015">
        <w:trPr>
          <w:trHeight w:val="397"/>
          <w:jc w:val="center"/>
        </w:trPr>
        <w:tc>
          <w:tcPr>
            <w:tcW w:w="459" w:type="pct"/>
            <w:vAlign w:val="center"/>
          </w:tcPr>
          <w:p w14:paraId="7395D06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552" w:type="pct"/>
            <w:vAlign w:val="center"/>
          </w:tcPr>
          <w:p w14:paraId="5567D8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814" w:type="pct"/>
            <w:vAlign w:val="center"/>
          </w:tcPr>
          <w:p w14:paraId="0BEE65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486.50</w:t>
            </w:r>
          </w:p>
        </w:tc>
        <w:tc>
          <w:tcPr>
            <w:tcW w:w="815" w:type="pct"/>
            <w:vAlign w:val="center"/>
          </w:tcPr>
          <w:p w14:paraId="53C1E7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450.46</w:t>
            </w:r>
          </w:p>
        </w:tc>
        <w:tc>
          <w:tcPr>
            <w:tcW w:w="1361" w:type="pct"/>
            <w:vAlign w:val="center"/>
          </w:tcPr>
          <w:p w14:paraId="50EAD7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69CBD7D2" w14:textId="77777777" w:rsidTr="00635015">
        <w:trPr>
          <w:trHeight w:val="397"/>
          <w:jc w:val="center"/>
        </w:trPr>
        <w:tc>
          <w:tcPr>
            <w:tcW w:w="459" w:type="pct"/>
            <w:vAlign w:val="center"/>
          </w:tcPr>
          <w:p w14:paraId="48F21B4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552" w:type="pct"/>
            <w:vAlign w:val="center"/>
          </w:tcPr>
          <w:p w14:paraId="0B0D94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814" w:type="pct"/>
            <w:vAlign w:val="center"/>
          </w:tcPr>
          <w:p w14:paraId="230658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54.54%</w:t>
            </w:r>
          </w:p>
        </w:tc>
        <w:tc>
          <w:tcPr>
            <w:tcW w:w="815" w:type="pct"/>
            <w:vAlign w:val="center"/>
          </w:tcPr>
          <w:p w14:paraId="457DFF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50.91%</w:t>
            </w:r>
          </w:p>
        </w:tc>
        <w:tc>
          <w:tcPr>
            <w:tcW w:w="1361" w:type="pct"/>
            <w:vAlign w:val="center"/>
          </w:tcPr>
          <w:p w14:paraId="0DB4BD3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3F5EBB3" w14:textId="77777777" w:rsidTr="00635015">
        <w:trPr>
          <w:trHeight w:val="397"/>
          <w:jc w:val="center"/>
        </w:trPr>
        <w:tc>
          <w:tcPr>
            <w:tcW w:w="459" w:type="pct"/>
            <w:vAlign w:val="center"/>
          </w:tcPr>
          <w:p w14:paraId="4C23824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552" w:type="pct"/>
            <w:vAlign w:val="center"/>
          </w:tcPr>
          <w:p w14:paraId="0948F8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628" w:type="pct"/>
            <w:gridSpan w:val="2"/>
            <w:vAlign w:val="center"/>
          </w:tcPr>
          <w:p w14:paraId="4F663D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1,010.21</w:t>
            </w:r>
          </w:p>
        </w:tc>
        <w:tc>
          <w:tcPr>
            <w:tcW w:w="1361" w:type="pct"/>
            <w:vAlign w:val="center"/>
          </w:tcPr>
          <w:p w14:paraId="20637E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5764009" w14:textId="77777777" w:rsidTr="00635015">
        <w:trPr>
          <w:trHeight w:val="397"/>
          <w:jc w:val="center"/>
        </w:trPr>
        <w:tc>
          <w:tcPr>
            <w:tcW w:w="459" w:type="pct"/>
            <w:vAlign w:val="center"/>
          </w:tcPr>
          <w:p w14:paraId="2C5FEC2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552" w:type="pct"/>
            <w:vAlign w:val="center"/>
          </w:tcPr>
          <w:p w14:paraId="76F42C0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814" w:type="pct"/>
            <w:vAlign w:val="center"/>
          </w:tcPr>
          <w:p w14:paraId="1049CC6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165.49</w:t>
            </w:r>
          </w:p>
        </w:tc>
        <w:tc>
          <w:tcPr>
            <w:tcW w:w="815" w:type="pct"/>
            <w:vAlign w:val="center"/>
          </w:tcPr>
          <w:p w14:paraId="7A3461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137.10</w:t>
            </w:r>
          </w:p>
        </w:tc>
        <w:tc>
          <w:tcPr>
            <w:tcW w:w="1361" w:type="pct"/>
            <w:vAlign w:val="center"/>
          </w:tcPr>
          <w:p w14:paraId="4686339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45C1F6C" w14:textId="77777777" w:rsidTr="00635015">
        <w:trPr>
          <w:trHeight w:val="397"/>
          <w:jc w:val="center"/>
        </w:trPr>
        <w:tc>
          <w:tcPr>
            <w:tcW w:w="459" w:type="pct"/>
            <w:vAlign w:val="center"/>
          </w:tcPr>
          <w:p w14:paraId="44836FB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552" w:type="pct"/>
            <w:vAlign w:val="center"/>
          </w:tcPr>
          <w:p w14:paraId="016270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814" w:type="pct"/>
            <w:vAlign w:val="center"/>
          </w:tcPr>
          <w:p w14:paraId="3888FC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34.63%</w:t>
            </w:r>
          </w:p>
        </w:tc>
        <w:tc>
          <w:tcPr>
            <w:tcW w:w="815" w:type="pct"/>
            <w:vAlign w:val="center"/>
          </w:tcPr>
          <w:p w14:paraId="7A5642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31.11%</w:t>
            </w:r>
          </w:p>
        </w:tc>
        <w:tc>
          <w:tcPr>
            <w:tcW w:w="1361" w:type="pct"/>
            <w:vAlign w:val="center"/>
          </w:tcPr>
          <w:p w14:paraId="5A2FBC6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340E0740" w14:textId="77777777" w:rsidTr="00635015">
        <w:trPr>
          <w:trHeight w:val="397"/>
          <w:jc w:val="center"/>
        </w:trPr>
        <w:tc>
          <w:tcPr>
            <w:tcW w:w="459" w:type="pct"/>
            <w:vAlign w:val="center"/>
          </w:tcPr>
          <w:p w14:paraId="0D2E682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552" w:type="pct"/>
            <w:vAlign w:val="center"/>
          </w:tcPr>
          <w:p w14:paraId="485F36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814" w:type="pct"/>
            <w:vAlign w:val="center"/>
          </w:tcPr>
          <w:p w14:paraId="07B02B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8.06%</w:t>
            </w:r>
          </w:p>
        </w:tc>
        <w:tc>
          <w:tcPr>
            <w:tcW w:w="815" w:type="pct"/>
            <w:vAlign w:val="center"/>
          </w:tcPr>
          <w:p w14:paraId="0C82DF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7.08%</w:t>
            </w:r>
          </w:p>
        </w:tc>
        <w:tc>
          <w:tcPr>
            <w:tcW w:w="1361" w:type="pct"/>
            <w:vAlign w:val="center"/>
          </w:tcPr>
          <w:p w14:paraId="13D02A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403C9B16" w14:textId="77777777" w:rsidTr="00635015">
        <w:trPr>
          <w:trHeight w:val="397"/>
          <w:jc w:val="center"/>
        </w:trPr>
        <w:tc>
          <w:tcPr>
            <w:tcW w:w="459" w:type="pct"/>
            <w:vAlign w:val="center"/>
          </w:tcPr>
          <w:p w14:paraId="1938E5D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552" w:type="pct"/>
            <w:vAlign w:val="center"/>
          </w:tcPr>
          <w:p w14:paraId="36D616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814" w:type="pct"/>
            <w:vAlign w:val="center"/>
          </w:tcPr>
          <w:p w14:paraId="4E279C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11.51%</w:t>
            </w:r>
          </w:p>
        </w:tc>
        <w:tc>
          <w:tcPr>
            <w:tcW w:w="815" w:type="pct"/>
            <w:vAlign w:val="center"/>
          </w:tcPr>
          <w:p w14:paraId="60A813D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9.33%</w:t>
            </w:r>
          </w:p>
        </w:tc>
        <w:tc>
          <w:tcPr>
            <w:tcW w:w="1361" w:type="pct"/>
            <w:vAlign w:val="center"/>
          </w:tcPr>
          <w:p w14:paraId="2B0D81E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07E840A7" w14:textId="77777777" w:rsidTr="00635015">
        <w:trPr>
          <w:trHeight w:val="397"/>
          <w:jc w:val="center"/>
        </w:trPr>
        <w:tc>
          <w:tcPr>
            <w:tcW w:w="459" w:type="pct"/>
            <w:vAlign w:val="center"/>
          </w:tcPr>
          <w:p w14:paraId="7016689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552" w:type="pct"/>
            <w:vAlign w:val="center"/>
          </w:tcPr>
          <w:p w14:paraId="26B856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814" w:type="pct"/>
            <w:vAlign w:val="center"/>
          </w:tcPr>
          <w:p w14:paraId="08CD1D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13.00</w:t>
            </w:r>
          </w:p>
        </w:tc>
        <w:tc>
          <w:tcPr>
            <w:tcW w:w="815" w:type="pct"/>
            <w:vAlign w:val="center"/>
          </w:tcPr>
          <w:p w14:paraId="3FDEBA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14.13</w:t>
            </w:r>
          </w:p>
        </w:tc>
        <w:tc>
          <w:tcPr>
            <w:tcW w:w="1361" w:type="pct"/>
            <w:vAlign w:val="center"/>
          </w:tcPr>
          <w:p w14:paraId="5EA8AC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7D98532" w14:textId="77777777" w:rsidTr="00635015">
        <w:trPr>
          <w:trHeight w:val="397"/>
          <w:jc w:val="center"/>
        </w:trPr>
        <w:tc>
          <w:tcPr>
            <w:tcW w:w="459" w:type="pct"/>
            <w:vAlign w:val="center"/>
          </w:tcPr>
          <w:p w14:paraId="7404FF3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552" w:type="pct"/>
            <w:vAlign w:val="center"/>
          </w:tcPr>
          <w:p w14:paraId="7EC0A6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814" w:type="pct"/>
            <w:vAlign w:val="center"/>
          </w:tcPr>
          <w:p w14:paraId="3FB965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16.38%</w:t>
            </w:r>
          </w:p>
        </w:tc>
        <w:tc>
          <w:tcPr>
            <w:tcW w:w="815" w:type="pct"/>
            <w:vAlign w:val="center"/>
          </w:tcPr>
          <w:p w14:paraId="467D13E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13.57%</w:t>
            </w:r>
          </w:p>
        </w:tc>
        <w:tc>
          <w:tcPr>
            <w:tcW w:w="1361" w:type="pct"/>
            <w:vAlign w:val="center"/>
          </w:tcPr>
          <w:p w14:paraId="477252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665755F3" w14:textId="77777777" w:rsidTr="00635015">
        <w:trPr>
          <w:trHeight w:val="397"/>
          <w:jc w:val="center"/>
        </w:trPr>
        <w:tc>
          <w:tcPr>
            <w:tcW w:w="459" w:type="pct"/>
            <w:vAlign w:val="center"/>
          </w:tcPr>
          <w:p w14:paraId="3ED78F4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552" w:type="pct"/>
            <w:vAlign w:val="center"/>
          </w:tcPr>
          <w:p w14:paraId="6EA1696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814" w:type="pct"/>
            <w:vAlign w:val="center"/>
          </w:tcPr>
          <w:p w14:paraId="41551B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10.29</w:t>
            </w:r>
          </w:p>
        </w:tc>
        <w:tc>
          <w:tcPr>
            <w:tcW w:w="815" w:type="pct"/>
            <w:vAlign w:val="center"/>
          </w:tcPr>
          <w:p w14:paraId="78FFDB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11.20</w:t>
            </w:r>
          </w:p>
        </w:tc>
        <w:tc>
          <w:tcPr>
            <w:tcW w:w="1361" w:type="pct"/>
            <w:vAlign w:val="center"/>
          </w:tcPr>
          <w:p w14:paraId="0A89DF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E58DB94" w14:textId="77777777" w:rsidTr="00635015">
        <w:trPr>
          <w:trHeight w:val="397"/>
          <w:jc w:val="center"/>
        </w:trPr>
        <w:tc>
          <w:tcPr>
            <w:tcW w:w="459" w:type="pct"/>
            <w:vAlign w:val="center"/>
          </w:tcPr>
          <w:p w14:paraId="3F89448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552" w:type="pct"/>
            <w:vAlign w:val="center"/>
          </w:tcPr>
          <w:p w14:paraId="10162B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814" w:type="pct"/>
            <w:vAlign w:val="center"/>
          </w:tcPr>
          <w:p w14:paraId="3D8B27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13.00</w:t>
            </w:r>
          </w:p>
        </w:tc>
        <w:tc>
          <w:tcPr>
            <w:tcW w:w="815" w:type="pct"/>
            <w:vAlign w:val="center"/>
          </w:tcPr>
          <w:p w14:paraId="1E7BAA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14.13</w:t>
            </w:r>
          </w:p>
        </w:tc>
        <w:tc>
          <w:tcPr>
            <w:tcW w:w="1361" w:type="pct"/>
            <w:vAlign w:val="center"/>
          </w:tcPr>
          <w:p w14:paraId="093B2D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71EC88E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月，公司控股子公司恒台爱道光伏发电有限公司实施的山东有道轮胎有限公司分布式光伏发电项目取得并网批复，</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月正式运营，该项目投资测算回收期约</w:t>
      </w:r>
      <w:r w:rsidRPr="00DA3766">
        <w:rPr>
          <w:rFonts w:ascii="Times New Roman" w:hAnsi="Times New Roman" w:cs="Times New Roman"/>
          <w:kern w:val="2"/>
          <w14:ligatures w14:val="standardContextual"/>
        </w:rPr>
        <w:t>13</w:t>
      </w:r>
      <w:r w:rsidRPr="00DA3766">
        <w:rPr>
          <w:rFonts w:ascii="Times New Roman" w:hAnsi="Times New Roman" w:cs="Times New Roman"/>
          <w:kern w:val="2"/>
          <w14:ligatures w14:val="standardContextual"/>
        </w:rPr>
        <w:t>年，税后投资收益率约</w:t>
      </w:r>
      <w:r w:rsidRPr="00DA3766">
        <w:rPr>
          <w:rFonts w:ascii="Times New Roman" w:hAnsi="Times New Roman" w:cs="Times New Roman"/>
          <w:kern w:val="2"/>
          <w14:ligatures w14:val="standardContextual"/>
        </w:rPr>
        <w:t>8.06%</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年共发电</w:t>
      </w:r>
      <w:r w:rsidRPr="00DA3766">
        <w:rPr>
          <w:rFonts w:ascii="Times New Roman" w:hAnsi="Times New Roman" w:cs="Times New Roman"/>
          <w:kern w:val="2"/>
          <w14:ligatures w14:val="standardContextual"/>
        </w:rPr>
        <w:t>146</w:t>
      </w:r>
      <w:r w:rsidRPr="00DA3766">
        <w:rPr>
          <w:rFonts w:ascii="Times New Roman" w:hAnsi="Times New Roman" w:cs="Times New Roman"/>
          <w:kern w:val="2"/>
          <w14:ligatures w14:val="standardContextual"/>
        </w:rPr>
        <w:t>万度，企业消纳比例约</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，企业结算单价</w:t>
      </w:r>
      <w:r w:rsidRPr="00DA3766">
        <w:rPr>
          <w:rFonts w:ascii="Times New Roman" w:hAnsi="Times New Roman" w:cs="Times New Roman"/>
          <w:kern w:val="2"/>
          <w14:ligatures w14:val="standardContextual"/>
        </w:rPr>
        <w:t>0.43</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度，余电上网单价</w:t>
      </w:r>
      <w:r w:rsidRPr="00DA3766">
        <w:rPr>
          <w:rFonts w:ascii="Times New Roman" w:hAnsi="Times New Roman" w:cs="Times New Roman"/>
          <w:kern w:val="2"/>
          <w14:ligatures w14:val="standardContextual"/>
        </w:rPr>
        <w:t>0.39</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度。</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年前三季度共发电</w:t>
      </w:r>
      <w:r w:rsidRPr="00DA3766">
        <w:rPr>
          <w:rFonts w:ascii="Times New Roman" w:hAnsi="Times New Roman" w:cs="Times New Roman"/>
          <w:kern w:val="2"/>
          <w14:ligatures w14:val="standardContextual"/>
        </w:rPr>
        <w:t>1013.59</w:t>
      </w:r>
      <w:r w:rsidRPr="00DA3766">
        <w:rPr>
          <w:rFonts w:ascii="Times New Roman" w:hAnsi="Times New Roman" w:cs="Times New Roman"/>
          <w:kern w:val="2"/>
          <w14:ligatures w14:val="standardContextual"/>
        </w:rPr>
        <w:t>万度，企业消纳比例约</w:t>
      </w:r>
      <w:r w:rsidRPr="00DA3766">
        <w:rPr>
          <w:rFonts w:ascii="Times New Roman" w:hAnsi="Times New Roman" w:cs="Times New Roman"/>
          <w:kern w:val="2"/>
          <w14:ligatures w14:val="standardContextual"/>
        </w:rPr>
        <w:t>85%</w:t>
      </w:r>
      <w:r w:rsidRPr="00DA3766">
        <w:rPr>
          <w:rFonts w:ascii="Times New Roman" w:hAnsi="Times New Roman" w:cs="Times New Roman"/>
          <w:kern w:val="2"/>
          <w14:ligatures w14:val="standardContextual"/>
        </w:rPr>
        <w:t>，该项目具有可持续经营</w:t>
      </w:r>
      <w:r w:rsidRPr="00DA3766">
        <w:rPr>
          <w:rFonts w:ascii="Times New Roman" w:hAnsi="Times New Roman" w:cs="Times New Roman"/>
          <w:kern w:val="2"/>
          <w14:ligatures w14:val="standardContextual"/>
        </w:rPr>
        <w:lastRenderedPageBreak/>
        <w:t>能力。</w:t>
      </w:r>
    </w:p>
    <w:p w14:paraId="1A4C81A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w:t>
      </w:r>
      <w:bookmarkStart w:id="289" w:name="_Hlk219921240"/>
      <w:r w:rsidRPr="00DA3766">
        <w:rPr>
          <w:rFonts w:ascii="Times New Roman" w:hAnsi="Times New Roman" w:cs="Times New Roman"/>
          <w:kern w:val="2"/>
          <w14:ligatures w14:val="standardContextual"/>
        </w:rPr>
        <w:t>天宝实业分布式光伏发电项目</w:t>
      </w:r>
      <w:bookmarkEnd w:id="289"/>
    </w:p>
    <w:p w14:paraId="041689A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14:ligatures w14:val="standardContextual"/>
        </w:rPr>
        <w:t>天宝实业</w:t>
      </w:r>
      <w:r w:rsidRPr="00DA3766">
        <w:rPr>
          <w:rFonts w:ascii="Times New Roman" w:hAnsi="Times New Roman" w:cs="Times New Roman"/>
          <w:kern w:val="2"/>
          <w14:ligatures w14:val="standardContextual"/>
        </w:rPr>
        <w:t>13.56MW</w:t>
      </w:r>
      <w:r w:rsidRPr="00DA3766">
        <w:rPr>
          <w:rFonts w:ascii="Times New Roman" w:hAnsi="Times New Roman" w:cs="Times New Roman"/>
          <w:kern w:val="2"/>
          <w14:ligatures w14:val="standardContextual"/>
        </w:rPr>
        <w:t>分布式光伏发电项目投资测算如下：</w:t>
      </w:r>
    </w:p>
    <w:tbl>
      <w:tblPr>
        <w:tblW w:w="534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3169"/>
        <w:gridCol w:w="1132"/>
        <w:gridCol w:w="1109"/>
        <w:gridCol w:w="2834"/>
      </w:tblGrid>
      <w:tr w:rsidR="003F2129" w:rsidRPr="00DA3766" w14:paraId="63CA6CFD" w14:textId="77777777" w:rsidTr="00BF5BFE">
        <w:trPr>
          <w:trHeight w:val="397"/>
          <w:tblHeader/>
          <w:jc w:val="center"/>
        </w:trPr>
        <w:tc>
          <w:tcPr>
            <w:tcW w:w="482" w:type="pct"/>
            <w:vAlign w:val="center"/>
          </w:tcPr>
          <w:p w14:paraId="6FABCF64"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737" w:type="pct"/>
            <w:vAlign w:val="center"/>
          </w:tcPr>
          <w:p w14:paraId="2D40159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228" w:type="pct"/>
            <w:gridSpan w:val="2"/>
            <w:vAlign w:val="center"/>
          </w:tcPr>
          <w:p w14:paraId="0E89B2E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554" w:type="pct"/>
            <w:vAlign w:val="center"/>
          </w:tcPr>
          <w:p w14:paraId="53A1085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674C7FD4" w14:textId="77777777" w:rsidTr="00BF5BFE">
        <w:trPr>
          <w:trHeight w:val="397"/>
          <w:jc w:val="center"/>
        </w:trPr>
        <w:tc>
          <w:tcPr>
            <w:tcW w:w="482" w:type="pct"/>
            <w:vAlign w:val="center"/>
          </w:tcPr>
          <w:p w14:paraId="67C40F4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737" w:type="pct"/>
            <w:vAlign w:val="center"/>
          </w:tcPr>
          <w:p w14:paraId="678A3F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228" w:type="pct"/>
            <w:gridSpan w:val="2"/>
            <w:vAlign w:val="center"/>
          </w:tcPr>
          <w:p w14:paraId="3DB8B9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5,983.29</w:t>
            </w:r>
          </w:p>
        </w:tc>
        <w:tc>
          <w:tcPr>
            <w:tcW w:w="1554" w:type="pct"/>
            <w:vAlign w:val="center"/>
          </w:tcPr>
          <w:p w14:paraId="72C4145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2E77EE3A" w14:textId="77777777" w:rsidTr="00BF5BFE">
        <w:trPr>
          <w:trHeight w:val="397"/>
          <w:jc w:val="center"/>
        </w:trPr>
        <w:tc>
          <w:tcPr>
            <w:tcW w:w="482" w:type="pct"/>
            <w:vAlign w:val="center"/>
          </w:tcPr>
          <w:p w14:paraId="7CD0D38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737" w:type="pct"/>
            <w:vAlign w:val="center"/>
          </w:tcPr>
          <w:p w14:paraId="725021B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228" w:type="pct"/>
            <w:gridSpan w:val="2"/>
            <w:vAlign w:val="center"/>
          </w:tcPr>
          <w:p w14:paraId="072A0F2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13.56</w:t>
            </w:r>
          </w:p>
        </w:tc>
        <w:tc>
          <w:tcPr>
            <w:tcW w:w="1554" w:type="pct"/>
            <w:vAlign w:val="center"/>
          </w:tcPr>
          <w:p w14:paraId="7394CC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BE64D8C" w14:textId="77777777" w:rsidTr="00BF5BFE">
        <w:trPr>
          <w:trHeight w:val="397"/>
          <w:jc w:val="center"/>
        </w:trPr>
        <w:tc>
          <w:tcPr>
            <w:tcW w:w="482" w:type="pct"/>
            <w:vAlign w:val="center"/>
          </w:tcPr>
          <w:p w14:paraId="49FAF91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737" w:type="pct"/>
            <w:vAlign w:val="center"/>
          </w:tcPr>
          <w:p w14:paraId="3C33C9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29D0443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4.30</w:t>
            </w:r>
          </w:p>
        </w:tc>
        <w:tc>
          <w:tcPr>
            <w:tcW w:w="1554" w:type="pct"/>
            <w:vAlign w:val="center"/>
          </w:tcPr>
          <w:p w14:paraId="35D4B3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EB00D00" w14:textId="77777777" w:rsidTr="00BF5BFE">
        <w:trPr>
          <w:trHeight w:val="397"/>
          <w:jc w:val="center"/>
        </w:trPr>
        <w:tc>
          <w:tcPr>
            <w:tcW w:w="482" w:type="pct"/>
            <w:vAlign w:val="center"/>
          </w:tcPr>
          <w:p w14:paraId="0D39BA7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737" w:type="pct"/>
            <w:vAlign w:val="center"/>
          </w:tcPr>
          <w:p w14:paraId="7AB25EE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228" w:type="pct"/>
            <w:gridSpan w:val="2"/>
            <w:vAlign w:val="center"/>
          </w:tcPr>
          <w:p w14:paraId="27F0E7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913.85</w:t>
            </w:r>
          </w:p>
        </w:tc>
        <w:tc>
          <w:tcPr>
            <w:tcW w:w="1554" w:type="pct"/>
            <w:vAlign w:val="center"/>
          </w:tcPr>
          <w:p w14:paraId="5FEE93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645AF76A" w14:textId="77777777" w:rsidTr="00BF5BFE">
        <w:trPr>
          <w:trHeight w:val="397"/>
          <w:jc w:val="center"/>
        </w:trPr>
        <w:tc>
          <w:tcPr>
            <w:tcW w:w="482" w:type="pct"/>
            <w:vAlign w:val="center"/>
          </w:tcPr>
          <w:p w14:paraId="22EFACC4"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737" w:type="pct"/>
            <w:vAlign w:val="center"/>
          </w:tcPr>
          <w:p w14:paraId="5FC3A70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620" w:type="pct"/>
            <w:vAlign w:val="center"/>
          </w:tcPr>
          <w:p w14:paraId="6FEBB0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余电上网</w:t>
            </w:r>
          </w:p>
        </w:tc>
        <w:tc>
          <w:tcPr>
            <w:tcW w:w="607" w:type="pct"/>
            <w:vAlign w:val="center"/>
          </w:tcPr>
          <w:p w14:paraId="3FEC77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554" w:type="pct"/>
            <w:vAlign w:val="center"/>
          </w:tcPr>
          <w:p w14:paraId="6DC2C7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6FD229F" w14:textId="77777777" w:rsidTr="00BF5BFE">
        <w:trPr>
          <w:trHeight w:val="397"/>
          <w:jc w:val="center"/>
        </w:trPr>
        <w:tc>
          <w:tcPr>
            <w:tcW w:w="482" w:type="pct"/>
            <w:vAlign w:val="center"/>
          </w:tcPr>
          <w:p w14:paraId="10D2989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737" w:type="pct"/>
            <w:vAlign w:val="center"/>
          </w:tcPr>
          <w:p w14:paraId="7A35A994" w14:textId="0C495556"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620" w:type="pct"/>
            <w:vAlign w:val="center"/>
          </w:tcPr>
          <w:p w14:paraId="77B79E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90%/0.819</w:t>
            </w:r>
          </w:p>
        </w:tc>
        <w:tc>
          <w:tcPr>
            <w:tcW w:w="607" w:type="pct"/>
            <w:vAlign w:val="center"/>
          </w:tcPr>
          <w:p w14:paraId="5A3D32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0%/0.45</w:t>
            </w:r>
          </w:p>
        </w:tc>
        <w:tc>
          <w:tcPr>
            <w:tcW w:w="1554" w:type="pct"/>
            <w:vAlign w:val="center"/>
          </w:tcPr>
          <w:p w14:paraId="78C4F5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4AE2B9CD" w14:textId="77777777" w:rsidTr="00BF5BFE">
        <w:trPr>
          <w:trHeight w:val="397"/>
          <w:jc w:val="center"/>
        </w:trPr>
        <w:tc>
          <w:tcPr>
            <w:tcW w:w="482" w:type="pct"/>
            <w:vAlign w:val="center"/>
          </w:tcPr>
          <w:p w14:paraId="2825FE9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737" w:type="pct"/>
            <w:vAlign w:val="center"/>
          </w:tcPr>
          <w:p w14:paraId="54A580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620" w:type="pct"/>
            <w:vAlign w:val="center"/>
          </w:tcPr>
          <w:p w14:paraId="6C3193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0.78/0.69</w:t>
            </w:r>
          </w:p>
        </w:tc>
        <w:tc>
          <w:tcPr>
            <w:tcW w:w="607" w:type="pct"/>
            <w:vAlign w:val="center"/>
          </w:tcPr>
          <w:p w14:paraId="4504194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0.45/0.4</w:t>
            </w:r>
          </w:p>
        </w:tc>
        <w:tc>
          <w:tcPr>
            <w:tcW w:w="1554" w:type="pct"/>
            <w:vAlign w:val="center"/>
          </w:tcPr>
          <w:p w14:paraId="494A85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26D1DE44" w14:textId="77777777" w:rsidTr="00BF5BFE">
        <w:trPr>
          <w:trHeight w:val="397"/>
          <w:jc w:val="center"/>
        </w:trPr>
        <w:tc>
          <w:tcPr>
            <w:tcW w:w="482" w:type="pct"/>
            <w:vAlign w:val="center"/>
          </w:tcPr>
          <w:p w14:paraId="76FED3B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737" w:type="pct"/>
            <w:vAlign w:val="center"/>
          </w:tcPr>
          <w:p w14:paraId="290E4445" w14:textId="728E50B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235DC4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37.96/0.028</w:t>
            </w:r>
          </w:p>
        </w:tc>
        <w:tc>
          <w:tcPr>
            <w:tcW w:w="1554" w:type="pct"/>
            <w:vAlign w:val="center"/>
          </w:tcPr>
          <w:p w14:paraId="5F49A1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BD3BDA8" w14:textId="77777777" w:rsidTr="00BF5BFE">
        <w:trPr>
          <w:trHeight w:val="397"/>
          <w:jc w:val="center"/>
        </w:trPr>
        <w:tc>
          <w:tcPr>
            <w:tcW w:w="482" w:type="pct"/>
            <w:vAlign w:val="center"/>
          </w:tcPr>
          <w:p w14:paraId="5C489C8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737" w:type="pct"/>
            <w:vAlign w:val="center"/>
          </w:tcPr>
          <w:p w14:paraId="68AA18B2" w14:textId="2783872C"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608258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无</w:t>
            </w:r>
          </w:p>
        </w:tc>
        <w:tc>
          <w:tcPr>
            <w:tcW w:w="1554" w:type="pct"/>
            <w:vAlign w:val="center"/>
          </w:tcPr>
          <w:p w14:paraId="037EA0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99A709E" w14:textId="77777777" w:rsidTr="00BF5BFE">
        <w:trPr>
          <w:trHeight w:val="397"/>
          <w:jc w:val="center"/>
        </w:trPr>
        <w:tc>
          <w:tcPr>
            <w:tcW w:w="482" w:type="pct"/>
            <w:vAlign w:val="center"/>
          </w:tcPr>
          <w:p w14:paraId="751FB1A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737" w:type="pct"/>
            <w:vAlign w:val="center"/>
          </w:tcPr>
          <w:p w14:paraId="5BEFCC9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620" w:type="pct"/>
            <w:vAlign w:val="center"/>
          </w:tcPr>
          <w:p w14:paraId="198833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783.80</w:t>
            </w:r>
          </w:p>
        </w:tc>
        <w:tc>
          <w:tcPr>
            <w:tcW w:w="607" w:type="pct"/>
            <w:vAlign w:val="center"/>
          </w:tcPr>
          <w:p w14:paraId="192C27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450.98</w:t>
            </w:r>
          </w:p>
        </w:tc>
        <w:tc>
          <w:tcPr>
            <w:tcW w:w="1554" w:type="pct"/>
            <w:vAlign w:val="center"/>
          </w:tcPr>
          <w:p w14:paraId="4DF6A1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59F07E09" w14:textId="77777777" w:rsidTr="00BF5BFE">
        <w:trPr>
          <w:trHeight w:val="397"/>
          <w:jc w:val="center"/>
        </w:trPr>
        <w:tc>
          <w:tcPr>
            <w:tcW w:w="482" w:type="pct"/>
            <w:vAlign w:val="center"/>
          </w:tcPr>
          <w:p w14:paraId="04DF177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737" w:type="pct"/>
            <w:vAlign w:val="center"/>
          </w:tcPr>
          <w:p w14:paraId="7D9427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620" w:type="pct"/>
            <w:vAlign w:val="center"/>
          </w:tcPr>
          <w:p w14:paraId="37C293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67.07%</w:t>
            </w:r>
          </w:p>
        </w:tc>
        <w:tc>
          <w:tcPr>
            <w:tcW w:w="607" w:type="pct"/>
            <w:vAlign w:val="center"/>
          </w:tcPr>
          <w:p w14:paraId="3E9321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42.77%</w:t>
            </w:r>
          </w:p>
        </w:tc>
        <w:tc>
          <w:tcPr>
            <w:tcW w:w="1554" w:type="pct"/>
            <w:vAlign w:val="center"/>
          </w:tcPr>
          <w:p w14:paraId="2D881D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1228610" w14:textId="77777777" w:rsidTr="00BF5BFE">
        <w:trPr>
          <w:trHeight w:val="397"/>
          <w:jc w:val="center"/>
        </w:trPr>
        <w:tc>
          <w:tcPr>
            <w:tcW w:w="482" w:type="pct"/>
            <w:vAlign w:val="center"/>
          </w:tcPr>
          <w:p w14:paraId="7A200BE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737" w:type="pct"/>
            <w:vAlign w:val="center"/>
          </w:tcPr>
          <w:p w14:paraId="3A75F8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228" w:type="pct"/>
            <w:gridSpan w:val="2"/>
            <w:vAlign w:val="center"/>
          </w:tcPr>
          <w:p w14:paraId="5AC6A27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1,290.51</w:t>
            </w:r>
          </w:p>
        </w:tc>
        <w:tc>
          <w:tcPr>
            <w:tcW w:w="1554" w:type="pct"/>
            <w:vAlign w:val="center"/>
          </w:tcPr>
          <w:p w14:paraId="11547B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23F5CC5" w14:textId="77777777" w:rsidTr="00BF5BFE">
        <w:trPr>
          <w:trHeight w:val="397"/>
          <w:jc w:val="center"/>
        </w:trPr>
        <w:tc>
          <w:tcPr>
            <w:tcW w:w="482" w:type="pct"/>
            <w:vAlign w:val="center"/>
          </w:tcPr>
          <w:p w14:paraId="547E0DA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737" w:type="pct"/>
            <w:vAlign w:val="center"/>
          </w:tcPr>
          <w:p w14:paraId="02DE5A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620" w:type="pct"/>
            <w:vAlign w:val="center"/>
          </w:tcPr>
          <w:p w14:paraId="2739CF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358.67</w:t>
            </w:r>
          </w:p>
        </w:tc>
        <w:tc>
          <w:tcPr>
            <w:tcW w:w="607" w:type="pct"/>
            <w:vAlign w:val="center"/>
          </w:tcPr>
          <w:p w14:paraId="6FC8F2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96.39</w:t>
            </w:r>
          </w:p>
        </w:tc>
        <w:tc>
          <w:tcPr>
            <w:tcW w:w="1554" w:type="pct"/>
            <w:vAlign w:val="center"/>
          </w:tcPr>
          <w:p w14:paraId="0B0177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A6E5586" w14:textId="77777777" w:rsidTr="00BF5BFE">
        <w:trPr>
          <w:trHeight w:val="397"/>
          <w:jc w:val="center"/>
        </w:trPr>
        <w:tc>
          <w:tcPr>
            <w:tcW w:w="482" w:type="pct"/>
            <w:vAlign w:val="center"/>
          </w:tcPr>
          <w:p w14:paraId="63D6D19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737" w:type="pct"/>
            <w:vAlign w:val="center"/>
          </w:tcPr>
          <w:p w14:paraId="4334BB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620" w:type="pct"/>
            <w:vAlign w:val="center"/>
          </w:tcPr>
          <w:p w14:paraId="59125E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46.18%</w:t>
            </w:r>
          </w:p>
        </w:tc>
        <w:tc>
          <w:tcPr>
            <w:tcW w:w="607" w:type="pct"/>
            <w:vAlign w:val="center"/>
          </w:tcPr>
          <w:p w14:paraId="30BE75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22.31%</w:t>
            </w:r>
          </w:p>
        </w:tc>
        <w:tc>
          <w:tcPr>
            <w:tcW w:w="1554" w:type="pct"/>
            <w:vAlign w:val="center"/>
          </w:tcPr>
          <w:p w14:paraId="15AD0A3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6C0E8EB6" w14:textId="77777777" w:rsidTr="00BF5BFE">
        <w:trPr>
          <w:trHeight w:val="397"/>
          <w:jc w:val="center"/>
        </w:trPr>
        <w:tc>
          <w:tcPr>
            <w:tcW w:w="482" w:type="pct"/>
            <w:vAlign w:val="center"/>
          </w:tcPr>
          <w:p w14:paraId="65D3B23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737" w:type="pct"/>
            <w:vAlign w:val="center"/>
          </w:tcPr>
          <w:p w14:paraId="056905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20" w:type="pct"/>
            <w:vAlign w:val="center"/>
          </w:tcPr>
          <w:p w14:paraId="2906F2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11.82%</w:t>
            </w:r>
          </w:p>
        </w:tc>
        <w:tc>
          <w:tcPr>
            <w:tcW w:w="607" w:type="pct"/>
            <w:vAlign w:val="center"/>
          </w:tcPr>
          <w:p w14:paraId="0A80B1E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4.86%</w:t>
            </w:r>
          </w:p>
        </w:tc>
        <w:tc>
          <w:tcPr>
            <w:tcW w:w="1554" w:type="pct"/>
            <w:vAlign w:val="center"/>
          </w:tcPr>
          <w:p w14:paraId="06364C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0E65F032" w14:textId="77777777" w:rsidTr="00BF5BFE">
        <w:trPr>
          <w:trHeight w:val="397"/>
          <w:jc w:val="center"/>
        </w:trPr>
        <w:tc>
          <w:tcPr>
            <w:tcW w:w="482" w:type="pct"/>
            <w:vAlign w:val="center"/>
          </w:tcPr>
          <w:p w14:paraId="0585DFD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737" w:type="pct"/>
            <w:vAlign w:val="center"/>
          </w:tcPr>
          <w:p w14:paraId="7BE921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20" w:type="pct"/>
            <w:vAlign w:val="center"/>
          </w:tcPr>
          <w:p w14:paraId="39B843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22.31%</w:t>
            </w:r>
          </w:p>
        </w:tc>
        <w:tc>
          <w:tcPr>
            <w:tcW w:w="607" w:type="pct"/>
            <w:vAlign w:val="center"/>
          </w:tcPr>
          <w:p w14:paraId="6D1026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5.00%</w:t>
            </w:r>
          </w:p>
        </w:tc>
        <w:tc>
          <w:tcPr>
            <w:tcW w:w="1554" w:type="pct"/>
            <w:vAlign w:val="center"/>
          </w:tcPr>
          <w:p w14:paraId="1FA816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3FB09D3C" w14:textId="77777777" w:rsidTr="00BF5BFE">
        <w:trPr>
          <w:trHeight w:val="397"/>
          <w:jc w:val="center"/>
        </w:trPr>
        <w:tc>
          <w:tcPr>
            <w:tcW w:w="482" w:type="pct"/>
            <w:vAlign w:val="center"/>
          </w:tcPr>
          <w:p w14:paraId="77BC597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737" w:type="pct"/>
            <w:vAlign w:val="center"/>
          </w:tcPr>
          <w:p w14:paraId="0FC1505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620" w:type="pct"/>
            <w:vAlign w:val="center"/>
          </w:tcPr>
          <w:p w14:paraId="063434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8.94</w:t>
            </w:r>
          </w:p>
        </w:tc>
        <w:tc>
          <w:tcPr>
            <w:tcW w:w="607" w:type="pct"/>
            <w:vAlign w:val="center"/>
          </w:tcPr>
          <w:p w14:paraId="1BD3FD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17.38</w:t>
            </w:r>
          </w:p>
        </w:tc>
        <w:tc>
          <w:tcPr>
            <w:tcW w:w="1554" w:type="pct"/>
            <w:vAlign w:val="center"/>
          </w:tcPr>
          <w:p w14:paraId="2EB3B84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866C905" w14:textId="77777777" w:rsidTr="00BF5BFE">
        <w:trPr>
          <w:trHeight w:val="397"/>
          <w:jc w:val="center"/>
        </w:trPr>
        <w:tc>
          <w:tcPr>
            <w:tcW w:w="482" w:type="pct"/>
            <w:vAlign w:val="center"/>
          </w:tcPr>
          <w:p w14:paraId="758CD7CB"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737" w:type="pct"/>
            <w:vAlign w:val="center"/>
          </w:tcPr>
          <w:p w14:paraId="373F6E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620" w:type="pct"/>
            <w:vAlign w:val="center"/>
          </w:tcPr>
          <w:p w14:paraId="177174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27.79%</w:t>
            </w:r>
          </w:p>
        </w:tc>
        <w:tc>
          <w:tcPr>
            <w:tcW w:w="607" w:type="pct"/>
            <w:vAlign w:val="center"/>
          </w:tcPr>
          <w:p w14:paraId="7698FE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7.47%</w:t>
            </w:r>
          </w:p>
        </w:tc>
        <w:tc>
          <w:tcPr>
            <w:tcW w:w="1554" w:type="pct"/>
            <w:vAlign w:val="center"/>
          </w:tcPr>
          <w:p w14:paraId="6676033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770F48D3" w14:textId="77777777" w:rsidTr="00BF5BFE">
        <w:trPr>
          <w:trHeight w:val="397"/>
          <w:jc w:val="center"/>
        </w:trPr>
        <w:tc>
          <w:tcPr>
            <w:tcW w:w="482" w:type="pct"/>
            <w:vAlign w:val="center"/>
          </w:tcPr>
          <w:p w14:paraId="7A3AB5C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737" w:type="pct"/>
            <w:vAlign w:val="center"/>
          </w:tcPr>
          <w:p w14:paraId="395D9C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620" w:type="pct"/>
            <w:vAlign w:val="center"/>
          </w:tcPr>
          <w:p w14:paraId="5752F7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7.69</w:t>
            </w:r>
          </w:p>
        </w:tc>
        <w:tc>
          <w:tcPr>
            <w:tcW w:w="607" w:type="pct"/>
            <w:vAlign w:val="center"/>
          </w:tcPr>
          <w:p w14:paraId="24DD436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13.79</w:t>
            </w:r>
          </w:p>
        </w:tc>
        <w:tc>
          <w:tcPr>
            <w:tcW w:w="1554" w:type="pct"/>
            <w:vAlign w:val="center"/>
          </w:tcPr>
          <w:p w14:paraId="576FCCC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C8CC483" w14:textId="77777777" w:rsidTr="00BF5BFE">
        <w:trPr>
          <w:trHeight w:val="397"/>
          <w:jc w:val="center"/>
        </w:trPr>
        <w:tc>
          <w:tcPr>
            <w:tcW w:w="482" w:type="pct"/>
            <w:vAlign w:val="center"/>
          </w:tcPr>
          <w:p w14:paraId="2069CDC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737" w:type="pct"/>
            <w:vAlign w:val="center"/>
          </w:tcPr>
          <w:p w14:paraId="160705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620" w:type="pct"/>
            <w:vAlign w:val="center"/>
          </w:tcPr>
          <w:p w14:paraId="26674B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5.16</w:t>
            </w:r>
          </w:p>
        </w:tc>
        <w:tc>
          <w:tcPr>
            <w:tcW w:w="607" w:type="pct"/>
            <w:vAlign w:val="center"/>
          </w:tcPr>
          <w:p w14:paraId="63CD726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17.38</w:t>
            </w:r>
          </w:p>
        </w:tc>
        <w:tc>
          <w:tcPr>
            <w:tcW w:w="1554" w:type="pct"/>
            <w:vAlign w:val="center"/>
          </w:tcPr>
          <w:p w14:paraId="5BAB7AA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1F5BB4C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月，上市公司参股公司湖南天晨新能源有限公司实施的天宝实业分布式光伏发电项目取得并网许可，截至</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年第三季度，该项目共发电</w:t>
      </w:r>
      <w:r w:rsidRPr="00DA3766">
        <w:rPr>
          <w:rFonts w:ascii="Times New Roman" w:hAnsi="Times New Roman" w:cs="Times New Roman"/>
          <w:kern w:val="2"/>
          <w14:ligatures w14:val="standardContextual"/>
        </w:rPr>
        <w:t>1,066.00</w:t>
      </w:r>
      <w:r w:rsidRPr="00DA3766">
        <w:rPr>
          <w:rFonts w:ascii="Times New Roman" w:hAnsi="Times New Roman" w:cs="Times New Roman"/>
          <w:kern w:val="2"/>
          <w14:ligatures w14:val="standardContextual"/>
        </w:rPr>
        <w:t>万度，企业消纳比例</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，该项目具有可持续经营能力。</w:t>
      </w:r>
    </w:p>
    <w:p w14:paraId="1C31F77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光伏电站项目</w:t>
      </w:r>
    </w:p>
    <w:p w14:paraId="43EEDE7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14:ligatures w14:val="standardContextual"/>
        </w:rPr>
        <w:lastRenderedPageBreak/>
        <w:t>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光伏电站项目投资测算如下：</w:t>
      </w:r>
    </w:p>
    <w:tbl>
      <w:tblPr>
        <w:tblW w:w="53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7"/>
        <w:gridCol w:w="3311"/>
        <w:gridCol w:w="1164"/>
        <w:gridCol w:w="1168"/>
        <w:gridCol w:w="2877"/>
      </w:tblGrid>
      <w:tr w:rsidR="003F2129" w:rsidRPr="00DA3766" w14:paraId="5DF178F8" w14:textId="77777777" w:rsidTr="00635015">
        <w:trPr>
          <w:trHeight w:val="397"/>
          <w:tblHeader/>
          <w:jc w:val="center"/>
        </w:trPr>
        <w:tc>
          <w:tcPr>
            <w:tcW w:w="368" w:type="pct"/>
            <w:vAlign w:val="center"/>
          </w:tcPr>
          <w:p w14:paraId="3DD9D725"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800" w:type="pct"/>
            <w:vAlign w:val="center"/>
          </w:tcPr>
          <w:p w14:paraId="691F84B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268" w:type="pct"/>
            <w:gridSpan w:val="2"/>
            <w:vAlign w:val="center"/>
          </w:tcPr>
          <w:p w14:paraId="7932B43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565" w:type="pct"/>
            <w:vAlign w:val="center"/>
          </w:tcPr>
          <w:p w14:paraId="2937D4F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0D8827DB" w14:textId="77777777" w:rsidTr="00635015">
        <w:trPr>
          <w:trHeight w:val="397"/>
          <w:jc w:val="center"/>
        </w:trPr>
        <w:tc>
          <w:tcPr>
            <w:tcW w:w="368" w:type="pct"/>
            <w:vAlign w:val="center"/>
          </w:tcPr>
          <w:p w14:paraId="13BAA441"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800" w:type="pct"/>
            <w:vAlign w:val="center"/>
          </w:tcPr>
          <w:p w14:paraId="7A3C03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268" w:type="pct"/>
            <w:gridSpan w:val="2"/>
            <w:vAlign w:val="center"/>
          </w:tcPr>
          <w:p w14:paraId="6B5158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8,635.32</w:t>
            </w:r>
          </w:p>
        </w:tc>
        <w:tc>
          <w:tcPr>
            <w:tcW w:w="1565" w:type="pct"/>
            <w:vAlign w:val="center"/>
          </w:tcPr>
          <w:p w14:paraId="2AB8C5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4F0B4C0D" w14:textId="77777777" w:rsidTr="00635015">
        <w:trPr>
          <w:trHeight w:val="397"/>
          <w:jc w:val="center"/>
        </w:trPr>
        <w:tc>
          <w:tcPr>
            <w:tcW w:w="368" w:type="pct"/>
            <w:vAlign w:val="center"/>
          </w:tcPr>
          <w:p w14:paraId="3B6DB7C1"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800" w:type="pct"/>
            <w:vAlign w:val="center"/>
          </w:tcPr>
          <w:p w14:paraId="7B2F2D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268" w:type="pct"/>
            <w:gridSpan w:val="2"/>
            <w:vAlign w:val="center"/>
          </w:tcPr>
          <w:p w14:paraId="5BF603A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26.80</w:t>
            </w:r>
          </w:p>
        </w:tc>
        <w:tc>
          <w:tcPr>
            <w:tcW w:w="1565" w:type="pct"/>
            <w:vAlign w:val="center"/>
          </w:tcPr>
          <w:p w14:paraId="07F7F8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8C4E609" w14:textId="77777777" w:rsidTr="00635015">
        <w:trPr>
          <w:trHeight w:val="397"/>
          <w:jc w:val="center"/>
        </w:trPr>
        <w:tc>
          <w:tcPr>
            <w:tcW w:w="368" w:type="pct"/>
            <w:vAlign w:val="center"/>
          </w:tcPr>
          <w:p w14:paraId="7F7174B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800" w:type="pct"/>
            <w:vAlign w:val="center"/>
          </w:tcPr>
          <w:p w14:paraId="3E96D90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3C10F8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3.15</w:t>
            </w:r>
          </w:p>
        </w:tc>
        <w:tc>
          <w:tcPr>
            <w:tcW w:w="1565" w:type="pct"/>
            <w:vAlign w:val="center"/>
          </w:tcPr>
          <w:p w14:paraId="720F87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07C1F5F" w14:textId="77777777" w:rsidTr="00635015">
        <w:trPr>
          <w:trHeight w:val="397"/>
          <w:jc w:val="center"/>
        </w:trPr>
        <w:tc>
          <w:tcPr>
            <w:tcW w:w="368" w:type="pct"/>
            <w:vAlign w:val="center"/>
          </w:tcPr>
          <w:p w14:paraId="14B9D93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800" w:type="pct"/>
            <w:vAlign w:val="center"/>
          </w:tcPr>
          <w:p w14:paraId="38CFB73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268" w:type="pct"/>
            <w:gridSpan w:val="2"/>
            <w:vAlign w:val="center"/>
          </w:tcPr>
          <w:p w14:paraId="13B408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1,288.17</w:t>
            </w:r>
          </w:p>
        </w:tc>
        <w:tc>
          <w:tcPr>
            <w:tcW w:w="1565" w:type="pct"/>
            <w:vAlign w:val="center"/>
          </w:tcPr>
          <w:p w14:paraId="7CBCC2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795E2192" w14:textId="77777777" w:rsidTr="00635015">
        <w:trPr>
          <w:trHeight w:val="397"/>
          <w:jc w:val="center"/>
        </w:trPr>
        <w:tc>
          <w:tcPr>
            <w:tcW w:w="368" w:type="pct"/>
            <w:vAlign w:val="center"/>
          </w:tcPr>
          <w:p w14:paraId="64CC73E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800" w:type="pct"/>
            <w:vAlign w:val="center"/>
          </w:tcPr>
          <w:p w14:paraId="128635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633" w:type="pct"/>
            <w:vAlign w:val="center"/>
          </w:tcPr>
          <w:p w14:paraId="41C573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635" w:type="pct"/>
            <w:vAlign w:val="center"/>
          </w:tcPr>
          <w:p w14:paraId="4EF49C0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565" w:type="pct"/>
            <w:vAlign w:val="center"/>
          </w:tcPr>
          <w:p w14:paraId="191298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43A16AE" w14:textId="77777777" w:rsidTr="00635015">
        <w:trPr>
          <w:trHeight w:val="397"/>
          <w:jc w:val="center"/>
        </w:trPr>
        <w:tc>
          <w:tcPr>
            <w:tcW w:w="368" w:type="pct"/>
            <w:vAlign w:val="center"/>
          </w:tcPr>
          <w:p w14:paraId="2B3ADB9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800" w:type="pct"/>
            <w:vAlign w:val="center"/>
          </w:tcPr>
          <w:p w14:paraId="0C0826BA" w14:textId="2D76E1E3"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633" w:type="pct"/>
            <w:vAlign w:val="center"/>
          </w:tcPr>
          <w:p w14:paraId="2FC257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0%/0.3644</w:t>
            </w:r>
          </w:p>
        </w:tc>
        <w:tc>
          <w:tcPr>
            <w:tcW w:w="635" w:type="pct"/>
            <w:vAlign w:val="center"/>
          </w:tcPr>
          <w:p w14:paraId="4D9F0B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0%/0.3644</w:t>
            </w:r>
          </w:p>
        </w:tc>
        <w:tc>
          <w:tcPr>
            <w:tcW w:w="1565" w:type="pct"/>
            <w:vAlign w:val="center"/>
          </w:tcPr>
          <w:p w14:paraId="69913F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868CE34" w14:textId="77777777" w:rsidTr="00635015">
        <w:trPr>
          <w:trHeight w:val="397"/>
          <w:jc w:val="center"/>
        </w:trPr>
        <w:tc>
          <w:tcPr>
            <w:tcW w:w="368" w:type="pct"/>
            <w:vAlign w:val="center"/>
          </w:tcPr>
          <w:p w14:paraId="4384D6E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800" w:type="pct"/>
            <w:vAlign w:val="center"/>
          </w:tcPr>
          <w:p w14:paraId="5A34E6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633" w:type="pct"/>
            <w:vAlign w:val="center"/>
          </w:tcPr>
          <w:p w14:paraId="3A6F6E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0.36/0.32</w:t>
            </w:r>
          </w:p>
        </w:tc>
        <w:tc>
          <w:tcPr>
            <w:tcW w:w="635" w:type="pct"/>
            <w:vAlign w:val="center"/>
          </w:tcPr>
          <w:p w14:paraId="5FEEB4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0.36/0.32</w:t>
            </w:r>
          </w:p>
        </w:tc>
        <w:tc>
          <w:tcPr>
            <w:tcW w:w="1565" w:type="pct"/>
            <w:vAlign w:val="center"/>
          </w:tcPr>
          <w:p w14:paraId="638821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63088384" w14:textId="77777777" w:rsidTr="00635015">
        <w:trPr>
          <w:trHeight w:val="397"/>
          <w:jc w:val="center"/>
        </w:trPr>
        <w:tc>
          <w:tcPr>
            <w:tcW w:w="368" w:type="pct"/>
            <w:vAlign w:val="center"/>
          </w:tcPr>
          <w:p w14:paraId="67BBA2F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800" w:type="pct"/>
            <w:vAlign w:val="center"/>
          </w:tcPr>
          <w:p w14:paraId="2467C429" w14:textId="4347EAE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3BDD17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107.2/0.04</w:t>
            </w:r>
          </w:p>
        </w:tc>
        <w:tc>
          <w:tcPr>
            <w:tcW w:w="1565" w:type="pct"/>
            <w:vAlign w:val="center"/>
          </w:tcPr>
          <w:p w14:paraId="2BEDF6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2E13547" w14:textId="77777777" w:rsidTr="00635015">
        <w:trPr>
          <w:trHeight w:val="397"/>
          <w:jc w:val="center"/>
        </w:trPr>
        <w:tc>
          <w:tcPr>
            <w:tcW w:w="368" w:type="pct"/>
            <w:vAlign w:val="center"/>
          </w:tcPr>
          <w:p w14:paraId="58AA40E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800" w:type="pct"/>
            <w:vAlign w:val="center"/>
          </w:tcPr>
          <w:p w14:paraId="16880774" w14:textId="5D048B92"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7B92AF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41.2/1000</w:t>
            </w:r>
          </w:p>
        </w:tc>
        <w:tc>
          <w:tcPr>
            <w:tcW w:w="1565" w:type="pct"/>
            <w:vAlign w:val="center"/>
          </w:tcPr>
          <w:p w14:paraId="4561C5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D8ED3EA" w14:textId="77777777" w:rsidTr="00635015">
        <w:trPr>
          <w:trHeight w:val="397"/>
          <w:jc w:val="center"/>
        </w:trPr>
        <w:tc>
          <w:tcPr>
            <w:tcW w:w="368" w:type="pct"/>
            <w:vAlign w:val="center"/>
          </w:tcPr>
          <w:p w14:paraId="24C5D6D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800" w:type="pct"/>
            <w:vAlign w:val="center"/>
          </w:tcPr>
          <w:p w14:paraId="54CF94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633" w:type="pct"/>
            <w:vAlign w:val="center"/>
          </w:tcPr>
          <w:p w14:paraId="3A8A6E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1017.54</w:t>
            </w:r>
          </w:p>
        </w:tc>
        <w:tc>
          <w:tcPr>
            <w:tcW w:w="635" w:type="pct"/>
            <w:vAlign w:val="center"/>
          </w:tcPr>
          <w:p w14:paraId="6BC7B6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1017.54</w:t>
            </w:r>
          </w:p>
        </w:tc>
        <w:tc>
          <w:tcPr>
            <w:tcW w:w="1565" w:type="pct"/>
            <w:vAlign w:val="center"/>
          </w:tcPr>
          <w:p w14:paraId="67A7DB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5BA7208D" w14:textId="77777777" w:rsidTr="00635015">
        <w:trPr>
          <w:trHeight w:val="397"/>
          <w:jc w:val="center"/>
        </w:trPr>
        <w:tc>
          <w:tcPr>
            <w:tcW w:w="368" w:type="pct"/>
            <w:vAlign w:val="center"/>
          </w:tcPr>
          <w:p w14:paraId="5B6477B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800" w:type="pct"/>
            <w:vAlign w:val="center"/>
          </w:tcPr>
          <w:p w14:paraId="3850D0A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633" w:type="pct"/>
            <w:vAlign w:val="center"/>
          </w:tcPr>
          <w:p w14:paraId="0F60E9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56.75%</w:t>
            </w:r>
          </w:p>
        </w:tc>
        <w:tc>
          <w:tcPr>
            <w:tcW w:w="635" w:type="pct"/>
            <w:vAlign w:val="center"/>
          </w:tcPr>
          <w:p w14:paraId="13E746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57.08%</w:t>
            </w:r>
          </w:p>
        </w:tc>
        <w:tc>
          <w:tcPr>
            <w:tcW w:w="1565" w:type="pct"/>
            <w:vAlign w:val="center"/>
          </w:tcPr>
          <w:p w14:paraId="2A7814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62BC0B3" w14:textId="77777777" w:rsidTr="00635015">
        <w:trPr>
          <w:trHeight w:val="397"/>
          <w:jc w:val="center"/>
        </w:trPr>
        <w:tc>
          <w:tcPr>
            <w:tcW w:w="368" w:type="pct"/>
            <w:vAlign w:val="center"/>
          </w:tcPr>
          <w:p w14:paraId="3598A08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800" w:type="pct"/>
            <w:vAlign w:val="center"/>
          </w:tcPr>
          <w:p w14:paraId="3B535D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268" w:type="pct"/>
            <w:gridSpan w:val="2"/>
            <w:vAlign w:val="center"/>
          </w:tcPr>
          <w:p w14:paraId="08254E7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1,862.52</w:t>
            </w:r>
          </w:p>
        </w:tc>
        <w:tc>
          <w:tcPr>
            <w:tcW w:w="1565" w:type="pct"/>
            <w:vAlign w:val="center"/>
          </w:tcPr>
          <w:p w14:paraId="1A3FA1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628F75D8" w14:textId="77777777" w:rsidTr="00635015">
        <w:trPr>
          <w:trHeight w:val="397"/>
          <w:jc w:val="center"/>
        </w:trPr>
        <w:tc>
          <w:tcPr>
            <w:tcW w:w="368" w:type="pct"/>
            <w:vAlign w:val="center"/>
          </w:tcPr>
          <w:p w14:paraId="278C56F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800" w:type="pct"/>
            <w:vAlign w:val="center"/>
          </w:tcPr>
          <w:p w14:paraId="4DF1F8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633" w:type="pct"/>
            <w:vAlign w:val="center"/>
          </w:tcPr>
          <w:p w14:paraId="56C725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359.16</w:t>
            </w:r>
          </w:p>
        </w:tc>
        <w:tc>
          <w:tcPr>
            <w:tcW w:w="635" w:type="pct"/>
            <w:vAlign w:val="center"/>
          </w:tcPr>
          <w:p w14:paraId="30E750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362.39</w:t>
            </w:r>
          </w:p>
        </w:tc>
        <w:tc>
          <w:tcPr>
            <w:tcW w:w="1565" w:type="pct"/>
            <w:vAlign w:val="center"/>
          </w:tcPr>
          <w:p w14:paraId="3510DA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5AF68CC" w14:textId="77777777" w:rsidTr="00635015">
        <w:trPr>
          <w:trHeight w:val="397"/>
          <w:jc w:val="center"/>
        </w:trPr>
        <w:tc>
          <w:tcPr>
            <w:tcW w:w="368" w:type="pct"/>
            <w:vAlign w:val="center"/>
          </w:tcPr>
          <w:p w14:paraId="34A8DCD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800" w:type="pct"/>
            <w:vAlign w:val="center"/>
          </w:tcPr>
          <w:p w14:paraId="4D2C60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633" w:type="pct"/>
            <w:vAlign w:val="center"/>
          </w:tcPr>
          <w:p w14:paraId="3A6E6F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35.85%</w:t>
            </w:r>
          </w:p>
        </w:tc>
        <w:tc>
          <w:tcPr>
            <w:tcW w:w="635" w:type="pct"/>
            <w:vAlign w:val="center"/>
          </w:tcPr>
          <w:p w14:paraId="39A812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36.15%</w:t>
            </w:r>
          </w:p>
        </w:tc>
        <w:tc>
          <w:tcPr>
            <w:tcW w:w="1565" w:type="pct"/>
            <w:vAlign w:val="center"/>
          </w:tcPr>
          <w:p w14:paraId="7FD126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5B36B026" w14:textId="77777777" w:rsidTr="00635015">
        <w:trPr>
          <w:trHeight w:val="397"/>
          <w:jc w:val="center"/>
        </w:trPr>
        <w:tc>
          <w:tcPr>
            <w:tcW w:w="368" w:type="pct"/>
            <w:vAlign w:val="center"/>
          </w:tcPr>
          <w:p w14:paraId="05541A2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800" w:type="pct"/>
            <w:vAlign w:val="center"/>
          </w:tcPr>
          <w:p w14:paraId="067CEF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33" w:type="pct"/>
            <w:vAlign w:val="center"/>
          </w:tcPr>
          <w:p w14:paraId="01FA734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9.04%</w:t>
            </w:r>
          </w:p>
        </w:tc>
        <w:tc>
          <w:tcPr>
            <w:tcW w:w="635" w:type="pct"/>
            <w:vAlign w:val="center"/>
          </w:tcPr>
          <w:p w14:paraId="0025519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9.04%</w:t>
            </w:r>
          </w:p>
        </w:tc>
        <w:tc>
          <w:tcPr>
            <w:tcW w:w="1565" w:type="pct"/>
            <w:vAlign w:val="center"/>
          </w:tcPr>
          <w:p w14:paraId="32B816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572ADD91" w14:textId="77777777" w:rsidTr="00635015">
        <w:trPr>
          <w:trHeight w:val="397"/>
          <w:jc w:val="center"/>
        </w:trPr>
        <w:tc>
          <w:tcPr>
            <w:tcW w:w="368" w:type="pct"/>
            <w:vAlign w:val="center"/>
          </w:tcPr>
          <w:p w14:paraId="5C109784"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800" w:type="pct"/>
            <w:vAlign w:val="center"/>
          </w:tcPr>
          <w:p w14:paraId="03918A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33" w:type="pct"/>
            <w:vAlign w:val="center"/>
          </w:tcPr>
          <w:p w14:paraId="017B51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13.94%</w:t>
            </w:r>
          </w:p>
        </w:tc>
        <w:tc>
          <w:tcPr>
            <w:tcW w:w="635" w:type="pct"/>
            <w:vAlign w:val="center"/>
          </w:tcPr>
          <w:p w14:paraId="72FC19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13.94%</w:t>
            </w:r>
          </w:p>
        </w:tc>
        <w:tc>
          <w:tcPr>
            <w:tcW w:w="1565" w:type="pct"/>
            <w:vAlign w:val="center"/>
          </w:tcPr>
          <w:p w14:paraId="4C6198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2D91232A" w14:textId="77777777" w:rsidTr="00635015">
        <w:trPr>
          <w:trHeight w:val="397"/>
          <w:jc w:val="center"/>
        </w:trPr>
        <w:tc>
          <w:tcPr>
            <w:tcW w:w="368" w:type="pct"/>
            <w:vAlign w:val="center"/>
          </w:tcPr>
          <w:p w14:paraId="2282F0C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800" w:type="pct"/>
            <w:vAlign w:val="center"/>
          </w:tcPr>
          <w:p w14:paraId="145BA16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633" w:type="pct"/>
            <w:vAlign w:val="center"/>
          </w:tcPr>
          <w:p w14:paraId="1A4B3B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635" w:type="pct"/>
            <w:vAlign w:val="center"/>
          </w:tcPr>
          <w:p w14:paraId="5333334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1565" w:type="pct"/>
            <w:vAlign w:val="center"/>
          </w:tcPr>
          <w:p w14:paraId="6E43794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59A88E0" w14:textId="77777777" w:rsidTr="00635015">
        <w:trPr>
          <w:trHeight w:val="397"/>
          <w:jc w:val="center"/>
        </w:trPr>
        <w:tc>
          <w:tcPr>
            <w:tcW w:w="368" w:type="pct"/>
            <w:vAlign w:val="center"/>
          </w:tcPr>
          <w:p w14:paraId="33FED1E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800" w:type="pct"/>
            <w:vAlign w:val="center"/>
          </w:tcPr>
          <w:p w14:paraId="51C78E5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633" w:type="pct"/>
            <w:vAlign w:val="center"/>
          </w:tcPr>
          <w:p w14:paraId="6FAC90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19.28%</w:t>
            </w:r>
          </w:p>
        </w:tc>
        <w:tc>
          <w:tcPr>
            <w:tcW w:w="635" w:type="pct"/>
            <w:vAlign w:val="center"/>
          </w:tcPr>
          <w:p w14:paraId="4A2B74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19.46%</w:t>
            </w:r>
          </w:p>
        </w:tc>
        <w:tc>
          <w:tcPr>
            <w:tcW w:w="1565" w:type="pct"/>
            <w:vAlign w:val="center"/>
          </w:tcPr>
          <w:p w14:paraId="0021A3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1079AB8E" w14:textId="77777777" w:rsidTr="00635015">
        <w:trPr>
          <w:trHeight w:val="397"/>
          <w:jc w:val="center"/>
        </w:trPr>
        <w:tc>
          <w:tcPr>
            <w:tcW w:w="368" w:type="pct"/>
            <w:vAlign w:val="center"/>
          </w:tcPr>
          <w:p w14:paraId="3481C1A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800" w:type="pct"/>
            <w:vAlign w:val="center"/>
          </w:tcPr>
          <w:p w14:paraId="70F0234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633" w:type="pct"/>
            <w:vAlign w:val="center"/>
          </w:tcPr>
          <w:p w14:paraId="47871A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9.52</w:t>
            </w:r>
          </w:p>
        </w:tc>
        <w:tc>
          <w:tcPr>
            <w:tcW w:w="635" w:type="pct"/>
            <w:vAlign w:val="center"/>
          </w:tcPr>
          <w:p w14:paraId="251C6F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9.52</w:t>
            </w:r>
          </w:p>
        </w:tc>
        <w:tc>
          <w:tcPr>
            <w:tcW w:w="1565" w:type="pct"/>
            <w:vAlign w:val="center"/>
          </w:tcPr>
          <w:p w14:paraId="4EE70A0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E4ED208" w14:textId="77777777" w:rsidTr="00635015">
        <w:trPr>
          <w:trHeight w:val="397"/>
          <w:jc w:val="center"/>
        </w:trPr>
        <w:tc>
          <w:tcPr>
            <w:tcW w:w="368" w:type="pct"/>
            <w:vAlign w:val="center"/>
          </w:tcPr>
          <w:p w14:paraId="26B732B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800" w:type="pct"/>
            <w:vAlign w:val="center"/>
          </w:tcPr>
          <w:p w14:paraId="5D215EE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633" w:type="pct"/>
            <w:vAlign w:val="center"/>
          </w:tcPr>
          <w:p w14:paraId="6443E9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635" w:type="pct"/>
            <w:vAlign w:val="center"/>
          </w:tcPr>
          <w:p w14:paraId="1C6050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1565" w:type="pct"/>
            <w:vAlign w:val="center"/>
          </w:tcPr>
          <w:p w14:paraId="3601CE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30DC86A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5</w:t>
      </w:r>
      <w:r w:rsidRPr="00DA3766">
        <w:rPr>
          <w:rFonts w:ascii="Times New Roman" w:hAnsi="Times New Roman" w:cs="Times New Roman"/>
          <w:bCs/>
          <w:kern w:val="2"/>
          <w:szCs w:val="32"/>
        </w:rPr>
        <w:t>月，公司子公司邯郸庚源新能源科技有限公司实施的复兴区</w:t>
      </w:r>
      <w:r w:rsidRPr="00DA3766">
        <w:rPr>
          <w:rFonts w:ascii="Times New Roman" w:hAnsi="Times New Roman" w:cs="Times New Roman"/>
          <w:bCs/>
          <w:kern w:val="2"/>
          <w:szCs w:val="32"/>
        </w:rPr>
        <w:t>24MW</w:t>
      </w:r>
      <w:r w:rsidRPr="00DA3766">
        <w:rPr>
          <w:rFonts w:ascii="Times New Roman" w:hAnsi="Times New Roman" w:cs="Times New Roman"/>
          <w:bCs/>
          <w:kern w:val="2"/>
          <w:szCs w:val="32"/>
        </w:rPr>
        <w:t>光伏电站项目取得并网许可，截至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年三季度，该项目共发电</w:t>
      </w:r>
      <w:r w:rsidRPr="00DA3766">
        <w:rPr>
          <w:rFonts w:ascii="Times New Roman" w:hAnsi="Times New Roman" w:cs="Times New Roman"/>
          <w:bCs/>
          <w:kern w:val="2"/>
          <w:szCs w:val="32"/>
        </w:rPr>
        <w:t>1,166.00</w:t>
      </w:r>
      <w:r w:rsidRPr="00DA3766">
        <w:rPr>
          <w:rFonts w:ascii="Times New Roman" w:hAnsi="Times New Roman" w:cs="Times New Roman"/>
          <w:bCs/>
          <w:kern w:val="2"/>
          <w:szCs w:val="32"/>
        </w:rPr>
        <w:t>万度，余电上网比例</w:t>
      </w:r>
      <w:r w:rsidRPr="00DA3766">
        <w:rPr>
          <w:rFonts w:ascii="Times New Roman" w:hAnsi="Times New Roman" w:cs="Times New Roman"/>
          <w:bCs/>
          <w:kern w:val="2"/>
          <w:szCs w:val="32"/>
        </w:rPr>
        <w:t>100%</w:t>
      </w:r>
      <w:r w:rsidRPr="00DA3766">
        <w:rPr>
          <w:rFonts w:ascii="Times New Roman" w:hAnsi="Times New Roman" w:cs="Times New Roman"/>
          <w:bCs/>
          <w:kern w:val="2"/>
          <w:szCs w:val="32"/>
        </w:rPr>
        <w:t>。</w:t>
      </w:r>
    </w:p>
    <w:p w14:paraId="17257C92"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上市公司光伏项目投资符合公司战略及经营目标，项目均取得并网许可，截至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三季度，以上光伏发电项目均已经发电并产生收益，盈利能力与项目立项时预测不存在显著差异，项目盈利能力可观，具备持续经营能力，依照企业会计准则及公司会计制度相关规定该项目目前不需要计提资产减值准备。</w:t>
      </w:r>
    </w:p>
    <w:p w14:paraId="1428BBB7" w14:textId="77777777" w:rsidR="003F2129" w:rsidRPr="00DA3766" w:rsidRDefault="003F2129" w:rsidP="00BF5BFE">
      <w:pPr>
        <w:pStyle w:val="005"/>
        <w:spacing w:before="120" w:after="120"/>
        <w:ind w:firstLine="480"/>
      </w:pPr>
      <w:r w:rsidRPr="00DA3766">
        <w:lastRenderedPageBreak/>
        <w:t>综上，上市公司光伏项目已经陆续取得并网许可并顺利运营，光伏发电设备经营情况稳定，项目具备持续经营能力。</w:t>
      </w:r>
    </w:p>
    <w:p w14:paraId="79B62AAD" w14:textId="208A3973" w:rsidR="003F2129" w:rsidRPr="00DA3766" w:rsidRDefault="00011892" w:rsidP="00BF5BFE">
      <w:pPr>
        <w:widowControl w:val="0"/>
        <w:snapToGrid w:val="0"/>
        <w:spacing w:before="120" w:after="120"/>
        <w:ind w:firstLine="482"/>
        <w:contextualSpacing/>
        <w:jc w:val="both"/>
        <w:outlineLvl w:val="3"/>
        <w:rPr>
          <w:rFonts w:ascii="Times New Roman" w:hAnsi="Times New Roman" w:cs="Times New Roman"/>
          <w:b/>
          <w:bCs/>
          <w:kern w:val="2"/>
          <w:szCs w:val="32"/>
        </w:rPr>
      </w:pPr>
      <w:r>
        <w:rPr>
          <w:rFonts w:ascii="Times New Roman" w:hAnsi="Times New Roman" w:cs="Times New Roman" w:hint="eastAsia"/>
          <w:b/>
          <w:bCs/>
          <w:kern w:val="2"/>
          <w:szCs w:val="32"/>
        </w:rPr>
        <w:t>4</w:t>
      </w:r>
      <w:r w:rsidR="00DA3766" w:rsidRPr="00DA3766">
        <w:rPr>
          <w:rFonts w:ascii="Times New Roman" w:hAnsi="Times New Roman" w:cs="Times New Roman"/>
          <w:b/>
          <w:bCs/>
          <w:kern w:val="2"/>
          <w:szCs w:val="32"/>
        </w:rPr>
        <w:t>、</w:t>
      </w:r>
      <w:r w:rsidR="003F2129" w:rsidRPr="00DA3766">
        <w:rPr>
          <w:rFonts w:ascii="Times New Roman" w:hAnsi="Times New Roman" w:cs="Times New Roman"/>
          <w:b/>
          <w:bCs/>
          <w:kern w:val="2"/>
          <w:szCs w:val="32"/>
        </w:rPr>
        <w:t>报告期内上网电量、平均上网电价情况及预期变动趋势</w:t>
      </w:r>
    </w:p>
    <w:p w14:paraId="5C902ED3" w14:textId="77777777" w:rsidR="003F2129" w:rsidRPr="00DA3766" w:rsidRDefault="003F2129" w:rsidP="00BF5BFE">
      <w:pPr>
        <w:pStyle w:val="005"/>
        <w:spacing w:before="120" w:after="120"/>
        <w:ind w:firstLine="480"/>
      </w:pPr>
      <w:r w:rsidRPr="00DA3766">
        <w:t>报告期内，光伏项目消纳电量、平均电价情况如下：</w:t>
      </w:r>
    </w:p>
    <w:p w14:paraId="226137C9"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76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799"/>
        <w:gridCol w:w="1091"/>
        <w:gridCol w:w="1302"/>
        <w:gridCol w:w="1308"/>
        <w:gridCol w:w="1091"/>
        <w:gridCol w:w="1091"/>
        <w:gridCol w:w="1292"/>
      </w:tblGrid>
      <w:tr w:rsidR="003F2129" w:rsidRPr="00DA3766" w14:paraId="38A4F00D" w14:textId="77777777" w:rsidTr="00BF5BFE">
        <w:trPr>
          <w:trHeight w:val="397"/>
          <w:tblHeader/>
          <w:jc w:val="center"/>
        </w:trPr>
        <w:tc>
          <w:tcPr>
            <w:tcW w:w="945" w:type="pct"/>
            <w:vMerge w:val="restart"/>
            <w:vAlign w:val="center"/>
          </w:tcPr>
          <w:p w14:paraId="06A5D96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光伏项目名称</w:t>
            </w:r>
          </w:p>
        </w:tc>
        <w:tc>
          <w:tcPr>
            <w:tcW w:w="406" w:type="pct"/>
            <w:vMerge w:val="restart"/>
            <w:vAlign w:val="center"/>
          </w:tcPr>
          <w:p w14:paraId="23925E3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消纳比例</w:t>
            </w:r>
          </w:p>
        </w:tc>
        <w:tc>
          <w:tcPr>
            <w:tcW w:w="1881" w:type="pct"/>
            <w:gridSpan w:val="3"/>
            <w:vAlign w:val="center"/>
          </w:tcPr>
          <w:p w14:paraId="41366D3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年结算数据</w:t>
            </w:r>
          </w:p>
        </w:tc>
        <w:tc>
          <w:tcPr>
            <w:tcW w:w="1768" w:type="pct"/>
            <w:gridSpan w:val="3"/>
            <w:vAlign w:val="center"/>
          </w:tcPr>
          <w:p w14:paraId="6008475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2025</w:t>
            </w:r>
            <w:r w:rsidRPr="00DA3766">
              <w:rPr>
                <w:rFonts w:ascii="Times New Roman" w:hAnsi="Times New Roman" w:cs="Times New Roman"/>
                <w:b/>
                <w:color w:val="000000"/>
                <w:kern w:val="2"/>
                <w:sz w:val="21"/>
                <w:lang w:bidi="ar"/>
                <w14:ligatures w14:val="standardContextual"/>
              </w:rPr>
              <w:t>年</w:t>
            </w:r>
            <w:r w:rsidRPr="00DA3766">
              <w:rPr>
                <w:rFonts w:ascii="Times New Roman" w:hAnsi="Times New Roman" w:cs="Times New Roman"/>
                <w:b/>
                <w:color w:val="000000"/>
                <w:kern w:val="2"/>
                <w:sz w:val="21"/>
                <w:lang w:bidi="ar"/>
                <w14:ligatures w14:val="standardContextual"/>
              </w:rPr>
              <w:t>1-9</w:t>
            </w:r>
            <w:r w:rsidRPr="00DA3766">
              <w:rPr>
                <w:rFonts w:ascii="Times New Roman" w:hAnsi="Times New Roman" w:cs="Times New Roman"/>
                <w:b/>
                <w:color w:val="000000"/>
                <w:kern w:val="2"/>
                <w:sz w:val="21"/>
                <w:lang w:bidi="ar"/>
                <w14:ligatures w14:val="standardContextual"/>
              </w:rPr>
              <w:t>月结算数据</w:t>
            </w:r>
          </w:p>
        </w:tc>
      </w:tr>
      <w:tr w:rsidR="003F2129" w:rsidRPr="00DA3766" w14:paraId="7D51C308" w14:textId="77777777" w:rsidTr="00BF5BFE">
        <w:trPr>
          <w:trHeight w:val="397"/>
          <w:tblHeader/>
          <w:jc w:val="center"/>
        </w:trPr>
        <w:tc>
          <w:tcPr>
            <w:tcW w:w="945" w:type="pct"/>
            <w:vMerge/>
            <w:vAlign w:val="center"/>
          </w:tcPr>
          <w:p w14:paraId="2A9A05B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406" w:type="pct"/>
            <w:vMerge/>
            <w:vAlign w:val="center"/>
          </w:tcPr>
          <w:p w14:paraId="71D9A23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55" w:type="pct"/>
            <w:vAlign w:val="center"/>
          </w:tcPr>
          <w:p w14:paraId="4530A09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发电</w:t>
            </w:r>
          </w:p>
          <w:p w14:paraId="758DE33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（万度）</w:t>
            </w:r>
          </w:p>
        </w:tc>
        <w:tc>
          <w:tcPr>
            <w:tcW w:w="662" w:type="pct"/>
            <w:vAlign w:val="center"/>
          </w:tcPr>
          <w:p w14:paraId="0C46D2F2" w14:textId="05274376"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平均单价</w:t>
            </w:r>
          </w:p>
        </w:tc>
        <w:tc>
          <w:tcPr>
            <w:tcW w:w="665" w:type="pct"/>
            <w:vAlign w:val="center"/>
          </w:tcPr>
          <w:p w14:paraId="1417551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结算金额</w:t>
            </w:r>
          </w:p>
          <w:p w14:paraId="5E2868F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c>
          <w:tcPr>
            <w:tcW w:w="555" w:type="pct"/>
            <w:vAlign w:val="center"/>
          </w:tcPr>
          <w:p w14:paraId="4F5081A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发电</w:t>
            </w:r>
          </w:p>
          <w:p w14:paraId="5E8A07E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（万度）</w:t>
            </w:r>
          </w:p>
        </w:tc>
        <w:tc>
          <w:tcPr>
            <w:tcW w:w="555" w:type="pct"/>
            <w:vAlign w:val="center"/>
          </w:tcPr>
          <w:p w14:paraId="705D2F6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平均单价</w:t>
            </w:r>
          </w:p>
          <w:p w14:paraId="41EFAAF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c>
          <w:tcPr>
            <w:tcW w:w="658" w:type="pct"/>
            <w:vAlign w:val="center"/>
          </w:tcPr>
          <w:p w14:paraId="227F13B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结算金额</w:t>
            </w:r>
          </w:p>
          <w:p w14:paraId="0023ED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r>
      <w:tr w:rsidR="003F2129" w:rsidRPr="00DA3766" w14:paraId="28722475" w14:textId="77777777" w:rsidTr="00BF5BFE">
        <w:trPr>
          <w:trHeight w:val="397"/>
          <w:jc w:val="center"/>
        </w:trPr>
        <w:tc>
          <w:tcPr>
            <w:tcW w:w="945" w:type="pct"/>
            <w:vAlign w:val="center"/>
          </w:tcPr>
          <w:p w14:paraId="44B403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河北省邯郸市复兴区</w:t>
            </w:r>
            <w:r w:rsidRPr="00DA3766">
              <w:rPr>
                <w:rFonts w:ascii="Times New Roman" w:hAnsi="Times New Roman" w:cs="Times New Roman"/>
                <w:color w:val="000000"/>
                <w:kern w:val="2"/>
                <w:sz w:val="21"/>
                <w:lang w:bidi="ar"/>
                <w14:ligatures w14:val="standardContextual"/>
              </w:rPr>
              <w:t>24MW</w:t>
            </w:r>
            <w:r w:rsidRPr="00DA3766">
              <w:rPr>
                <w:rFonts w:ascii="Times New Roman" w:hAnsi="Times New Roman" w:cs="Times New Roman"/>
                <w:color w:val="000000"/>
                <w:kern w:val="2"/>
                <w:sz w:val="21"/>
                <w:lang w:bidi="ar"/>
                <w14:ligatures w14:val="standardContextual"/>
              </w:rPr>
              <w:t>地面分布式光伏电站</w:t>
            </w:r>
          </w:p>
        </w:tc>
        <w:tc>
          <w:tcPr>
            <w:tcW w:w="406" w:type="pct"/>
            <w:vAlign w:val="center"/>
          </w:tcPr>
          <w:p w14:paraId="49005F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w:t>
            </w:r>
          </w:p>
        </w:tc>
        <w:tc>
          <w:tcPr>
            <w:tcW w:w="555" w:type="pct"/>
            <w:vAlign w:val="center"/>
          </w:tcPr>
          <w:p w14:paraId="2E51E75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2" w:type="pct"/>
            <w:vAlign w:val="center"/>
          </w:tcPr>
          <w:p w14:paraId="172417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5" w:type="pct"/>
            <w:vAlign w:val="center"/>
          </w:tcPr>
          <w:p w14:paraId="5EB6781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555" w:type="pct"/>
            <w:vAlign w:val="center"/>
          </w:tcPr>
          <w:p w14:paraId="192B30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1,424.84</w:t>
            </w:r>
          </w:p>
        </w:tc>
        <w:tc>
          <w:tcPr>
            <w:tcW w:w="555" w:type="pct"/>
            <w:vAlign w:val="center"/>
          </w:tcPr>
          <w:p w14:paraId="28F925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0.37</w:t>
            </w:r>
          </w:p>
        </w:tc>
        <w:tc>
          <w:tcPr>
            <w:tcW w:w="658" w:type="pct"/>
            <w:vAlign w:val="center"/>
          </w:tcPr>
          <w:p w14:paraId="792F58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526.94</w:t>
            </w:r>
          </w:p>
        </w:tc>
      </w:tr>
      <w:tr w:rsidR="003F2129" w:rsidRPr="00DA3766" w14:paraId="1C082837" w14:textId="77777777" w:rsidTr="00BF5BFE">
        <w:trPr>
          <w:trHeight w:val="397"/>
          <w:jc w:val="center"/>
        </w:trPr>
        <w:tc>
          <w:tcPr>
            <w:tcW w:w="945" w:type="pct"/>
            <w:vAlign w:val="center"/>
          </w:tcPr>
          <w:p w14:paraId="3DED5945" w14:textId="5BB6D22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山东</w:t>
            </w:r>
            <w:r w:rsidRPr="00DA3766">
              <w:rPr>
                <w:rFonts w:ascii="Times New Roman" w:hAnsi="Times New Roman" w:cs="Times New Roman"/>
                <w:color w:val="000000"/>
                <w:kern w:val="2"/>
                <w:sz w:val="21"/>
                <w:lang w:bidi="ar"/>
                <w14:ligatures w14:val="standardContextual"/>
              </w:rPr>
              <w:t>11.9MW</w:t>
            </w:r>
            <w:r w:rsidRPr="00DA3766">
              <w:rPr>
                <w:rFonts w:ascii="Times New Roman" w:hAnsi="Times New Roman" w:cs="Times New Roman"/>
                <w:color w:val="000000"/>
                <w:kern w:val="2"/>
                <w:sz w:val="21"/>
                <w:lang w:bidi="ar"/>
                <w14:ligatures w14:val="standardContextual"/>
              </w:rPr>
              <w:t>分布式光伏发电</w:t>
            </w:r>
          </w:p>
        </w:tc>
        <w:tc>
          <w:tcPr>
            <w:tcW w:w="406" w:type="pct"/>
            <w:vAlign w:val="center"/>
          </w:tcPr>
          <w:p w14:paraId="558691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w:t>
            </w:r>
          </w:p>
        </w:tc>
        <w:tc>
          <w:tcPr>
            <w:tcW w:w="555" w:type="pct"/>
            <w:vAlign w:val="center"/>
          </w:tcPr>
          <w:p w14:paraId="2694F26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169.43</w:t>
            </w:r>
          </w:p>
        </w:tc>
        <w:tc>
          <w:tcPr>
            <w:tcW w:w="662" w:type="pct"/>
            <w:vAlign w:val="center"/>
          </w:tcPr>
          <w:p w14:paraId="3B23BC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0.43</w:t>
            </w:r>
          </w:p>
        </w:tc>
        <w:tc>
          <w:tcPr>
            <w:tcW w:w="665" w:type="pct"/>
            <w:vAlign w:val="center"/>
          </w:tcPr>
          <w:p w14:paraId="6508E9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72.68</w:t>
            </w:r>
          </w:p>
        </w:tc>
        <w:tc>
          <w:tcPr>
            <w:tcW w:w="555" w:type="pct"/>
            <w:vAlign w:val="center"/>
          </w:tcPr>
          <w:p w14:paraId="21EDBC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1,013.59</w:t>
            </w:r>
          </w:p>
        </w:tc>
        <w:tc>
          <w:tcPr>
            <w:tcW w:w="555" w:type="pct"/>
            <w:vAlign w:val="center"/>
          </w:tcPr>
          <w:p w14:paraId="386FDA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0.38</w:t>
            </w:r>
          </w:p>
        </w:tc>
        <w:tc>
          <w:tcPr>
            <w:tcW w:w="658" w:type="pct"/>
            <w:vAlign w:val="center"/>
          </w:tcPr>
          <w:p w14:paraId="362DF4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380.16</w:t>
            </w:r>
          </w:p>
        </w:tc>
      </w:tr>
      <w:tr w:rsidR="003F2129" w:rsidRPr="00DA3766" w14:paraId="5525B7AA" w14:textId="77777777" w:rsidTr="00BF5BFE">
        <w:trPr>
          <w:trHeight w:val="397"/>
          <w:jc w:val="center"/>
        </w:trPr>
        <w:tc>
          <w:tcPr>
            <w:tcW w:w="945" w:type="pct"/>
            <w:vAlign w:val="center"/>
          </w:tcPr>
          <w:p w14:paraId="7FFB752F" w14:textId="3A14A2B4"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天宝实业</w:t>
            </w:r>
            <w:r w:rsidRPr="00DA3766">
              <w:rPr>
                <w:rFonts w:ascii="Times New Roman" w:hAnsi="Times New Roman" w:cs="Times New Roman"/>
                <w:color w:val="000000"/>
                <w:kern w:val="2"/>
                <w:sz w:val="21"/>
                <w:lang w:bidi="ar"/>
                <w14:ligatures w14:val="standardContextual"/>
              </w:rPr>
              <w:t>13.56MW</w:t>
            </w:r>
            <w:r w:rsidRPr="00DA3766">
              <w:rPr>
                <w:rFonts w:ascii="Times New Roman" w:hAnsi="Times New Roman" w:cs="Times New Roman"/>
                <w:color w:val="000000"/>
                <w:kern w:val="2"/>
                <w:sz w:val="21"/>
                <w:lang w:bidi="ar"/>
                <w14:ligatures w14:val="standardContextual"/>
              </w:rPr>
              <w:t>分布式光伏发电项目</w:t>
            </w:r>
          </w:p>
        </w:tc>
        <w:tc>
          <w:tcPr>
            <w:tcW w:w="406" w:type="pct"/>
            <w:vAlign w:val="center"/>
          </w:tcPr>
          <w:p w14:paraId="6CCB76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w:t>
            </w:r>
          </w:p>
        </w:tc>
        <w:tc>
          <w:tcPr>
            <w:tcW w:w="555" w:type="pct"/>
            <w:vAlign w:val="center"/>
          </w:tcPr>
          <w:p w14:paraId="548FB7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2" w:type="pct"/>
            <w:vAlign w:val="center"/>
          </w:tcPr>
          <w:p w14:paraId="286E07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5" w:type="pct"/>
            <w:vAlign w:val="center"/>
          </w:tcPr>
          <w:p w14:paraId="2019DF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555" w:type="pct"/>
            <w:vAlign w:val="center"/>
          </w:tcPr>
          <w:p w14:paraId="1BB126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1,066.08</w:t>
            </w:r>
          </w:p>
        </w:tc>
        <w:tc>
          <w:tcPr>
            <w:tcW w:w="555" w:type="pct"/>
            <w:vAlign w:val="center"/>
          </w:tcPr>
          <w:p w14:paraId="762853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0.81</w:t>
            </w:r>
          </w:p>
        </w:tc>
        <w:tc>
          <w:tcPr>
            <w:tcW w:w="658" w:type="pct"/>
            <w:vAlign w:val="center"/>
          </w:tcPr>
          <w:p w14:paraId="0415D8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860.23</w:t>
            </w:r>
          </w:p>
        </w:tc>
      </w:tr>
    </w:tbl>
    <w:p w14:paraId="2303E0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上市公司光伏项目中，山东有道轮胎有限公司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分布式光伏发电项目于</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年并网运营，其他项目均在</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年完成并网运营。伴随国家政策持续出台，电价机制已转向市场化竞争，未来电价将主要受供需情况影响。</w:t>
      </w:r>
    </w:p>
    <w:p w14:paraId="66CE561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（二）相关资产减值准备计提是否充分</w:t>
      </w:r>
    </w:p>
    <w:p w14:paraId="14C967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上市公司已经按照《企业会计准则第</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资产减值》相关规定于各资产负债表日进行资产减值迹象判断，并严格执行资产减值测试方法。报告期各期末，光伏发电业务进展顺利，客户需求稳定，截至本回复出具之日，前述光伏项目实现盈利能力均符合预期。综上所述，上市公司光伏项目相关资产未出现减值迹象，无需计提减值准备。</w:t>
      </w:r>
    </w:p>
    <w:p w14:paraId="0D9A4D75"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二、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14:paraId="739A4888"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（一）信托业务的具体情况及风险敞口，上市公司短期内转入转出相同数额资金的原因、资金去向</w:t>
      </w:r>
    </w:p>
    <w:p w14:paraId="00DD911B"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上市公司根据资金预算规划，于</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月向云南国际信托有限公司（以</w:t>
      </w:r>
      <w:r w:rsidRPr="00DA3766">
        <w:rPr>
          <w:rFonts w:ascii="Times New Roman" w:hAnsi="Times New Roman" w:cs="Times New Roman"/>
          <w:bCs/>
          <w:kern w:val="2"/>
          <w:szCs w:val="32"/>
        </w:rPr>
        <w:lastRenderedPageBreak/>
        <w:t>下简称</w:t>
      </w:r>
      <w:r w:rsidRPr="00DA3766">
        <w:rPr>
          <w:rFonts w:cs="Times New Roman"/>
          <w:bCs/>
          <w:kern w:val="2"/>
          <w:szCs w:val="32"/>
        </w:rPr>
        <w:t>“</w:t>
      </w:r>
      <w:r w:rsidRPr="00DA3766">
        <w:rPr>
          <w:rFonts w:ascii="Times New Roman" w:hAnsi="Times New Roman" w:cs="Times New Roman"/>
          <w:bCs/>
          <w:kern w:val="2"/>
          <w:szCs w:val="32"/>
        </w:rPr>
        <w:t>云南信托</w:t>
      </w:r>
      <w:r w:rsidRPr="00DA3766">
        <w:rPr>
          <w:rFonts w:cs="Times New Roman"/>
          <w:bCs/>
          <w:kern w:val="2"/>
          <w:szCs w:val="32"/>
        </w:rPr>
        <w:t>”</w:t>
      </w:r>
      <w:r w:rsidRPr="00DA3766">
        <w:rPr>
          <w:rFonts w:ascii="Times New Roman" w:hAnsi="Times New Roman" w:cs="Times New Roman"/>
          <w:bCs/>
          <w:kern w:val="2"/>
          <w:szCs w:val="32"/>
        </w:rPr>
        <w:t>）融入资金</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万元，相关资金已经于</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月到账。因融资活动属于非标准融资业务，因此公司将收到的融资资金</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万元在财务报表核算为其他流动负债，现金流量表计入</w:t>
      </w:r>
      <w:r w:rsidRPr="00DA3766">
        <w:rPr>
          <w:rFonts w:cs="Times New Roman"/>
          <w:bCs/>
          <w:kern w:val="2"/>
          <w:szCs w:val="32"/>
        </w:rPr>
        <w:t>“</w:t>
      </w:r>
      <w:r w:rsidRPr="00DA3766">
        <w:rPr>
          <w:rFonts w:ascii="Times New Roman" w:hAnsi="Times New Roman" w:cs="Times New Roman"/>
          <w:bCs/>
          <w:kern w:val="2"/>
          <w:szCs w:val="32"/>
        </w:rPr>
        <w:t>收到其他与筹资活动有关的现金</w:t>
      </w:r>
      <w:r w:rsidRPr="00DA3766">
        <w:rPr>
          <w:rFonts w:cs="Times New Roman"/>
          <w:bCs/>
          <w:kern w:val="2"/>
          <w:szCs w:val="32"/>
        </w:rPr>
        <w:t>”</w:t>
      </w:r>
      <w:r w:rsidRPr="00DA3766">
        <w:rPr>
          <w:rFonts w:ascii="Times New Roman" w:hAnsi="Times New Roman" w:cs="Times New Roman"/>
          <w:bCs/>
          <w:kern w:val="2"/>
          <w:szCs w:val="32"/>
        </w:rPr>
        <w:t>；</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年上半年因为金融市场利率下调，公司考虑资金成本因素，降低融资成本，公司及时进行置换，提前归还此笔融资，上市公司于</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5</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15</w:t>
      </w:r>
      <w:r w:rsidRPr="00DA3766">
        <w:rPr>
          <w:rFonts w:ascii="Times New Roman" w:hAnsi="Times New Roman" w:cs="Times New Roman"/>
          <w:bCs/>
          <w:kern w:val="2"/>
          <w:szCs w:val="32"/>
        </w:rPr>
        <w:t>日归还上述信托融资借款，资金从上市公司银行账户转账至云南国际信托有限公司银行账户，账务上将</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年归还的</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万元对应计入</w:t>
      </w:r>
      <w:r w:rsidRPr="00DA3766">
        <w:rPr>
          <w:rFonts w:cs="Times New Roman"/>
          <w:bCs/>
          <w:kern w:val="2"/>
          <w:szCs w:val="32"/>
        </w:rPr>
        <w:t>“</w:t>
      </w:r>
      <w:r w:rsidRPr="00DA3766">
        <w:rPr>
          <w:rFonts w:ascii="Times New Roman" w:hAnsi="Times New Roman" w:cs="Times New Roman"/>
          <w:bCs/>
          <w:kern w:val="2"/>
          <w:szCs w:val="32"/>
        </w:rPr>
        <w:t>支付的其他与筹资活动有关的现金</w:t>
      </w:r>
      <w:r w:rsidRPr="00DA3766">
        <w:rPr>
          <w:rFonts w:cs="Times New Roman"/>
          <w:bCs/>
          <w:kern w:val="2"/>
          <w:szCs w:val="32"/>
        </w:rPr>
        <w:t>”</w:t>
      </w:r>
      <w:r w:rsidRPr="00DA3766">
        <w:rPr>
          <w:rFonts w:ascii="Times New Roman" w:hAnsi="Times New Roman" w:cs="Times New Roman"/>
          <w:bCs/>
          <w:kern w:val="2"/>
          <w:szCs w:val="32"/>
        </w:rPr>
        <w:t>，该笔业务产生的融资手续费</w:t>
      </w:r>
      <w:r w:rsidRPr="00DA3766">
        <w:rPr>
          <w:rFonts w:ascii="Times New Roman" w:hAnsi="Times New Roman" w:cs="Times New Roman"/>
          <w:bCs/>
          <w:kern w:val="2"/>
          <w:szCs w:val="32"/>
        </w:rPr>
        <w:t>37</w:t>
      </w:r>
      <w:r w:rsidRPr="00DA3766">
        <w:rPr>
          <w:rFonts w:ascii="Times New Roman" w:hAnsi="Times New Roman" w:cs="Times New Roman"/>
          <w:bCs/>
          <w:kern w:val="2"/>
          <w:szCs w:val="32"/>
        </w:rPr>
        <w:t>万元计入财务费用科目核算。相关信托业务的具体过程如下：</w:t>
      </w:r>
    </w:p>
    <w:p w14:paraId="4F146A7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月，上市公司与云南信托签署《云南信托</w:t>
      </w:r>
      <w:r w:rsidRPr="00DA3766">
        <w:rPr>
          <w:rFonts w:ascii="Times New Roman" w:hAnsi="Times New Roman" w:cs="Times New Roman"/>
          <w:bCs/>
          <w:kern w:val="2"/>
          <w:szCs w:val="32"/>
        </w:rPr>
        <w:t>-</w:t>
      </w:r>
      <w:r w:rsidRPr="00DA3766">
        <w:rPr>
          <w:rFonts w:ascii="Times New Roman" w:hAnsi="Times New Roman" w:cs="Times New Roman"/>
          <w:bCs/>
          <w:kern w:val="2"/>
          <w:szCs w:val="32"/>
        </w:rPr>
        <w:t>翊屯</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号财产权信托信托合同》（合同编号：云信信</w:t>
      </w:r>
      <w:r w:rsidRPr="00DA3766">
        <w:rPr>
          <w:rFonts w:ascii="Times New Roman" w:hAnsi="Times New Roman" w:cs="Times New Roman"/>
          <w:bCs/>
          <w:kern w:val="2"/>
          <w:szCs w:val="32"/>
        </w:rPr>
        <w:t>2022-1543</w:t>
      </w:r>
      <w:r w:rsidRPr="00DA3766">
        <w:rPr>
          <w:rFonts w:ascii="Times New Roman" w:hAnsi="Times New Roman" w:cs="Times New Roman"/>
          <w:bCs/>
          <w:kern w:val="2"/>
          <w:szCs w:val="32"/>
        </w:rPr>
        <w:t>号），将</w:t>
      </w:r>
      <w:r w:rsidRPr="00DA3766">
        <w:rPr>
          <w:rFonts w:ascii="Times New Roman" w:hAnsi="Times New Roman" w:cs="Times New Roman"/>
          <w:bCs/>
          <w:kern w:val="2"/>
          <w:szCs w:val="32"/>
        </w:rPr>
        <w:t>17</w:t>
      </w:r>
      <w:r w:rsidRPr="00DA3766">
        <w:rPr>
          <w:rFonts w:ascii="Times New Roman" w:hAnsi="Times New Roman" w:cs="Times New Roman"/>
          <w:bCs/>
          <w:kern w:val="2"/>
          <w:szCs w:val="32"/>
        </w:rPr>
        <w:t>个项目对应的应收账款</w:t>
      </w:r>
      <w:bookmarkStart w:id="290" w:name="_Hlk218896524"/>
      <w:r w:rsidRPr="00DA3766">
        <w:rPr>
          <w:rFonts w:ascii="Times New Roman" w:hAnsi="Times New Roman" w:cs="Times New Roman"/>
          <w:bCs/>
          <w:kern w:val="2"/>
          <w:szCs w:val="32"/>
        </w:rPr>
        <w:t>总计</w:t>
      </w:r>
      <w:r w:rsidRPr="00DA3766">
        <w:rPr>
          <w:rFonts w:ascii="Times New Roman" w:hAnsi="Times New Roman" w:cs="Times New Roman"/>
          <w:bCs/>
          <w:kern w:val="2"/>
          <w:szCs w:val="32"/>
        </w:rPr>
        <w:t>2,041.59</w:t>
      </w:r>
      <w:bookmarkEnd w:id="290"/>
      <w:r w:rsidRPr="00DA3766">
        <w:rPr>
          <w:rFonts w:ascii="Times New Roman" w:hAnsi="Times New Roman" w:cs="Times New Roman"/>
          <w:bCs/>
          <w:kern w:val="2"/>
          <w:szCs w:val="32"/>
        </w:rPr>
        <w:t>万元转让予云南信托有限公司，用于设立云南信托</w:t>
      </w:r>
      <w:r w:rsidRPr="00DA3766">
        <w:rPr>
          <w:rFonts w:ascii="Times New Roman" w:hAnsi="Times New Roman" w:cs="Times New Roman"/>
          <w:bCs/>
          <w:kern w:val="2"/>
          <w:szCs w:val="32"/>
        </w:rPr>
        <w:t>—</w:t>
      </w:r>
      <w:r w:rsidRPr="00DA3766">
        <w:rPr>
          <w:rFonts w:ascii="Times New Roman" w:hAnsi="Times New Roman" w:cs="Times New Roman"/>
          <w:bCs/>
          <w:kern w:val="2"/>
          <w:szCs w:val="32"/>
        </w:rPr>
        <w:t>翊屯</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号财产权信托（受益人为上市公司），对应信托规模</w:t>
      </w:r>
      <w:r w:rsidRPr="00DA3766">
        <w:rPr>
          <w:rFonts w:ascii="Times New Roman" w:hAnsi="Times New Roman" w:cs="Times New Roman"/>
          <w:bCs/>
          <w:kern w:val="2"/>
          <w:szCs w:val="32"/>
        </w:rPr>
        <w:t>1,796.60</w:t>
      </w:r>
      <w:r w:rsidRPr="00DA3766">
        <w:rPr>
          <w:rFonts w:ascii="Times New Roman" w:hAnsi="Times New Roman" w:cs="Times New Roman"/>
          <w:bCs/>
          <w:kern w:val="2"/>
          <w:szCs w:val="32"/>
        </w:rPr>
        <w:t>万元（对应信托单位数量为</w:t>
      </w:r>
      <w:r w:rsidRPr="00DA3766">
        <w:rPr>
          <w:rFonts w:ascii="Times New Roman" w:hAnsi="Times New Roman" w:cs="Times New Roman"/>
          <w:bCs/>
          <w:kern w:val="2"/>
          <w:szCs w:val="32"/>
        </w:rPr>
        <w:t>1,796.60</w:t>
      </w:r>
      <w:r w:rsidRPr="00DA3766">
        <w:rPr>
          <w:rFonts w:ascii="Times New Roman" w:hAnsi="Times New Roman" w:cs="Times New Roman"/>
          <w:bCs/>
          <w:kern w:val="2"/>
          <w:szCs w:val="32"/>
        </w:rPr>
        <w:t>万份），该部分应收账款预计将于</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年到期。</w:t>
      </w:r>
    </w:p>
    <w:p w14:paraId="5D46014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月，华兴银行与云南信托签署了《云南信托</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翊屯</w:t>
      </w:r>
      <w:r w:rsidRPr="00DA3766">
        <w:rPr>
          <w:rFonts w:ascii="Times New Roman" w:hAnsi="Times New Roman" w:cs="Times New Roman"/>
          <w:kern w:val="2"/>
          <w14:ligatures w14:val="standardContextual"/>
        </w:rPr>
        <w:t>11</w:t>
      </w:r>
      <w:r w:rsidRPr="00DA3766">
        <w:rPr>
          <w:rFonts w:ascii="Times New Roman" w:hAnsi="Times New Roman" w:cs="Times New Roman"/>
          <w:kern w:val="2"/>
          <w14:ligatures w14:val="standardContextual"/>
        </w:rPr>
        <w:t>号财产权信托信托单位认购投资协议》（合同编号：云信信</w:t>
      </w:r>
      <w:r w:rsidRPr="00DA3766">
        <w:rPr>
          <w:rFonts w:ascii="Times New Roman" w:hAnsi="Times New Roman" w:cs="Times New Roman"/>
          <w:kern w:val="2"/>
          <w14:ligatures w14:val="standardContextual"/>
        </w:rPr>
        <w:t>2022-1543</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-TZ</w:t>
      </w:r>
      <w:r w:rsidRPr="00DA3766">
        <w:rPr>
          <w:rFonts w:ascii="Times New Roman" w:hAnsi="Times New Roman" w:cs="Times New Roman"/>
          <w:kern w:val="2"/>
          <w14:ligatures w14:val="standardContextual"/>
        </w:rPr>
        <w:t>），以</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万元认购了</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万信托份额。云南信托根据《信托合同》及相关附件，向天亿马支付了</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万元信托对价，至此天亿马持有本信托</w:t>
      </w:r>
      <w:r w:rsidRPr="00DA3766">
        <w:rPr>
          <w:rFonts w:ascii="Times New Roman" w:hAnsi="Times New Roman" w:cs="Times New Roman"/>
          <w:kern w:val="2"/>
          <w14:ligatures w14:val="standardContextual"/>
        </w:rPr>
        <w:t>36.60</w:t>
      </w:r>
      <w:r w:rsidRPr="00DA3766">
        <w:rPr>
          <w:rFonts w:ascii="Times New Roman" w:hAnsi="Times New Roman" w:cs="Times New Roman"/>
          <w:kern w:val="2"/>
          <w14:ligatures w14:val="standardContextual"/>
        </w:rPr>
        <w:t>万元信托份额，华兴银行持有本信托</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万元信托份额，天亿马及华兴银行均为本信托受益人。</w:t>
      </w:r>
    </w:p>
    <w:p w14:paraId="61AC954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月，上市公司与云南信托签订《应收账款转让合同》（合同编号：云信信</w:t>
      </w:r>
      <w:r w:rsidRPr="00DA3766">
        <w:rPr>
          <w:rFonts w:ascii="Times New Roman" w:hAnsi="Times New Roman" w:cs="Times New Roman"/>
          <w:kern w:val="2"/>
          <w14:ligatures w14:val="standardContextual"/>
        </w:rPr>
        <w:t>2022-1543</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-ZR</w:t>
      </w:r>
      <w:r w:rsidRPr="00DA3766">
        <w:rPr>
          <w:rFonts w:ascii="Times New Roman" w:hAnsi="Times New Roman" w:cs="Times New Roman"/>
          <w:kern w:val="2"/>
          <w14:ligatures w14:val="standardContextual"/>
        </w:rPr>
        <w:t>），云南信托将信托项下全部</w:t>
      </w:r>
      <w:r w:rsidRPr="00DA3766">
        <w:rPr>
          <w:rFonts w:ascii="Times New Roman" w:hAnsi="Times New Roman" w:cs="Times New Roman"/>
          <w:kern w:val="2"/>
          <w14:ligatures w14:val="standardContextual"/>
        </w:rPr>
        <w:t>17</w:t>
      </w:r>
      <w:r w:rsidRPr="00DA3766">
        <w:rPr>
          <w:rFonts w:ascii="Times New Roman" w:hAnsi="Times New Roman" w:cs="Times New Roman"/>
          <w:kern w:val="2"/>
          <w14:ligatures w14:val="standardContextual"/>
        </w:rPr>
        <w:t>个项目对应的应收账款，总计</w:t>
      </w:r>
      <w:r w:rsidRPr="00DA3766">
        <w:rPr>
          <w:rFonts w:ascii="Times New Roman" w:hAnsi="Times New Roman" w:cs="Times New Roman"/>
          <w:kern w:val="2"/>
          <w14:ligatures w14:val="standardContextual"/>
        </w:rPr>
        <w:t>2,041.59</w:t>
      </w:r>
      <w:r w:rsidRPr="00DA3766">
        <w:rPr>
          <w:rFonts w:ascii="Times New Roman" w:hAnsi="Times New Roman" w:cs="Times New Roman"/>
          <w:kern w:val="2"/>
          <w14:ligatures w14:val="standardContextual"/>
        </w:rPr>
        <w:t>万元转让给上市公司，转让对价为</w:t>
      </w:r>
      <w:r w:rsidRPr="00DA3766">
        <w:rPr>
          <w:rFonts w:ascii="Times New Roman" w:hAnsi="Times New Roman" w:cs="Times New Roman"/>
          <w:kern w:val="2"/>
          <w14:ligatures w14:val="standardContextual"/>
        </w:rPr>
        <w:t>1,797.00</w:t>
      </w:r>
      <w:r w:rsidRPr="00DA3766">
        <w:rPr>
          <w:rFonts w:ascii="Times New Roman" w:hAnsi="Times New Roman" w:cs="Times New Roman"/>
          <w:kern w:val="2"/>
          <w14:ligatures w14:val="standardContextual"/>
        </w:rPr>
        <w:t>万元。云南信托在完成与华兴银行信托份额赎回后，信托计划终止。</w:t>
      </w:r>
    </w:p>
    <w:p w14:paraId="34E7A86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前述信托业务系上市公司出于自身资金规划所进行的资金融通活动，标的资产为</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年到期的应收账款，该业务不会对上市公司经营活动产生重大不利影响，也不影响公司控制权稳定和股权清晰。公司已于</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年完成置换，终止该信托业务，相关事项影响已经消除。</w:t>
      </w:r>
    </w:p>
    <w:p w14:paraId="36332DB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（二）对手方情况，是否为上市公司客户、供应商、控股股东、实控人或同其存在关联关系、潜在关联关系或其他利益安排，是否存在资金占用、利益输送、体外资金循环情形</w:t>
      </w:r>
    </w:p>
    <w:p w14:paraId="646D79DA"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云南国际信托有限公司成立于</w:t>
      </w:r>
      <w:r w:rsidRPr="00DA3766">
        <w:rPr>
          <w:rFonts w:ascii="Times New Roman" w:hAnsi="Times New Roman" w:cs="Times New Roman"/>
          <w:kern w:val="2"/>
          <w14:ligatures w14:val="standardContextual"/>
        </w:rPr>
        <w:t>1991</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2003</w:t>
      </w:r>
      <w:r w:rsidRPr="00DA3766">
        <w:rPr>
          <w:rFonts w:ascii="Times New Roman" w:hAnsi="Times New Roman" w:cs="Times New Roman"/>
          <w:kern w:val="2"/>
          <w14:ligatures w14:val="standardContextual"/>
        </w:rPr>
        <w:t>年经人民银行批准，由原云南省国际信托投资公司增资改制后重新登记为非银行金融机构，</w:t>
      </w:r>
      <w:r w:rsidRPr="00DA3766">
        <w:rPr>
          <w:rFonts w:ascii="Times New Roman" w:hAnsi="Times New Roman" w:cs="Times New Roman"/>
          <w:kern w:val="2"/>
          <w14:ligatures w14:val="standardContextual"/>
        </w:rPr>
        <w:t>2007</w:t>
      </w:r>
      <w:r w:rsidRPr="00DA3766">
        <w:rPr>
          <w:rFonts w:ascii="Times New Roman" w:hAnsi="Times New Roman" w:cs="Times New Roman"/>
          <w:kern w:val="2"/>
          <w14:ligatures w14:val="standardContextual"/>
        </w:rPr>
        <w:t>年根据《信托公司管理办法》的有关规定，经中国银行业监督管理委员会批准同意，换领《中华人民共和国金融许可证》，具体工商信息如下：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7145"/>
      </w:tblGrid>
      <w:tr w:rsidR="003F2129" w:rsidRPr="00DA3766" w14:paraId="2852C2D2" w14:textId="77777777" w:rsidTr="00DA3766">
        <w:trPr>
          <w:trHeight w:val="397"/>
          <w:jc w:val="center"/>
        </w:trPr>
        <w:tc>
          <w:tcPr>
            <w:tcW w:w="811" w:type="pct"/>
            <w:vAlign w:val="center"/>
          </w:tcPr>
          <w:p w14:paraId="56E89F1F"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公司名称</w:t>
            </w:r>
          </w:p>
        </w:tc>
        <w:tc>
          <w:tcPr>
            <w:tcW w:w="4189" w:type="pct"/>
            <w:vAlign w:val="center"/>
          </w:tcPr>
          <w:p w14:paraId="352D5CED"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云南国际信托有限公司</w:t>
            </w:r>
          </w:p>
        </w:tc>
      </w:tr>
      <w:tr w:rsidR="003F2129" w:rsidRPr="00DA3766" w14:paraId="450CEA06" w14:textId="77777777" w:rsidTr="00DA3766">
        <w:trPr>
          <w:trHeight w:val="397"/>
          <w:jc w:val="center"/>
        </w:trPr>
        <w:tc>
          <w:tcPr>
            <w:tcW w:w="811" w:type="pct"/>
            <w:vAlign w:val="center"/>
          </w:tcPr>
          <w:p w14:paraId="0A08BA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统一社会信用代码</w:t>
            </w:r>
          </w:p>
        </w:tc>
        <w:tc>
          <w:tcPr>
            <w:tcW w:w="4189" w:type="pct"/>
            <w:vAlign w:val="center"/>
          </w:tcPr>
          <w:p w14:paraId="0BD9FE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91530000709711504J</w:t>
            </w:r>
          </w:p>
        </w:tc>
      </w:tr>
      <w:tr w:rsidR="003F2129" w:rsidRPr="00DA3766" w14:paraId="5CF87202" w14:textId="77777777" w:rsidTr="00DA3766">
        <w:trPr>
          <w:trHeight w:val="397"/>
          <w:jc w:val="center"/>
        </w:trPr>
        <w:tc>
          <w:tcPr>
            <w:tcW w:w="811" w:type="pct"/>
            <w:vAlign w:val="center"/>
          </w:tcPr>
          <w:p w14:paraId="1B7ACF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89" w:type="pct"/>
            <w:vAlign w:val="center"/>
          </w:tcPr>
          <w:p w14:paraId="517A54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1991-02-11</w:t>
            </w:r>
          </w:p>
        </w:tc>
      </w:tr>
      <w:tr w:rsidR="003F2129" w:rsidRPr="00DA3766" w14:paraId="49308DB3" w14:textId="77777777" w:rsidTr="00DA3766">
        <w:trPr>
          <w:trHeight w:val="397"/>
          <w:jc w:val="center"/>
        </w:trPr>
        <w:tc>
          <w:tcPr>
            <w:tcW w:w="811" w:type="pct"/>
            <w:vAlign w:val="center"/>
          </w:tcPr>
          <w:p w14:paraId="423AA2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89" w:type="pct"/>
            <w:vAlign w:val="center"/>
          </w:tcPr>
          <w:p w14:paraId="5E74FD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220,000.00</w:t>
            </w:r>
            <w:r w:rsidRPr="00DA3766">
              <w:rPr>
                <w:rFonts w:ascii="Times New Roman" w:hAnsi="Times New Roman" w:cs="Times New Roman"/>
                <w:color w:val="000000"/>
                <w:kern w:val="2"/>
                <w:sz w:val="21"/>
                <w14:ligatures w14:val="standardContextual"/>
              </w:rPr>
              <w:t>万元</w:t>
            </w:r>
            <w:r w:rsidRPr="00DA3766">
              <w:rPr>
                <w:rFonts w:ascii="Times New Roman" w:hAnsi="Times New Roman" w:cs="Times New Roman"/>
                <w:color w:val="000000"/>
                <w:kern w:val="2"/>
                <w:sz w:val="21"/>
                <w14:ligatures w14:val="standardContextual"/>
              </w:rPr>
              <w:tab/>
            </w:r>
          </w:p>
        </w:tc>
      </w:tr>
      <w:tr w:rsidR="003F2129" w:rsidRPr="00DA3766" w14:paraId="125E7AFB" w14:textId="77777777" w:rsidTr="00DA3766">
        <w:trPr>
          <w:trHeight w:val="397"/>
          <w:jc w:val="center"/>
        </w:trPr>
        <w:tc>
          <w:tcPr>
            <w:tcW w:w="811" w:type="pct"/>
            <w:vAlign w:val="center"/>
          </w:tcPr>
          <w:p w14:paraId="66B8E6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89" w:type="pct"/>
            <w:vAlign w:val="center"/>
          </w:tcPr>
          <w:p w14:paraId="5E76E5E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甘煜</w:t>
            </w:r>
          </w:p>
        </w:tc>
      </w:tr>
      <w:tr w:rsidR="003F2129" w:rsidRPr="00DA3766" w14:paraId="76A0AB7F" w14:textId="77777777" w:rsidTr="00DA3766">
        <w:trPr>
          <w:trHeight w:val="397"/>
          <w:jc w:val="center"/>
        </w:trPr>
        <w:tc>
          <w:tcPr>
            <w:tcW w:w="811" w:type="pct"/>
            <w:vAlign w:val="center"/>
          </w:tcPr>
          <w:p w14:paraId="4DA09B2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89" w:type="pct"/>
            <w:vAlign w:val="center"/>
          </w:tcPr>
          <w:p w14:paraId="256D8C0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云南省昆明市南屏街（云南国托大厦）</w:t>
            </w:r>
          </w:p>
        </w:tc>
      </w:tr>
      <w:tr w:rsidR="003F2129" w:rsidRPr="00DA3766" w14:paraId="627284D1" w14:textId="77777777" w:rsidTr="00DA3766">
        <w:trPr>
          <w:trHeight w:val="397"/>
          <w:jc w:val="center"/>
        </w:trPr>
        <w:tc>
          <w:tcPr>
            <w:tcW w:w="811" w:type="pct"/>
            <w:vAlign w:val="center"/>
          </w:tcPr>
          <w:p w14:paraId="0CE01C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主要股东</w:t>
            </w:r>
          </w:p>
        </w:tc>
        <w:tc>
          <w:tcPr>
            <w:tcW w:w="4189" w:type="pct"/>
            <w:vAlign w:val="center"/>
          </w:tcPr>
          <w:p w14:paraId="0CB6F8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云南省国有金融资本控股集团有限公司持股</w:t>
            </w:r>
            <w:r w:rsidRPr="00DA3766">
              <w:rPr>
                <w:rFonts w:ascii="Times New Roman" w:hAnsi="Times New Roman" w:cs="Times New Roman"/>
                <w:color w:val="000000"/>
                <w:kern w:val="2"/>
                <w:sz w:val="21"/>
                <w14:ligatures w14:val="standardContextual"/>
              </w:rPr>
              <w:t>25.00%</w:t>
            </w:r>
            <w:r w:rsidRPr="00DA3766">
              <w:rPr>
                <w:rFonts w:ascii="Times New Roman" w:hAnsi="Times New Roman" w:cs="Times New Roman"/>
                <w:color w:val="000000"/>
                <w:kern w:val="2"/>
                <w:sz w:val="21"/>
                <w14:ligatures w14:val="standardContextual"/>
              </w:rPr>
              <w:t>，涌金实业（集团）有限公司持股</w:t>
            </w:r>
            <w:r w:rsidRPr="00DA3766">
              <w:rPr>
                <w:rFonts w:ascii="Times New Roman" w:hAnsi="Times New Roman" w:cs="Times New Roman"/>
                <w:color w:val="000000"/>
                <w:kern w:val="2"/>
                <w:sz w:val="21"/>
                <w14:ligatures w14:val="standardContextual"/>
              </w:rPr>
              <w:t>24.50%</w:t>
            </w:r>
            <w:r w:rsidRPr="00DA3766">
              <w:rPr>
                <w:rFonts w:ascii="Times New Roman" w:hAnsi="Times New Roman" w:cs="Times New Roman"/>
                <w:color w:val="000000"/>
                <w:kern w:val="2"/>
                <w:sz w:val="21"/>
                <w14:ligatures w14:val="standardContextual"/>
              </w:rPr>
              <w:t>，上海纳米创业投资有限公司持股</w:t>
            </w:r>
            <w:r w:rsidRPr="00DA3766">
              <w:rPr>
                <w:rFonts w:ascii="Times New Roman" w:hAnsi="Times New Roman" w:cs="Times New Roman"/>
                <w:color w:val="000000"/>
                <w:kern w:val="2"/>
                <w:sz w:val="21"/>
                <w14:ligatures w14:val="standardContextual"/>
              </w:rPr>
              <w:t>23.00%</w:t>
            </w:r>
            <w:r w:rsidRPr="00DA3766">
              <w:rPr>
                <w:rFonts w:ascii="Times New Roman" w:hAnsi="Times New Roman" w:cs="Times New Roman"/>
                <w:color w:val="000000"/>
                <w:kern w:val="2"/>
                <w:sz w:val="21"/>
                <w14:ligatures w14:val="standardContextual"/>
              </w:rPr>
              <w:t>，北京知金科技投资有限公司持股</w:t>
            </w:r>
            <w:r w:rsidRPr="00DA3766">
              <w:rPr>
                <w:rFonts w:ascii="Times New Roman" w:hAnsi="Times New Roman" w:cs="Times New Roman"/>
                <w:color w:val="000000"/>
                <w:kern w:val="2"/>
                <w:sz w:val="21"/>
                <w14:ligatures w14:val="standardContextual"/>
              </w:rPr>
              <w:t>17.50%</w:t>
            </w:r>
            <w:r w:rsidRPr="00DA3766">
              <w:rPr>
                <w:rFonts w:ascii="Times New Roman" w:hAnsi="Times New Roman" w:cs="Times New Roman"/>
                <w:color w:val="000000"/>
                <w:kern w:val="2"/>
                <w:sz w:val="21"/>
                <w14:ligatures w14:val="standardContextual"/>
              </w:rPr>
              <w:t>，深圳中民电商控股有限公司持股</w:t>
            </w:r>
            <w:r w:rsidRPr="00DA3766">
              <w:rPr>
                <w:rFonts w:ascii="Times New Roman" w:hAnsi="Times New Roman" w:cs="Times New Roman"/>
                <w:color w:val="000000"/>
                <w:kern w:val="2"/>
                <w:sz w:val="21"/>
                <w14:ligatures w14:val="standardContextual"/>
              </w:rPr>
              <w:t>7.50%</w:t>
            </w:r>
            <w:r w:rsidRPr="00DA3766">
              <w:rPr>
                <w:rFonts w:ascii="Times New Roman" w:hAnsi="Times New Roman" w:cs="Times New Roman"/>
                <w:color w:val="000000"/>
                <w:kern w:val="2"/>
                <w:sz w:val="21"/>
                <w14:ligatures w14:val="standardContextual"/>
              </w:rPr>
              <w:t>，云南合和（集团）股份有限公持股</w:t>
            </w:r>
            <w:r w:rsidRPr="00DA3766">
              <w:rPr>
                <w:rFonts w:ascii="Times New Roman" w:hAnsi="Times New Roman" w:cs="Times New Roman"/>
                <w:color w:val="000000"/>
                <w:kern w:val="2"/>
                <w:sz w:val="21"/>
                <w14:ligatures w14:val="standardContextual"/>
              </w:rPr>
              <w:t>2.50%</w:t>
            </w:r>
          </w:p>
        </w:tc>
      </w:tr>
      <w:tr w:rsidR="003F2129" w:rsidRPr="00DA3766" w14:paraId="48C6E4ED" w14:textId="77777777" w:rsidTr="00DA3766">
        <w:trPr>
          <w:trHeight w:val="397"/>
          <w:jc w:val="center"/>
        </w:trPr>
        <w:tc>
          <w:tcPr>
            <w:tcW w:w="811" w:type="pct"/>
            <w:vAlign w:val="center"/>
          </w:tcPr>
          <w:p w14:paraId="5E5E2B4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89" w:type="pct"/>
            <w:vAlign w:val="center"/>
          </w:tcPr>
          <w:p w14:paraId="5DB01F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金信托；动产信托；不动产信托；有价证券信托；其他财产或财产权信托；作为投资基金或基金管理公司的发起人从事投资基金业务；经营企业资产的重组、购并及项目融资、公司理财、财务顾问等业务；受托经营国务院有关部门批准的证券承销业务；办理居间、咨询、资信调查等业务；代保管及保管箱业务；以存放同业、拆放同业、贷款、租赁、投资方式运用固有财产；以固有财产为他人提供担保；从事同业拆借；法律法规规定或中国银行业监督管理委员会批准的其他业务。</w:t>
            </w:r>
          </w:p>
        </w:tc>
      </w:tr>
    </w:tbl>
    <w:p w14:paraId="114939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云南信托系依法设立的专业信托金融机构，除本次交易外，不存在为上市公司客户、供应商、控股股东、实控人或同其存在关联关系、潜在关联关系或其他利益安排的情形，上述业务不存在资金占用、利益输送、体外资金循环情形。</w:t>
      </w:r>
    </w:p>
    <w:p w14:paraId="65A4E9BF"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bookmarkStart w:id="291" w:name="_Toc220344126"/>
      <w:r w:rsidRPr="00DA3766">
        <w:rPr>
          <w:rFonts w:ascii="Times New Roman" w:hAnsi="Times New Roman" w:cs="Times New Roman"/>
          <w:b/>
          <w:bCs/>
          <w:kern w:val="2"/>
          <w:szCs w:val="28"/>
        </w:rPr>
        <w:t>十三、独立财务顾问核查过程及核查意见</w:t>
      </w:r>
    </w:p>
    <w:p w14:paraId="02A834B5"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（一）核查程序</w:t>
      </w:r>
    </w:p>
    <w:p w14:paraId="09FAC1F3"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针对前述事项，独立财务顾问主要实施了以下核查程序：</w:t>
      </w:r>
    </w:p>
    <w:p w14:paraId="73EF319D"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、取得上市公司定期报告及审计报告，核查公司业务模式、主要会计政策、财务数据以及变动趋势、原因等情况；</w:t>
      </w:r>
    </w:p>
    <w:p w14:paraId="3A4F368F"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2</w:t>
      </w:r>
      <w:r w:rsidRPr="00DA3766">
        <w:rPr>
          <w:rFonts w:ascii="Times New Roman" w:hAnsi="Times New Roman" w:cs="Times New Roman"/>
          <w:kern w:val="2"/>
          <w:szCs w:val="22"/>
        </w:rPr>
        <w:t>、取得上市公司可比公司的定期报告及审计报告，核查可比公司业务模式、主要会计政策、财务数据以及相关变动趋势，分析变动趋势一致性及合理性；</w:t>
      </w:r>
    </w:p>
    <w:p w14:paraId="0BECD11D"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、查阅上市公司各业务领域的研究报告，了解行业发展空间、趋势以及市场竞争情况；</w:t>
      </w:r>
    </w:p>
    <w:p w14:paraId="171EEBC0"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获取报告期内上市公司贸易业务的购销明细、合同、结算单、及银行收付款凭证，对主要贸易业务进行细节测试，检查业务的真实性及合理性；结合业务模式及实际开展情况，判断公司会计处理的准确性；核查报告期后销售回款及采购付款情况，关注是否存在异常资金流转；通过天眼查等对主要贸易客户及供应商进行背景调查，重点关其是否与上市公司存在关联关系，并通过访谈程序注确认相关产品最终销售情况；</w:t>
      </w:r>
      <w:r w:rsidRPr="00DA3766" w:rsidDel="00174CDD">
        <w:rPr>
          <w:rFonts w:ascii="Times New Roman" w:hAnsi="Times New Roman" w:cs="Times New Roman"/>
          <w:kern w:val="2"/>
          <w:szCs w:val="22"/>
        </w:rPr>
        <w:t xml:space="preserve"> </w:t>
      </w:r>
    </w:p>
    <w:p w14:paraId="1846F0A8"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、针对报告期各年第四季度，特别是</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份确认收入的项目，抽取金额重大或合同签订与验收日期临近日期的项目样本，获取其销售合同、立项文件、进度确认资料、验收报告等全套支持性文件，对比分析合同签订时点、履约进度、验收时点与收入确认时点的间隔，评估收入确认时点是否符合《企业会计准则》及公司会计政策；</w:t>
      </w:r>
    </w:p>
    <w:p w14:paraId="748B1094"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、对重要客户执行函证程序或检查会计师函证底稿，确认交易额及验收条款；</w:t>
      </w:r>
    </w:p>
    <w:p w14:paraId="1607FCC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获取报告期各期末应收账款账龄明细表，获取重要客户交易合同及验收（签收）单据，核查账龄的准确性；通过企查查等公开渠道对主要客户进行背景调查，重点关注其股权结构及经营状况，核查其是否与公司关联关系等；根据公司的坏账计提政策，验证坏账计提的准确性，同时与同行业上市公司坏账计提比例进行比较，以核实公司的坏账计提是否充分；</w:t>
      </w:r>
      <w:r w:rsidRPr="00DA3766">
        <w:rPr>
          <w:rFonts w:ascii="Times New Roman" w:hAnsi="Times New Roman" w:cs="Times New Roman"/>
          <w:kern w:val="2"/>
          <w14:ligatures w14:val="standardContextual"/>
        </w:rPr>
        <w:t xml:space="preserve"> </w:t>
      </w:r>
    </w:p>
    <w:p w14:paraId="4B78E6E9"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了解在产品成本核算方法，抽取部分项目执行重新计算程序，以验证公司在产品成本核算的准确性和合理性；获取报告期各期末在产品明细表，对期末余额较大的项目获取销相关文件，根据公司的立项时间、对应项目的预计完工时间判断该项目未结转的合理性，同时复核年审会计师监盘程序和函证程序，抽取重大项目实地查看并对相关项目的供应商进行函证，以验证项目的真实性；</w:t>
      </w:r>
    </w:p>
    <w:p w14:paraId="783F4E3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color w:val="EE0000"/>
          <w:kern w:val="2"/>
          <w14:ligatures w14:val="standardContextual"/>
        </w:rPr>
      </w:pP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、检索并查阅算力服务、光伏发电行业的国家及地方产业政策、行业标准；</w:t>
      </w:r>
      <w:r w:rsidRPr="00DA3766">
        <w:rPr>
          <w:rFonts w:ascii="Times New Roman" w:hAnsi="Times New Roman" w:cs="Times New Roman"/>
          <w:kern w:val="2"/>
          <w14:ligatures w14:val="standardContextual"/>
        </w:rPr>
        <w:lastRenderedPageBreak/>
        <w:t>查阅权威研究机构发布的行业研究报告，了解行业的市场规模、增长驱动因素、竞争格局及未来发展趋势；综合分析行业环境与公司业务的关联性，评估相关政策变动及市场空间对公司持续经营能力的影响；</w:t>
      </w:r>
    </w:p>
    <w:p w14:paraId="2FA8581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10</w:t>
      </w:r>
      <w:r w:rsidRPr="00DA3766">
        <w:rPr>
          <w:rFonts w:ascii="Times New Roman" w:hAnsi="Times New Roman" w:cs="Times New Roman"/>
          <w:kern w:val="2"/>
          <w14:ligatures w14:val="standardContextual"/>
        </w:rPr>
        <w:t>、根据公开信息查询从事算力服务的上市公司其算力设备的获取方式与公司是否存在重大差异；对公司算力设备的供应商进行背景调查，重点关注其是否与公司存在关联关系，同时对设备采购价同期市场价格进行对比，论证设备采购价格的公允性；对公司有关人员进行访谈，了解该项业务的开展背景，获取中国移动深圳分公司发布的甄选结果通知，以论证算力设备交付时间较短的合理性；</w:t>
      </w:r>
    </w:p>
    <w:p w14:paraId="6848488A"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11</w:t>
      </w:r>
      <w:r w:rsidRPr="00DA3766">
        <w:rPr>
          <w:rFonts w:ascii="Times New Roman" w:hAnsi="Times New Roman" w:cs="Times New Roman"/>
          <w:kern w:val="2"/>
          <w14:ligatures w14:val="standardContextual"/>
        </w:rPr>
        <w:t>、获取算力、光伏项目的可行性研究报告、公告文件、主要设备采购合同、招投标或比价资料、付款凭证及竣工决算报告；</w:t>
      </w:r>
    </w:p>
    <w:p w14:paraId="3813BC5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、获取从事</w:t>
      </w:r>
      <w:r w:rsidRPr="00DA3766">
        <w:rPr>
          <w:rFonts w:cs="Times New Roman"/>
          <w:kern w:val="2"/>
          <w14:ligatures w14:val="standardContextual"/>
        </w:rPr>
        <w:t>“</w:t>
      </w:r>
      <w:r w:rsidRPr="00DA3766">
        <w:rPr>
          <w:rFonts w:ascii="Times New Roman" w:hAnsi="Times New Roman" w:cs="Times New Roman"/>
          <w:kern w:val="2"/>
          <w14:ligatures w14:val="standardContextual"/>
        </w:rPr>
        <w:t>算力业务及光伏发电业务</w:t>
      </w:r>
      <w:r w:rsidRPr="00DA3766">
        <w:rPr>
          <w:rFonts w:cs="Times New Roman"/>
          <w:kern w:val="2"/>
          <w14:ligatures w14:val="standardContextual"/>
        </w:rPr>
        <w:t>”</w:t>
      </w:r>
      <w:r w:rsidRPr="00DA3766">
        <w:rPr>
          <w:rFonts w:ascii="Times New Roman" w:hAnsi="Times New Roman" w:cs="Times New Roman"/>
          <w:kern w:val="2"/>
          <w14:ligatures w14:val="standardContextual"/>
        </w:rPr>
        <w:t>的上市公司对算力设备、光伏设备转固的有关规定，对比公司的转固情况及转固依据，判断公司算力设备及光伏设备转固的合理性和及时性；</w:t>
      </w:r>
    </w:p>
    <w:p w14:paraId="682CFFCA"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13</w:t>
      </w:r>
      <w:r w:rsidRPr="00DA3766">
        <w:rPr>
          <w:rFonts w:ascii="Times New Roman" w:hAnsi="Times New Roman" w:cs="Times New Roman"/>
          <w:kern w:val="2"/>
          <w14:ligatures w14:val="standardContextual"/>
        </w:rPr>
        <w:t>、通过公开渠道查询主要设备供应商的背景、行业地位，对比市场价格分析采购价格的公允性；</w:t>
      </w:r>
    </w:p>
    <w:p w14:paraId="215DCC5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14</w:t>
      </w:r>
      <w:r w:rsidRPr="00DA3766">
        <w:rPr>
          <w:rFonts w:ascii="Times New Roman" w:hAnsi="Times New Roman" w:cs="Times New Roman"/>
          <w:kern w:val="2"/>
          <w14:ligatures w14:val="standardContextual"/>
        </w:rPr>
        <w:t>、获取公司算力服务业务合同，关注合同条款中关于服务内容、交付标准、验收条件及结算方式的约定，检查服务开始通知、资源交付记录、客户使用报告或验收确认单，核查收入确认是否合规；</w:t>
      </w:r>
    </w:p>
    <w:p w14:paraId="2674E4E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15</w:t>
      </w:r>
      <w:r w:rsidRPr="00DA3766">
        <w:rPr>
          <w:rFonts w:ascii="Times New Roman" w:hAnsi="Times New Roman" w:cs="Times New Roman"/>
          <w:kern w:val="2"/>
          <w14:ligatures w14:val="standardContextual"/>
        </w:rPr>
        <w:t>、获取有关算力业务和光伏发电业务的相关行业数据，结合公司当前两项业务的实际开展情况，判断业务开展的可持续性；同时获取公司对上述项目的盈利预测并根据业务实际开展情况，和各地有关光伏发电相关政策，判断该两项项目是否存在减值迹象。</w:t>
      </w:r>
    </w:p>
    <w:p w14:paraId="6D7EF7DD"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16</w:t>
      </w:r>
      <w:r w:rsidRPr="00DA3766">
        <w:rPr>
          <w:rFonts w:ascii="Times New Roman" w:hAnsi="Times New Roman" w:cs="Times New Roman"/>
          <w:kern w:val="2"/>
          <w14:ligatures w14:val="standardContextual"/>
        </w:rPr>
        <w:t>、获取公司购买信托产品的相关协议及银行流水，核实信托产品的发行方、受托人、投资标的、预期收益率、风险等级等信息；</w:t>
      </w:r>
    </w:p>
    <w:p w14:paraId="3AF7DA1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17</w:t>
      </w:r>
      <w:r w:rsidRPr="00DA3766">
        <w:rPr>
          <w:rFonts w:ascii="Times New Roman" w:hAnsi="Times New Roman" w:cs="Times New Roman"/>
          <w:kern w:val="2"/>
          <w14:ligatures w14:val="standardContextual"/>
        </w:rPr>
        <w:t>、核查信托产品交易对手方是否与公司、控股股东、实际控制人等存在关联关系。</w:t>
      </w:r>
    </w:p>
    <w:p w14:paraId="5176611F"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（二）核查意见</w:t>
      </w:r>
    </w:p>
    <w:p w14:paraId="4578C804"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459E0E8E"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、受行业周期、政府财政压力、市场竞争加剧等因素影响，上市公司最近两年营业收入、毛利率、净利润持续下滑乃至亏损具有合理性，与同行业可比公司变动趋势一致。</w:t>
      </w:r>
    </w:p>
    <w:p w14:paraId="5BA133E7"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w:t>
      </w:r>
      <w:r w:rsidRPr="002E731A">
        <w:rPr>
          <w:rFonts w:ascii="Times New Roman" w:hAnsi="Times New Roman" w:cs="Times New Roman" w:hint="eastAsia"/>
          <w:kern w:val="2"/>
          <w:szCs w:val="22"/>
        </w:rPr>
        <w:t>2022</w:t>
      </w:r>
      <w:r w:rsidRPr="002E731A">
        <w:rPr>
          <w:rFonts w:ascii="Times New Roman" w:hAnsi="Times New Roman" w:cs="Times New Roman" w:hint="eastAsia"/>
          <w:kern w:val="2"/>
          <w:szCs w:val="22"/>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r w:rsidRPr="00DA3766">
        <w:rPr>
          <w:rFonts w:ascii="Times New Roman" w:hAnsi="Times New Roman" w:cs="Times New Roman"/>
          <w:kern w:val="2"/>
          <w:szCs w:val="22"/>
        </w:rPr>
        <w:t>。</w:t>
      </w:r>
    </w:p>
    <w:p w14:paraId="52510859"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、上市公司相关收入确认方法符合《企业会计准则》的有关规定，与同行业可比公司收入政策不存在较大差异。</w:t>
      </w:r>
    </w:p>
    <w:p w14:paraId="09BA1999"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、报告期内上市公司收入确认政策的实际执行情况复核《企业会计准则》的有关规定，不存在未取得客户验收或签收单据等提前确认收入的情况。</w:t>
      </w:r>
    </w:p>
    <w:p w14:paraId="4374BF33"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5</w:t>
      </w:r>
      <w:r w:rsidRPr="00DA3766">
        <w:rPr>
          <w:rFonts w:ascii="Times New Roman" w:hAnsi="Times New Roman" w:cs="Times New Roman"/>
          <w:kern w:val="2"/>
          <w:szCs w:val="22"/>
        </w:rPr>
        <w:t>、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司均不存在关联关系，产品最终实现对外销售，不存在闭环交易、利益输送、资金占用、体外资金循环等情况。</w:t>
      </w:r>
    </w:p>
    <w:p w14:paraId="70D7DF57"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6</w:t>
      </w:r>
      <w:r w:rsidRPr="00DA3766">
        <w:rPr>
          <w:rFonts w:ascii="Times New Roman" w:hAnsi="Times New Roman" w:cs="Times New Roman"/>
          <w:kern w:val="2"/>
          <w:szCs w:val="22"/>
        </w:rPr>
        <w:t>、上市公司收入实现的季节性高峰期具备合理性，与同行业可比公司一致；</w:t>
      </w:r>
      <w:r w:rsidRPr="00DA3766">
        <w:rPr>
          <w:rFonts w:ascii="Times New Roman" w:hAnsi="Times New Roman" w:cs="Times New Roman"/>
          <w:kern w:val="2"/>
          <w:szCs w:val="22"/>
        </w:rPr>
        <w:t>2022</w:t>
      </w:r>
      <w:r w:rsidRPr="00DA3766">
        <w:rPr>
          <w:rFonts w:ascii="Times New Roman" w:hAnsi="Times New Roman" w:cs="Times New Roman"/>
          <w:kern w:val="2"/>
          <w:szCs w:val="22"/>
        </w:rPr>
        <w:t>年至</w:t>
      </w:r>
      <w:r w:rsidRPr="00DA3766">
        <w:rPr>
          <w:rFonts w:ascii="Times New Roman" w:hAnsi="Times New Roman" w:cs="Times New Roman"/>
          <w:kern w:val="2"/>
          <w:szCs w:val="22"/>
        </w:rPr>
        <w:t>2024</w:t>
      </w:r>
      <w:r w:rsidRPr="00DA3766">
        <w:rPr>
          <w:rFonts w:ascii="Times New Roman" w:hAnsi="Times New Roman" w:cs="Times New Roman"/>
          <w:kern w:val="2"/>
          <w:szCs w:val="22"/>
        </w:rPr>
        <w:t>年第四季度收入确认比例存在较大波动主要系收入结构变化所致，具备合理性。</w:t>
      </w:r>
    </w:p>
    <w:p w14:paraId="24A00850"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7</w:t>
      </w:r>
      <w:r w:rsidRPr="00DA3766">
        <w:rPr>
          <w:rFonts w:ascii="Times New Roman" w:hAnsi="Times New Roman" w:cs="Times New Roman"/>
          <w:kern w:val="2"/>
          <w:szCs w:val="22"/>
        </w:rPr>
        <w:t>、上市公司主要客户预算收紧，相关项目付款流程延长，导致公司应收账款快速增长，带动应收账款余额占营业收入快速上升，同时上市公司谨慎承接业务，公司营业收入下降，最终导致应收账款占营业收入比例较高并快速上升、应收账款周转率持续下降，符合行业特征；上市公司客户主要为政府部门及事业单位，但由于该类客户付款审批手续复杂、流程较长，且最终支付情况需要取决于财政资金预算及资金实际到位情况，当前地方财政压力大，客户群体（地方政府、</w:t>
      </w:r>
      <w:r w:rsidRPr="00DA3766">
        <w:rPr>
          <w:rFonts w:ascii="Times New Roman" w:hAnsi="Times New Roman" w:cs="Times New Roman"/>
          <w:kern w:val="2"/>
          <w:szCs w:val="22"/>
        </w:rPr>
        <w:lastRenderedPageBreak/>
        <w:t>国企）因财政压力、内部流程等普遍性系统性地延长了付款周期，导致一年以上、三年以上账龄应收账款持续增长；地方客户财政资金预算不足符合行业情况和区域情况；上市公司应收账款不存在较大的回收风险，坏账准备计提充分。</w:t>
      </w:r>
    </w:p>
    <w:p w14:paraId="2A6BBAB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8</w:t>
      </w:r>
      <w:r w:rsidRPr="00DA3766">
        <w:rPr>
          <w:rFonts w:ascii="Times New Roman" w:hAnsi="Times New Roman" w:cs="Times New Roman"/>
          <w:kern w:val="2"/>
          <w:szCs w:val="22"/>
        </w:rPr>
        <w:t>、上市公司在产品为在建项目的已发生成本，具体包含直接材料、直接人工、劳务服务成本等，具有订单支撑，不存在周转缓慢或滞销情况；</w:t>
      </w:r>
      <w:r w:rsidRPr="00DA3766">
        <w:rPr>
          <w:rFonts w:ascii="Times New Roman" w:hAnsi="Times New Roman" w:cs="Times New Roman"/>
          <w:kern w:val="2"/>
          <w:szCs w:val="22"/>
        </w:rPr>
        <w:t>2024</w:t>
      </w:r>
      <w:r w:rsidRPr="00DA3766">
        <w:rPr>
          <w:rFonts w:ascii="Times New Roman" w:hAnsi="Times New Roman" w:cs="Times New Roman"/>
          <w:kern w:val="2"/>
          <w:szCs w:val="22"/>
        </w:rPr>
        <w:t>年在产品规模增长的原因主要系受地方客户财政预算不足影响，上市公司部分项目未能如期结项而致使收入未能确认及成本未能结转。上市公司存货成本归集、分配、核算准确、可靠。</w:t>
      </w:r>
    </w:p>
    <w:p w14:paraId="01E67CD6"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9</w:t>
      </w:r>
      <w:r w:rsidRPr="00DA3766">
        <w:rPr>
          <w:rFonts w:ascii="Times New Roman" w:hAnsi="Times New Roman" w:cs="Times New Roman"/>
          <w:kern w:val="2"/>
          <w:szCs w:val="22"/>
        </w:rPr>
        <w:t>、上市公司算力项目、光伏项目设备采购供应商与公司不存在关联关系，相关采购过程合规，不存在异常情形；上市公司固定资产、在建工程核算准确、合规，在建工程按时转固。</w:t>
      </w:r>
    </w:p>
    <w:p w14:paraId="024FD15F"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10</w:t>
      </w:r>
      <w:r w:rsidRPr="00DA3766">
        <w:rPr>
          <w:rFonts w:ascii="Times New Roman" w:hAnsi="Times New Roman" w:cs="Times New Roman"/>
          <w:kern w:val="2"/>
          <w:szCs w:val="22"/>
        </w:rPr>
        <w:t>、上市公司在与深圳移动签订合同前已收到甄选结果通知，并提前备货，合同约定的交付期限短具备合理性；</w:t>
      </w:r>
      <w:r w:rsidRPr="00DA3766">
        <w:rPr>
          <w:rFonts w:ascii="Times New Roman" w:hAnsi="Times New Roman" w:cs="Times New Roman"/>
          <w:kern w:val="2"/>
          <w:szCs w:val="22"/>
        </w:rPr>
        <w:t>2024</w:t>
      </w:r>
      <w:r w:rsidRPr="00DA3766">
        <w:rPr>
          <w:rFonts w:ascii="Times New Roman" w:hAnsi="Times New Roman" w:cs="Times New Roman"/>
          <w:kern w:val="2"/>
          <w:szCs w:val="22"/>
        </w:rPr>
        <w:t>年年末，该算力服务项目仍处于软件及数据库的部署、调试及试运行阶段，暂时未达到预定可使用状态，所以仍计入在建工程核算，未转入固定资产，公司不存在延迟转固的情况；除设备交付有延迟外，算力项目实际执行情况与合同约定是否一致，具有可持续性、相关项目的可行性未发生重大不利变化，相关资产运行良好，不存在减值迹象。</w:t>
      </w:r>
    </w:p>
    <w:p w14:paraId="4B1FE2C2"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11</w:t>
      </w:r>
      <w:r w:rsidRPr="00DA3766">
        <w:rPr>
          <w:rFonts w:ascii="Times New Roman" w:hAnsi="Times New Roman" w:cs="Times New Roman"/>
          <w:kern w:val="2"/>
          <w:szCs w:val="22"/>
        </w:rPr>
        <w:t>、上市公司光伏项目已经陆续取得并网许可并实际运营，业务具备可持续经营能力，相关资产尚未出现减值迹象。</w:t>
      </w:r>
    </w:p>
    <w:p w14:paraId="214B14A0"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12</w:t>
      </w:r>
      <w:r w:rsidRPr="00DA3766">
        <w:rPr>
          <w:rFonts w:ascii="Times New Roman" w:hAnsi="Times New Roman" w:cs="Times New Roman"/>
          <w:kern w:val="2"/>
          <w:szCs w:val="22"/>
        </w:rPr>
        <w:t>、前述信托业务系上市公司出于自身资金规划所进行的资金融通活动，标的资产为</w:t>
      </w:r>
      <w:r w:rsidRPr="00DA3766">
        <w:rPr>
          <w:rFonts w:ascii="Times New Roman" w:hAnsi="Times New Roman" w:cs="Times New Roman"/>
          <w:kern w:val="2"/>
          <w:szCs w:val="22"/>
        </w:rPr>
        <w:t>2023</w:t>
      </w:r>
      <w:r w:rsidRPr="00DA3766">
        <w:rPr>
          <w:rFonts w:ascii="Times New Roman" w:hAnsi="Times New Roman" w:cs="Times New Roman"/>
          <w:kern w:val="2"/>
          <w:szCs w:val="22"/>
        </w:rPr>
        <w:t>年到期的应收账款，该业务不会对上市公司经营活动产生重大不利影响，也不影响公司控制权稳定和股权清晰。公司已于</w:t>
      </w:r>
      <w:r w:rsidRPr="00DA3766">
        <w:rPr>
          <w:rFonts w:ascii="Times New Roman" w:hAnsi="Times New Roman" w:cs="Times New Roman"/>
          <w:kern w:val="2"/>
          <w:szCs w:val="22"/>
        </w:rPr>
        <w:t>2023</w:t>
      </w:r>
      <w:r w:rsidRPr="00DA3766">
        <w:rPr>
          <w:rFonts w:ascii="Times New Roman" w:hAnsi="Times New Roman" w:cs="Times New Roman"/>
          <w:kern w:val="2"/>
          <w:szCs w:val="22"/>
        </w:rPr>
        <w:t>年完成置换，终止该信托业务，相关事项影响已经消除。除本次交易外，云南信托不存在为上市公司客户、供应商、控股股东、实控人或同其存在关联关系、潜在关联关系或其他利益安排的情形，前述信托业务不存在资金占用、利益输送、体外资金循环情形。</w:t>
      </w:r>
    </w:p>
    <w:p w14:paraId="5862FC64"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十四、</w:t>
      </w:r>
      <w:r>
        <w:rPr>
          <w:rFonts w:ascii="Times New Roman" w:hAnsi="Times New Roman" w:cs="Times New Roman" w:hint="eastAsia"/>
          <w:b/>
          <w:bCs/>
          <w:kern w:val="2"/>
          <w:szCs w:val="28"/>
        </w:rPr>
        <w:t>独立财务顾问</w:t>
      </w:r>
      <w:r w:rsidRPr="00DA3766">
        <w:rPr>
          <w:rFonts w:ascii="Times New Roman" w:hAnsi="Times New Roman" w:cs="Times New Roman"/>
          <w:b/>
          <w:bCs/>
          <w:kern w:val="2"/>
          <w:szCs w:val="28"/>
        </w:rPr>
        <w:t>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p>
    <w:p w14:paraId="68795FFE"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（一）复核上市公司年度审计工作资料</w:t>
      </w:r>
    </w:p>
    <w:p w14:paraId="1364810C" w14:textId="77777777" w:rsidR="00E76498" w:rsidRPr="00DA3766" w:rsidRDefault="00E76498" w:rsidP="00F35D3D">
      <w:pPr>
        <w:snapToGrid w:val="0"/>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根据上市公司</w:t>
      </w:r>
      <w:r w:rsidRPr="00DA3766">
        <w:rPr>
          <w:rFonts w:ascii="Times New Roman" w:hAnsi="Times New Roman" w:cs="Times New Roman"/>
          <w:szCs w:val="22"/>
        </w:rPr>
        <w:t>2022</w:t>
      </w:r>
      <w:r w:rsidRPr="00DA3766">
        <w:rPr>
          <w:rFonts w:ascii="Times New Roman" w:hAnsi="Times New Roman" w:cs="Times New Roman"/>
          <w:szCs w:val="22"/>
        </w:rPr>
        <w:t>年度、</w:t>
      </w:r>
      <w:r w:rsidRPr="00DA3766">
        <w:rPr>
          <w:rFonts w:ascii="Times New Roman" w:hAnsi="Times New Roman" w:cs="Times New Roman"/>
          <w:szCs w:val="22"/>
        </w:rPr>
        <w:t>2023</w:t>
      </w:r>
      <w:r w:rsidRPr="00DA3766">
        <w:rPr>
          <w:rFonts w:ascii="Times New Roman" w:hAnsi="Times New Roman" w:cs="Times New Roman"/>
          <w:szCs w:val="22"/>
        </w:rPr>
        <w:t>年度和</w:t>
      </w:r>
      <w:r w:rsidRPr="00DA3766">
        <w:rPr>
          <w:rFonts w:ascii="Times New Roman" w:hAnsi="Times New Roman" w:cs="Times New Roman"/>
          <w:szCs w:val="22"/>
        </w:rPr>
        <w:t>2024</w:t>
      </w:r>
      <w:r w:rsidRPr="00DA3766">
        <w:rPr>
          <w:rFonts w:ascii="Times New Roman" w:hAnsi="Times New Roman" w:cs="Times New Roman"/>
          <w:szCs w:val="22"/>
        </w:rPr>
        <w:t>年度的审计报告，天亿马</w:t>
      </w:r>
      <w:r w:rsidRPr="00DA3766">
        <w:rPr>
          <w:rFonts w:ascii="Times New Roman" w:hAnsi="Times New Roman" w:cs="Times New Roman"/>
          <w:szCs w:val="22"/>
        </w:rPr>
        <w:t>2022</w:t>
      </w:r>
      <w:r w:rsidRPr="00DA3766">
        <w:rPr>
          <w:rFonts w:ascii="Times New Roman" w:hAnsi="Times New Roman" w:cs="Times New Roman"/>
          <w:szCs w:val="22"/>
        </w:rPr>
        <w:t>年度、</w:t>
      </w:r>
      <w:r w:rsidRPr="00DA3766">
        <w:rPr>
          <w:rFonts w:ascii="Times New Roman" w:hAnsi="Times New Roman" w:cs="Times New Roman"/>
          <w:szCs w:val="22"/>
        </w:rPr>
        <w:t>2023</w:t>
      </w:r>
      <w:r w:rsidRPr="00DA3766">
        <w:rPr>
          <w:rFonts w:ascii="Times New Roman" w:hAnsi="Times New Roman" w:cs="Times New Roman"/>
          <w:szCs w:val="22"/>
        </w:rPr>
        <w:t>年度和</w:t>
      </w:r>
      <w:r w:rsidRPr="00DA3766">
        <w:rPr>
          <w:rFonts w:ascii="Times New Roman" w:hAnsi="Times New Roman" w:cs="Times New Roman"/>
          <w:szCs w:val="22"/>
        </w:rPr>
        <w:t>2024</w:t>
      </w:r>
      <w:r w:rsidRPr="00DA3766">
        <w:rPr>
          <w:rFonts w:ascii="Times New Roman" w:hAnsi="Times New Roman" w:cs="Times New Roman"/>
          <w:szCs w:val="22"/>
        </w:rPr>
        <w:t>年度营业收入和利润情况如下：</w:t>
      </w:r>
    </w:p>
    <w:p w14:paraId="11B760CF" w14:textId="77777777" w:rsidR="00E76498" w:rsidRPr="00DA3766" w:rsidRDefault="00E76498" w:rsidP="00F35D3D">
      <w:pPr>
        <w:keepNext/>
        <w:spacing w:beforeLines="0" w:before="0" w:afterLines="0" w:after="0" w:line="240" w:lineRule="auto"/>
        <w:ind w:firstLineChars="0" w:firstLine="0"/>
        <w:jc w:val="right"/>
        <w:rPr>
          <w:rFonts w:ascii="Times New Roman" w:hAnsi="Times New Roman" w:cs="Times New Roman"/>
          <w:sz w:val="21"/>
          <w:szCs w:val="22"/>
        </w:rPr>
      </w:pPr>
      <w:r w:rsidRPr="00DA3766">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E76498" w:rsidRPr="00DA3766" w14:paraId="58E9E929" w14:textId="77777777" w:rsidTr="00DA3766">
        <w:trPr>
          <w:trHeight w:val="397"/>
          <w:tblHeader/>
          <w:jc w:val="center"/>
        </w:trPr>
        <w:tc>
          <w:tcPr>
            <w:tcW w:w="2156" w:type="pct"/>
            <w:shd w:val="solid" w:color="FFFFFF" w:fill="FFFFFF"/>
            <w:vAlign w:val="center"/>
          </w:tcPr>
          <w:p w14:paraId="4309A88F"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48" w:type="pct"/>
            <w:shd w:val="solid" w:color="FFFFFF" w:fill="FFFFFF"/>
            <w:vAlign w:val="center"/>
          </w:tcPr>
          <w:p w14:paraId="64945B1A"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948" w:type="pct"/>
            <w:shd w:val="solid" w:color="FFFFFF" w:fill="FFFFFF"/>
            <w:vAlign w:val="center"/>
          </w:tcPr>
          <w:p w14:paraId="2A77D687"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948" w:type="pct"/>
            <w:shd w:val="solid" w:color="FFFFFF" w:fill="FFFFFF"/>
            <w:vAlign w:val="center"/>
          </w:tcPr>
          <w:p w14:paraId="526DC9F7"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年度</w:t>
            </w:r>
          </w:p>
        </w:tc>
      </w:tr>
      <w:tr w:rsidR="00E76498" w:rsidRPr="00DA3766" w14:paraId="64A8EDEF" w14:textId="77777777" w:rsidTr="00DA3766">
        <w:trPr>
          <w:trHeight w:val="397"/>
          <w:jc w:val="center"/>
        </w:trPr>
        <w:tc>
          <w:tcPr>
            <w:tcW w:w="2156" w:type="pct"/>
            <w:shd w:val="solid" w:color="FFFFFF" w:fill="FFFFFF"/>
            <w:vAlign w:val="center"/>
          </w:tcPr>
          <w:p w14:paraId="20A2C15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948" w:type="pct"/>
            <w:shd w:val="solid" w:color="FFFFFF" w:fill="FFFFFF"/>
            <w:vAlign w:val="center"/>
          </w:tcPr>
          <w:p w14:paraId="1EDFA1E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22,363.30</w:t>
            </w:r>
          </w:p>
        </w:tc>
        <w:tc>
          <w:tcPr>
            <w:tcW w:w="948" w:type="pct"/>
            <w:shd w:val="solid" w:color="FFFFFF" w:fill="FFFFFF"/>
            <w:vAlign w:val="center"/>
          </w:tcPr>
          <w:p w14:paraId="04524A4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41,000.98</w:t>
            </w:r>
          </w:p>
        </w:tc>
        <w:tc>
          <w:tcPr>
            <w:tcW w:w="948" w:type="pct"/>
            <w:shd w:val="solid" w:color="FFFFFF" w:fill="FFFFFF"/>
            <w:vAlign w:val="center"/>
          </w:tcPr>
          <w:p w14:paraId="63F90E5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43,921.75</w:t>
            </w:r>
          </w:p>
        </w:tc>
      </w:tr>
      <w:tr w:rsidR="00E76498" w:rsidRPr="00DA3766" w14:paraId="34F86743" w14:textId="77777777" w:rsidTr="00DA3766">
        <w:trPr>
          <w:trHeight w:val="397"/>
          <w:jc w:val="center"/>
        </w:trPr>
        <w:tc>
          <w:tcPr>
            <w:tcW w:w="2156" w:type="pct"/>
            <w:shd w:val="solid" w:color="FFFFFF" w:fill="FFFFFF"/>
            <w:vAlign w:val="center"/>
          </w:tcPr>
          <w:p w14:paraId="3FBCD619"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营业利润</w:t>
            </w:r>
          </w:p>
        </w:tc>
        <w:tc>
          <w:tcPr>
            <w:tcW w:w="948" w:type="pct"/>
            <w:shd w:val="solid" w:color="FFFFFF" w:fill="FFFFFF"/>
            <w:vAlign w:val="center"/>
          </w:tcPr>
          <w:p w14:paraId="4A6E429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-6,269.27</w:t>
            </w:r>
          </w:p>
        </w:tc>
        <w:tc>
          <w:tcPr>
            <w:tcW w:w="948" w:type="pct"/>
            <w:shd w:val="solid" w:color="FFFFFF" w:fill="FFFFFF"/>
            <w:vAlign w:val="center"/>
          </w:tcPr>
          <w:p w14:paraId="02FE707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252.59</w:t>
            </w:r>
          </w:p>
        </w:tc>
        <w:tc>
          <w:tcPr>
            <w:tcW w:w="948" w:type="pct"/>
            <w:shd w:val="solid" w:color="FFFFFF" w:fill="FFFFFF"/>
            <w:vAlign w:val="center"/>
          </w:tcPr>
          <w:p w14:paraId="762CEFCC"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4,261.92</w:t>
            </w:r>
          </w:p>
        </w:tc>
      </w:tr>
      <w:tr w:rsidR="00E76498" w:rsidRPr="00DA3766" w14:paraId="4B5D91EA" w14:textId="77777777" w:rsidTr="00DA3766">
        <w:trPr>
          <w:trHeight w:val="397"/>
          <w:jc w:val="center"/>
        </w:trPr>
        <w:tc>
          <w:tcPr>
            <w:tcW w:w="2156" w:type="pct"/>
            <w:shd w:val="solid" w:color="FFFFFF" w:fill="FFFFFF"/>
            <w:vAlign w:val="center"/>
          </w:tcPr>
          <w:p w14:paraId="389E5360"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利润总额</w:t>
            </w:r>
          </w:p>
        </w:tc>
        <w:tc>
          <w:tcPr>
            <w:tcW w:w="948" w:type="pct"/>
            <w:shd w:val="solid" w:color="FFFFFF" w:fill="FFFFFF"/>
            <w:vAlign w:val="center"/>
          </w:tcPr>
          <w:p w14:paraId="2CF1622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-6,460.05</w:t>
            </w:r>
          </w:p>
        </w:tc>
        <w:tc>
          <w:tcPr>
            <w:tcW w:w="948" w:type="pct"/>
            <w:shd w:val="solid" w:color="FFFFFF" w:fill="FFFFFF"/>
            <w:vAlign w:val="center"/>
          </w:tcPr>
          <w:p w14:paraId="434ED7D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249.80</w:t>
            </w:r>
          </w:p>
        </w:tc>
        <w:tc>
          <w:tcPr>
            <w:tcW w:w="948" w:type="pct"/>
            <w:shd w:val="solid" w:color="FFFFFF" w:fill="FFFFFF"/>
            <w:vAlign w:val="center"/>
          </w:tcPr>
          <w:p w14:paraId="42BC42D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4,470.82</w:t>
            </w:r>
          </w:p>
        </w:tc>
      </w:tr>
      <w:tr w:rsidR="00E76498" w:rsidRPr="00DA3766" w14:paraId="31FD08C3" w14:textId="77777777" w:rsidTr="00DA3766">
        <w:trPr>
          <w:trHeight w:val="397"/>
          <w:jc w:val="center"/>
        </w:trPr>
        <w:tc>
          <w:tcPr>
            <w:tcW w:w="2156" w:type="pct"/>
            <w:shd w:val="solid" w:color="FFFFFF" w:fill="FFFFFF"/>
            <w:vAlign w:val="center"/>
          </w:tcPr>
          <w:p w14:paraId="5FB3AD5A"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p>
        </w:tc>
        <w:tc>
          <w:tcPr>
            <w:tcW w:w="948" w:type="pct"/>
            <w:shd w:val="solid" w:color="FFFFFF" w:fill="FFFFFF"/>
            <w:vAlign w:val="center"/>
          </w:tcPr>
          <w:p w14:paraId="0B0E2C6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-5,349.18</w:t>
            </w:r>
          </w:p>
        </w:tc>
        <w:tc>
          <w:tcPr>
            <w:tcW w:w="948" w:type="pct"/>
            <w:shd w:val="solid" w:color="FFFFFF" w:fill="FFFFFF"/>
            <w:vAlign w:val="center"/>
          </w:tcPr>
          <w:p w14:paraId="39C9B1E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438.78</w:t>
            </w:r>
          </w:p>
        </w:tc>
        <w:tc>
          <w:tcPr>
            <w:tcW w:w="948" w:type="pct"/>
            <w:shd w:val="solid" w:color="FFFFFF" w:fill="FFFFFF"/>
            <w:vAlign w:val="center"/>
          </w:tcPr>
          <w:p w14:paraId="09B9A50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3,956.09</w:t>
            </w:r>
          </w:p>
        </w:tc>
      </w:tr>
      <w:tr w:rsidR="00E76498" w:rsidRPr="00DA3766" w14:paraId="78758E39" w14:textId="77777777" w:rsidTr="00DA3766">
        <w:trPr>
          <w:trHeight w:val="397"/>
          <w:jc w:val="center"/>
        </w:trPr>
        <w:tc>
          <w:tcPr>
            <w:tcW w:w="2156" w:type="pct"/>
            <w:shd w:val="solid" w:color="FFFFFF" w:fill="FFFFFF"/>
            <w:vAlign w:val="center"/>
          </w:tcPr>
          <w:p w14:paraId="5345E70C"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归属母公司所有者的利润</w:t>
            </w:r>
          </w:p>
        </w:tc>
        <w:tc>
          <w:tcPr>
            <w:tcW w:w="948" w:type="pct"/>
            <w:shd w:val="solid" w:color="FFFFFF" w:fill="FFFFFF"/>
            <w:vAlign w:val="center"/>
          </w:tcPr>
          <w:p w14:paraId="3BBD98C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-4,955.28</w:t>
            </w:r>
          </w:p>
        </w:tc>
        <w:tc>
          <w:tcPr>
            <w:tcW w:w="948" w:type="pct"/>
            <w:shd w:val="solid" w:color="FFFFFF" w:fill="FFFFFF"/>
            <w:vAlign w:val="center"/>
          </w:tcPr>
          <w:p w14:paraId="739A762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638.90</w:t>
            </w:r>
          </w:p>
        </w:tc>
        <w:tc>
          <w:tcPr>
            <w:tcW w:w="948" w:type="pct"/>
            <w:shd w:val="solid" w:color="FFFFFF" w:fill="FFFFFF"/>
            <w:vAlign w:val="center"/>
          </w:tcPr>
          <w:p w14:paraId="07B2FBE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3,956.27</w:t>
            </w:r>
          </w:p>
        </w:tc>
      </w:tr>
    </w:tbl>
    <w:p w14:paraId="50DE1658"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项目组查阅中审众环会计师事务所（特殊普通合伙）、中审亚太会计师事务所（特殊普通合伙）出具的审计报告，取得审计单位提供的上市公司年度审计工作底稿进行复核，重点复核会计师年度审计工作中的重要性水平选择、了解上市公司内部控制的程序（穿行测试）、实质性程序（截止测试、细节程序、分析程序）等工作底稿，针对异常情形进行确认或补充核查，确认年度审计报告内容的可靠性。</w:t>
      </w:r>
    </w:p>
    <w:p w14:paraId="730C0EB3"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Pr>
          <w:rFonts w:ascii="Times New Roman" w:hAnsi="Times New Roman" w:cs="Times New Roman" w:hint="eastAsia"/>
          <w:b/>
          <w:bCs/>
          <w:kern w:val="2"/>
          <w:szCs w:val="28"/>
        </w:rPr>
        <w:t>二</w:t>
      </w:r>
      <w:r w:rsidRPr="00DA3766">
        <w:rPr>
          <w:rFonts w:ascii="Times New Roman" w:hAnsi="Times New Roman" w:cs="Times New Roman"/>
          <w:b/>
          <w:bCs/>
          <w:kern w:val="2"/>
          <w:szCs w:val="28"/>
        </w:rPr>
        <w:t>）项目组独立执行核查程序</w:t>
      </w:r>
    </w:p>
    <w:p w14:paraId="309CD5F9"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）访谈上市公司核心人员，了解公司主要产品的业务特点，管理层对不同业务如何管理，评价收入确认政策的合理性。</w:t>
      </w:r>
    </w:p>
    <w:p w14:paraId="0BC98F7F" w14:textId="77777777" w:rsidR="00E76498" w:rsidRPr="00DA3766" w:rsidRDefault="00E76498" w:rsidP="00F35D3D">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了解公司与销售相关的内部控制，评价内部控制制度建立的合理性与有效性；抽取报告期内销售样本查验销售合同及相关订单、发货记录、签收记录、对账记录、会计凭证、回款记录等进行穿行测试；实施控制测试以确认内部控制运行的有效性。</w:t>
      </w:r>
    </w:p>
    <w:p w14:paraId="4E92AD0A" w14:textId="77777777" w:rsidR="00E76498" w:rsidRPr="00DA3766" w:rsidRDefault="00E76498" w:rsidP="00F35D3D">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）取得公司与各年度前五大客户、供应商的签订的主要合同，查阅主要合同条款，与穿行测试结果进行对比，确认公司收入确认政策与协议约定相一致。</w:t>
      </w:r>
    </w:p>
    <w:p w14:paraId="6C05316C"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lastRenderedPageBreak/>
        <w:t>（</w:t>
      </w:r>
      <w:r w:rsidRPr="00DA3766">
        <w:rPr>
          <w:rFonts w:ascii="Times New Roman" w:hAnsi="Times New Roman" w:cs="Times New Roman"/>
        </w:rPr>
        <w:t>4</w:t>
      </w:r>
      <w:r w:rsidRPr="00DA3766">
        <w:rPr>
          <w:rFonts w:ascii="Times New Roman" w:hAnsi="Times New Roman" w:cs="Times New Roman"/>
        </w:rPr>
        <w:t>）获取公司收入明细表，检查营业收入的确认方法是否符合企业会计准则规定，前后是否一致；对营业收入实施分析程序，比较各类主营业务收入的波动情况，分析其变动趋势是否正常，是否符合被审计单位经营规律，查明异常现象和重大波动的原因，毛利率波动是否异常。</w:t>
      </w:r>
    </w:p>
    <w:p w14:paraId="1E45DF71"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5</w:t>
      </w:r>
      <w:r w:rsidRPr="00DA3766">
        <w:rPr>
          <w:rFonts w:ascii="Times New Roman" w:hAnsi="Times New Roman" w:cs="Times New Roman"/>
        </w:rPr>
        <w:t>）项目组在复核会计师</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年审计工作底稿的基础上，针对</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年上市公司各期前五大客户、供应商进行独立函证，针对</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年前五大客户期末余额、当期发生额进行独立函证，函证总体核查比例如下：</w:t>
      </w:r>
    </w:p>
    <w:p w14:paraId="7999B868" w14:textId="77777777" w:rsidR="00E76498" w:rsidRPr="00DA3766" w:rsidRDefault="00E76498" w:rsidP="00F35D3D">
      <w:pPr>
        <w:snapToGrid w:val="0"/>
        <w:spacing w:before="120" w:afterLines="0" w:after="0"/>
        <w:ind w:firstLine="480"/>
        <w:jc w:val="both"/>
        <w:rPr>
          <w:rFonts w:ascii="Times New Roman" w:hAnsi="Times New Roman" w:cs="Times New Roman"/>
        </w:rPr>
      </w:pPr>
      <w:bookmarkStart w:id="292" w:name="_Hlk220423375"/>
      <w:r w:rsidRPr="00DA3766">
        <w:rPr>
          <w:rFonts w:hint="eastAsia"/>
        </w:rPr>
        <w:t>①</w:t>
      </w:r>
      <w:r w:rsidRPr="00DA3766">
        <w:rPr>
          <w:rFonts w:ascii="Times New Roman" w:hAnsi="Times New Roman" w:cs="Times New Roman"/>
        </w:rPr>
        <w:t>营业收入函证</w:t>
      </w:r>
    </w:p>
    <w:p w14:paraId="19445D21" w14:textId="77777777" w:rsidR="00E76498" w:rsidRPr="00DA3766" w:rsidRDefault="00E76498" w:rsidP="00F35D3D">
      <w:pPr>
        <w:keepNext/>
        <w:spacing w:beforeLines="0" w:before="0" w:afterLines="0" w:after="0" w:line="240" w:lineRule="auto"/>
        <w:ind w:firstLineChars="0" w:firstLine="0"/>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07B08BE0" w14:textId="77777777" w:rsidTr="009E0318">
        <w:trPr>
          <w:trHeight w:val="397"/>
          <w:tblHeader/>
          <w:jc w:val="center"/>
        </w:trPr>
        <w:tc>
          <w:tcPr>
            <w:tcW w:w="2409" w:type="pct"/>
            <w:shd w:val="solid" w:color="FFFFFF" w:fill="FFFFFF"/>
            <w:vAlign w:val="center"/>
          </w:tcPr>
          <w:p w14:paraId="6EB56B77"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40E8A213"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379E97D5"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5A33938E"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0976135B" w14:textId="77777777" w:rsidTr="009E0318">
        <w:trPr>
          <w:trHeight w:val="397"/>
          <w:jc w:val="center"/>
        </w:trPr>
        <w:tc>
          <w:tcPr>
            <w:tcW w:w="2409" w:type="pct"/>
            <w:shd w:val="solid" w:color="FFFFFF" w:fill="FFFFFF"/>
            <w:vAlign w:val="center"/>
          </w:tcPr>
          <w:p w14:paraId="1AF2C953"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营业收入</w:t>
            </w:r>
          </w:p>
        </w:tc>
        <w:tc>
          <w:tcPr>
            <w:tcW w:w="864" w:type="pct"/>
            <w:shd w:val="solid" w:color="FFFFFF" w:fill="FFFFFF"/>
            <w:vAlign w:val="center"/>
          </w:tcPr>
          <w:p w14:paraId="6F222A6C"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22,363.30</w:t>
            </w:r>
          </w:p>
        </w:tc>
        <w:tc>
          <w:tcPr>
            <w:tcW w:w="864" w:type="pct"/>
            <w:shd w:val="solid" w:color="FFFFFF" w:fill="FFFFFF"/>
            <w:vAlign w:val="center"/>
          </w:tcPr>
          <w:p w14:paraId="0CC2770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41,000.98</w:t>
            </w:r>
          </w:p>
        </w:tc>
        <w:tc>
          <w:tcPr>
            <w:tcW w:w="863" w:type="pct"/>
            <w:shd w:val="solid" w:color="FFFFFF" w:fill="FFFFFF"/>
            <w:vAlign w:val="center"/>
          </w:tcPr>
          <w:p w14:paraId="1B5E3DD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43,921.75</w:t>
            </w:r>
          </w:p>
        </w:tc>
      </w:tr>
      <w:tr w:rsidR="00E76498" w:rsidRPr="00DA3766" w14:paraId="02A63524" w14:textId="77777777" w:rsidTr="009E0318">
        <w:trPr>
          <w:trHeight w:val="397"/>
          <w:jc w:val="center"/>
        </w:trPr>
        <w:tc>
          <w:tcPr>
            <w:tcW w:w="2409" w:type="pct"/>
            <w:shd w:val="solid" w:color="FFFFFF" w:fill="FFFFFF"/>
            <w:vAlign w:val="center"/>
          </w:tcPr>
          <w:p w14:paraId="11D145C8"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发函总金额</w:t>
            </w:r>
          </w:p>
        </w:tc>
        <w:tc>
          <w:tcPr>
            <w:tcW w:w="864" w:type="pct"/>
            <w:shd w:val="solid" w:color="FFFFFF" w:fill="FFFFFF"/>
            <w:vAlign w:val="center"/>
          </w:tcPr>
          <w:p w14:paraId="246EB43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19,560.96</w:t>
            </w:r>
          </w:p>
        </w:tc>
        <w:tc>
          <w:tcPr>
            <w:tcW w:w="864" w:type="pct"/>
            <w:shd w:val="solid" w:color="FFFFFF" w:fill="FFFFFF"/>
            <w:vAlign w:val="center"/>
          </w:tcPr>
          <w:p w14:paraId="4604826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28,754.97</w:t>
            </w:r>
          </w:p>
        </w:tc>
        <w:tc>
          <w:tcPr>
            <w:tcW w:w="863" w:type="pct"/>
            <w:shd w:val="solid" w:color="FFFFFF" w:fill="FFFFFF"/>
            <w:vAlign w:val="center"/>
          </w:tcPr>
          <w:p w14:paraId="360BED9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29,393.08</w:t>
            </w:r>
          </w:p>
        </w:tc>
      </w:tr>
      <w:tr w:rsidR="00E76498" w:rsidRPr="00DA3766" w14:paraId="115B712C" w14:textId="77777777" w:rsidTr="009E0318">
        <w:trPr>
          <w:trHeight w:val="397"/>
          <w:jc w:val="center"/>
        </w:trPr>
        <w:tc>
          <w:tcPr>
            <w:tcW w:w="2409" w:type="pct"/>
            <w:shd w:val="solid" w:color="FFFFFF" w:fill="FFFFFF"/>
            <w:vAlign w:val="center"/>
          </w:tcPr>
          <w:p w14:paraId="3D51488C"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其中：项目组独立发函金额</w:t>
            </w:r>
          </w:p>
        </w:tc>
        <w:tc>
          <w:tcPr>
            <w:tcW w:w="864" w:type="pct"/>
            <w:shd w:val="solid" w:color="FFFFFF" w:fill="FFFFFF"/>
            <w:vAlign w:val="center"/>
          </w:tcPr>
          <w:p w14:paraId="7258EB9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5,962.43</w:t>
            </w:r>
          </w:p>
        </w:tc>
        <w:tc>
          <w:tcPr>
            <w:tcW w:w="864" w:type="pct"/>
            <w:shd w:val="solid" w:color="FFFFFF" w:fill="FFFFFF"/>
            <w:vAlign w:val="center"/>
          </w:tcPr>
          <w:p w14:paraId="5853E53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11,987.39</w:t>
            </w:r>
          </w:p>
        </w:tc>
        <w:tc>
          <w:tcPr>
            <w:tcW w:w="863" w:type="pct"/>
            <w:shd w:val="solid" w:color="FFFFFF" w:fill="FFFFFF"/>
            <w:vAlign w:val="center"/>
          </w:tcPr>
          <w:p w14:paraId="258C45B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10,975.73</w:t>
            </w:r>
          </w:p>
        </w:tc>
      </w:tr>
      <w:tr w:rsidR="00E76498" w:rsidRPr="00DA3766" w14:paraId="1D25026D" w14:textId="77777777" w:rsidTr="009E0318">
        <w:trPr>
          <w:trHeight w:val="397"/>
          <w:jc w:val="center"/>
        </w:trPr>
        <w:tc>
          <w:tcPr>
            <w:tcW w:w="2409" w:type="pct"/>
            <w:shd w:val="solid" w:color="FFFFFF" w:fill="FFFFFF"/>
            <w:vAlign w:val="center"/>
          </w:tcPr>
          <w:p w14:paraId="7C1169D7"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复核会计师发函金额</w:t>
            </w:r>
          </w:p>
        </w:tc>
        <w:tc>
          <w:tcPr>
            <w:tcW w:w="864" w:type="pct"/>
            <w:shd w:val="solid" w:color="FFFFFF" w:fill="FFFFFF"/>
            <w:vAlign w:val="center"/>
          </w:tcPr>
          <w:p w14:paraId="43165A8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19,560.96</w:t>
            </w:r>
          </w:p>
        </w:tc>
        <w:tc>
          <w:tcPr>
            <w:tcW w:w="864" w:type="pct"/>
            <w:shd w:val="solid" w:color="FFFFFF" w:fill="FFFFFF"/>
            <w:vAlign w:val="center"/>
          </w:tcPr>
          <w:p w14:paraId="4B9C164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28,754.97</w:t>
            </w:r>
          </w:p>
        </w:tc>
        <w:tc>
          <w:tcPr>
            <w:tcW w:w="863" w:type="pct"/>
            <w:shd w:val="solid" w:color="FFFFFF" w:fill="FFFFFF"/>
            <w:vAlign w:val="center"/>
          </w:tcPr>
          <w:p w14:paraId="3E1094B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29,393.08</w:t>
            </w:r>
          </w:p>
        </w:tc>
      </w:tr>
      <w:tr w:rsidR="00E76498" w:rsidRPr="00DA3766" w14:paraId="1004FE2E" w14:textId="77777777" w:rsidTr="009E0318">
        <w:trPr>
          <w:trHeight w:val="397"/>
          <w:jc w:val="center"/>
        </w:trPr>
        <w:tc>
          <w:tcPr>
            <w:tcW w:w="2409" w:type="pct"/>
            <w:shd w:val="solid" w:color="FFFFFF" w:fill="FFFFFF"/>
            <w:vAlign w:val="center"/>
          </w:tcPr>
          <w:p w14:paraId="2FDAC4F3"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发函总比例</w:t>
            </w:r>
          </w:p>
        </w:tc>
        <w:tc>
          <w:tcPr>
            <w:tcW w:w="864" w:type="pct"/>
            <w:shd w:val="solid" w:color="FFFFFF" w:fill="FFFFFF"/>
            <w:vAlign w:val="center"/>
          </w:tcPr>
          <w:p w14:paraId="76C25E5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87.47%</w:t>
            </w:r>
          </w:p>
        </w:tc>
        <w:tc>
          <w:tcPr>
            <w:tcW w:w="864" w:type="pct"/>
            <w:shd w:val="solid" w:color="FFFFFF" w:fill="FFFFFF"/>
            <w:vAlign w:val="center"/>
          </w:tcPr>
          <w:p w14:paraId="19AA151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70.</w:t>
            </w:r>
            <w:r>
              <w:rPr>
                <w:rFonts w:ascii="Times New Roman" w:hAnsi="Times New Roman" w:cs="Times New Roman" w:hint="eastAsia"/>
                <w:b/>
                <w:bCs/>
                <w:color w:val="000000"/>
                <w:kern w:val="2"/>
                <w:sz w:val="21"/>
                <w:szCs w:val="21"/>
              </w:rPr>
              <w:t>13</w:t>
            </w:r>
            <w:r w:rsidRPr="00DA3766">
              <w:rPr>
                <w:rFonts w:ascii="Times New Roman" w:hAnsi="Times New Roman" w:cs="Times New Roman"/>
                <w:b/>
                <w:bCs/>
                <w:color w:val="000000"/>
                <w:kern w:val="2"/>
                <w:sz w:val="21"/>
                <w:szCs w:val="21"/>
              </w:rPr>
              <w:t>%</w:t>
            </w:r>
          </w:p>
        </w:tc>
        <w:tc>
          <w:tcPr>
            <w:tcW w:w="863" w:type="pct"/>
            <w:shd w:val="solid" w:color="FFFFFF" w:fill="FFFFFF"/>
            <w:vAlign w:val="center"/>
          </w:tcPr>
          <w:p w14:paraId="2CF6B83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66.92%</w:t>
            </w:r>
          </w:p>
        </w:tc>
      </w:tr>
      <w:tr w:rsidR="00E76498" w:rsidRPr="00DA3766" w14:paraId="51745526" w14:textId="77777777" w:rsidTr="009E0318">
        <w:trPr>
          <w:trHeight w:val="397"/>
          <w:jc w:val="center"/>
        </w:trPr>
        <w:tc>
          <w:tcPr>
            <w:tcW w:w="2409" w:type="pct"/>
            <w:shd w:val="solid" w:color="FFFFFF" w:fill="FFFFFF"/>
            <w:vAlign w:val="center"/>
          </w:tcPr>
          <w:p w14:paraId="2A97DE0A"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其中：项目组独立发函比例</w:t>
            </w:r>
          </w:p>
        </w:tc>
        <w:tc>
          <w:tcPr>
            <w:tcW w:w="864" w:type="pct"/>
            <w:shd w:val="solid" w:color="FFFFFF" w:fill="FFFFFF"/>
            <w:vAlign w:val="center"/>
          </w:tcPr>
          <w:p w14:paraId="1F2DE95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26.66%</w:t>
            </w:r>
          </w:p>
        </w:tc>
        <w:tc>
          <w:tcPr>
            <w:tcW w:w="864" w:type="pct"/>
            <w:shd w:val="solid" w:color="FFFFFF" w:fill="FFFFFF"/>
            <w:vAlign w:val="center"/>
          </w:tcPr>
          <w:p w14:paraId="3F5E9CC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29.24%</w:t>
            </w:r>
          </w:p>
        </w:tc>
        <w:tc>
          <w:tcPr>
            <w:tcW w:w="863" w:type="pct"/>
            <w:shd w:val="solid" w:color="FFFFFF" w:fill="FFFFFF"/>
            <w:vAlign w:val="center"/>
          </w:tcPr>
          <w:p w14:paraId="2BB1722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24.99%</w:t>
            </w:r>
          </w:p>
        </w:tc>
      </w:tr>
      <w:tr w:rsidR="00E76498" w:rsidRPr="00DA3766" w14:paraId="2CD402ED" w14:textId="77777777" w:rsidTr="009E0318">
        <w:trPr>
          <w:trHeight w:val="397"/>
          <w:jc w:val="center"/>
        </w:trPr>
        <w:tc>
          <w:tcPr>
            <w:tcW w:w="2409" w:type="pct"/>
            <w:shd w:val="solid" w:color="FFFFFF" w:fill="FFFFFF"/>
            <w:vAlign w:val="center"/>
          </w:tcPr>
          <w:p w14:paraId="76F361A0"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复核会计师发函比例</w:t>
            </w:r>
          </w:p>
        </w:tc>
        <w:tc>
          <w:tcPr>
            <w:tcW w:w="864" w:type="pct"/>
            <w:shd w:val="solid" w:color="FFFFFF" w:fill="FFFFFF"/>
            <w:vAlign w:val="center"/>
          </w:tcPr>
          <w:p w14:paraId="71F53A9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87.47%</w:t>
            </w:r>
          </w:p>
        </w:tc>
        <w:tc>
          <w:tcPr>
            <w:tcW w:w="864" w:type="pct"/>
            <w:shd w:val="solid" w:color="FFFFFF" w:fill="FFFFFF"/>
            <w:vAlign w:val="center"/>
          </w:tcPr>
          <w:p w14:paraId="67D6DD9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70.</w:t>
            </w:r>
            <w:r>
              <w:rPr>
                <w:rFonts w:ascii="Times New Roman" w:hAnsi="Times New Roman" w:cs="Times New Roman" w:hint="eastAsia"/>
                <w:bCs/>
                <w:color w:val="000000"/>
                <w:kern w:val="2"/>
                <w:sz w:val="21"/>
                <w:szCs w:val="21"/>
              </w:rPr>
              <w:t>13</w:t>
            </w:r>
            <w:r w:rsidRPr="00DA3766">
              <w:rPr>
                <w:rFonts w:ascii="Times New Roman" w:hAnsi="Times New Roman" w:cs="Times New Roman"/>
                <w:bCs/>
                <w:color w:val="000000"/>
                <w:kern w:val="2"/>
                <w:sz w:val="21"/>
                <w:szCs w:val="21"/>
              </w:rPr>
              <w:t>%</w:t>
            </w:r>
          </w:p>
        </w:tc>
        <w:tc>
          <w:tcPr>
            <w:tcW w:w="863" w:type="pct"/>
            <w:shd w:val="solid" w:color="FFFFFF" w:fill="FFFFFF"/>
            <w:vAlign w:val="center"/>
          </w:tcPr>
          <w:p w14:paraId="38FF14F6"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66.92%</w:t>
            </w:r>
          </w:p>
        </w:tc>
      </w:tr>
      <w:tr w:rsidR="00E76498" w:rsidRPr="00DA3766" w14:paraId="5E415C6F" w14:textId="77777777" w:rsidTr="009E0318">
        <w:trPr>
          <w:trHeight w:val="397"/>
          <w:jc w:val="center"/>
        </w:trPr>
        <w:tc>
          <w:tcPr>
            <w:tcW w:w="2409" w:type="pct"/>
            <w:shd w:val="solid" w:color="FFFFFF" w:fill="FFFFFF"/>
            <w:vAlign w:val="center"/>
          </w:tcPr>
          <w:p w14:paraId="5C81049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w:t>
            </w:r>
          </w:p>
        </w:tc>
        <w:tc>
          <w:tcPr>
            <w:tcW w:w="864" w:type="pct"/>
            <w:shd w:val="solid" w:color="FFFFFF" w:fill="FFFFFF"/>
            <w:vAlign w:val="center"/>
          </w:tcPr>
          <w:p w14:paraId="5C9A853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15,833.34</w:t>
            </w:r>
          </w:p>
        </w:tc>
        <w:tc>
          <w:tcPr>
            <w:tcW w:w="864" w:type="pct"/>
            <w:shd w:val="solid" w:color="FFFFFF" w:fill="FFFFFF"/>
            <w:vAlign w:val="center"/>
          </w:tcPr>
          <w:p w14:paraId="2EF5D086"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F2331E">
              <w:rPr>
                <w:rFonts w:ascii="Times New Roman" w:hAnsi="Times New Roman" w:cs="Times New Roman" w:hint="eastAsia"/>
                <w:b/>
                <w:bCs/>
                <w:color w:val="000000"/>
                <w:kern w:val="2"/>
                <w:sz w:val="21"/>
                <w:szCs w:val="21"/>
              </w:rPr>
              <w:t>26.209.27</w:t>
            </w:r>
          </w:p>
        </w:tc>
        <w:tc>
          <w:tcPr>
            <w:tcW w:w="863" w:type="pct"/>
            <w:shd w:val="solid" w:color="FFFFFF" w:fill="FFFFFF"/>
            <w:vAlign w:val="center"/>
          </w:tcPr>
          <w:p w14:paraId="274D5EF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24,997.80</w:t>
            </w:r>
          </w:p>
        </w:tc>
      </w:tr>
      <w:tr w:rsidR="00E76498" w:rsidRPr="00DA3766" w14:paraId="47297235" w14:textId="77777777" w:rsidTr="009E0318">
        <w:trPr>
          <w:trHeight w:val="397"/>
          <w:jc w:val="center"/>
        </w:trPr>
        <w:tc>
          <w:tcPr>
            <w:tcW w:w="2409" w:type="pct"/>
            <w:shd w:val="solid" w:color="FFFFFF" w:fill="FFFFFF"/>
            <w:vAlign w:val="center"/>
          </w:tcPr>
          <w:p w14:paraId="0C83F05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其中：项目组独立函证回函确认金额</w:t>
            </w:r>
          </w:p>
        </w:tc>
        <w:tc>
          <w:tcPr>
            <w:tcW w:w="864" w:type="pct"/>
            <w:shd w:val="solid" w:color="FFFFFF" w:fill="FFFFFF"/>
            <w:vAlign w:val="center"/>
          </w:tcPr>
          <w:p w14:paraId="3CA7B6D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5,962.43</w:t>
            </w:r>
          </w:p>
        </w:tc>
        <w:tc>
          <w:tcPr>
            <w:tcW w:w="864" w:type="pct"/>
            <w:shd w:val="solid" w:color="FFFFFF" w:fill="FFFFFF"/>
            <w:vAlign w:val="center"/>
          </w:tcPr>
          <w:p w14:paraId="091DEDF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11,987.39</w:t>
            </w:r>
          </w:p>
        </w:tc>
        <w:tc>
          <w:tcPr>
            <w:tcW w:w="863" w:type="pct"/>
            <w:shd w:val="solid" w:color="FFFFFF" w:fill="FFFFFF"/>
            <w:vAlign w:val="center"/>
          </w:tcPr>
          <w:p w14:paraId="5C3DBA8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F2331E">
              <w:rPr>
                <w:rFonts w:ascii="Times New Roman" w:hAnsi="Times New Roman" w:cs="Times New Roman" w:hint="eastAsia"/>
                <w:bCs/>
                <w:color w:val="000000"/>
                <w:kern w:val="2"/>
                <w:sz w:val="21"/>
                <w:szCs w:val="22"/>
              </w:rPr>
              <w:t>9.023.65</w:t>
            </w:r>
          </w:p>
        </w:tc>
      </w:tr>
      <w:tr w:rsidR="00E76498" w:rsidRPr="00DA3766" w14:paraId="5443B101" w14:textId="77777777" w:rsidTr="009E0318">
        <w:trPr>
          <w:trHeight w:val="397"/>
          <w:jc w:val="center"/>
        </w:trPr>
        <w:tc>
          <w:tcPr>
            <w:tcW w:w="2409" w:type="pct"/>
            <w:shd w:val="solid" w:color="FFFFFF" w:fill="FFFFFF"/>
            <w:vAlign w:val="center"/>
          </w:tcPr>
          <w:p w14:paraId="1C0F38B1"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复核会计师发函回函确认金额</w:t>
            </w:r>
          </w:p>
        </w:tc>
        <w:tc>
          <w:tcPr>
            <w:tcW w:w="864" w:type="pct"/>
            <w:shd w:val="solid" w:color="FFFFFF" w:fill="FFFFFF"/>
            <w:vAlign w:val="center"/>
          </w:tcPr>
          <w:p w14:paraId="0EFEA53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15,833.34</w:t>
            </w:r>
          </w:p>
        </w:tc>
        <w:tc>
          <w:tcPr>
            <w:tcW w:w="864" w:type="pct"/>
            <w:shd w:val="solid" w:color="FFFFFF" w:fill="FFFFFF"/>
            <w:vAlign w:val="center"/>
          </w:tcPr>
          <w:p w14:paraId="5A13CF7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F2331E">
              <w:rPr>
                <w:rFonts w:ascii="Times New Roman" w:hAnsi="Times New Roman" w:cs="Times New Roman" w:hint="eastAsia"/>
                <w:bCs/>
                <w:color w:val="000000"/>
                <w:kern w:val="2"/>
                <w:sz w:val="21"/>
                <w:szCs w:val="21"/>
              </w:rPr>
              <w:t>26.209.27</w:t>
            </w:r>
          </w:p>
        </w:tc>
        <w:tc>
          <w:tcPr>
            <w:tcW w:w="863" w:type="pct"/>
            <w:shd w:val="solid" w:color="FFFFFF" w:fill="FFFFFF"/>
            <w:vAlign w:val="center"/>
          </w:tcPr>
          <w:p w14:paraId="450B0EC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24,997.80</w:t>
            </w:r>
          </w:p>
        </w:tc>
      </w:tr>
      <w:tr w:rsidR="00E76498" w:rsidRPr="00DA3766" w14:paraId="144FD838" w14:textId="77777777" w:rsidTr="009E0318">
        <w:trPr>
          <w:trHeight w:val="397"/>
          <w:jc w:val="center"/>
        </w:trPr>
        <w:tc>
          <w:tcPr>
            <w:tcW w:w="2409" w:type="pct"/>
            <w:shd w:val="solid" w:color="FFFFFF" w:fill="FFFFFF"/>
            <w:vAlign w:val="center"/>
          </w:tcPr>
          <w:p w14:paraId="43EA47BC"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回函确认金额占营业收入比例</w:t>
            </w:r>
          </w:p>
        </w:tc>
        <w:tc>
          <w:tcPr>
            <w:tcW w:w="864" w:type="pct"/>
            <w:shd w:val="solid" w:color="FFFFFF" w:fill="FFFFFF"/>
            <w:vAlign w:val="center"/>
          </w:tcPr>
          <w:p w14:paraId="0DCEBF0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color w:val="000000"/>
                <w:sz w:val="21"/>
                <w:szCs w:val="21"/>
              </w:rPr>
              <w:t>70.80%</w:t>
            </w:r>
          </w:p>
        </w:tc>
        <w:tc>
          <w:tcPr>
            <w:tcW w:w="864" w:type="pct"/>
            <w:shd w:val="solid" w:color="FFFFFF" w:fill="FFFFFF"/>
            <w:vAlign w:val="center"/>
          </w:tcPr>
          <w:p w14:paraId="4F825CA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color w:val="000000"/>
                <w:sz w:val="21"/>
                <w:szCs w:val="21"/>
              </w:rPr>
              <w:t>6</w:t>
            </w:r>
            <w:r>
              <w:rPr>
                <w:rFonts w:ascii="Times New Roman" w:hAnsi="Times New Roman" w:cs="Times New Roman" w:hint="eastAsia"/>
                <w:b/>
                <w:color w:val="000000"/>
                <w:sz w:val="21"/>
                <w:szCs w:val="21"/>
              </w:rPr>
              <w:t>3</w:t>
            </w:r>
            <w:r w:rsidRPr="00DA3766">
              <w:rPr>
                <w:rFonts w:ascii="Times New Roman" w:hAnsi="Times New Roman" w:cs="Times New Roman"/>
                <w:b/>
                <w:color w:val="000000"/>
                <w:sz w:val="21"/>
                <w:szCs w:val="21"/>
              </w:rPr>
              <w:t>.</w:t>
            </w:r>
            <w:r>
              <w:rPr>
                <w:rFonts w:ascii="Times New Roman" w:hAnsi="Times New Roman" w:cs="Times New Roman" w:hint="eastAsia"/>
                <w:b/>
                <w:color w:val="000000"/>
                <w:sz w:val="21"/>
                <w:szCs w:val="21"/>
              </w:rPr>
              <w:t>92</w:t>
            </w:r>
            <w:r w:rsidRPr="00DA3766">
              <w:rPr>
                <w:rFonts w:ascii="Times New Roman" w:hAnsi="Times New Roman" w:cs="Times New Roman"/>
                <w:b/>
                <w:color w:val="000000"/>
                <w:sz w:val="21"/>
                <w:szCs w:val="21"/>
              </w:rPr>
              <w:t>%</w:t>
            </w:r>
          </w:p>
        </w:tc>
        <w:tc>
          <w:tcPr>
            <w:tcW w:w="863" w:type="pct"/>
            <w:shd w:val="solid" w:color="FFFFFF" w:fill="FFFFFF"/>
            <w:vAlign w:val="center"/>
          </w:tcPr>
          <w:p w14:paraId="572A7ED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56.91%</w:t>
            </w:r>
          </w:p>
        </w:tc>
      </w:tr>
      <w:tr w:rsidR="00E76498" w:rsidRPr="00DA3766" w14:paraId="07EB985D" w14:textId="77777777" w:rsidTr="009E0318">
        <w:trPr>
          <w:trHeight w:val="397"/>
          <w:jc w:val="center"/>
        </w:trPr>
        <w:tc>
          <w:tcPr>
            <w:tcW w:w="2409" w:type="pct"/>
            <w:shd w:val="solid" w:color="FFFFFF" w:fill="FFFFFF"/>
            <w:vAlign w:val="center"/>
          </w:tcPr>
          <w:p w14:paraId="562689F9"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其中：项目组独立函证回函确认比例</w:t>
            </w:r>
          </w:p>
        </w:tc>
        <w:tc>
          <w:tcPr>
            <w:tcW w:w="864" w:type="pct"/>
            <w:shd w:val="solid" w:color="FFFFFF" w:fill="FFFFFF"/>
            <w:vAlign w:val="center"/>
          </w:tcPr>
          <w:p w14:paraId="1F88070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26.66%</w:t>
            </w:r>
          </w:p>
        </w:tc>
        <w:tc>
          <w:tcPr>
            <w:tcW w:w="864" w:type="pct"/>
            <w:shd w:val="solid" w:color="FFFFFF" w:fill="FFFFFF"/>
            <w:vAlign w:val="center"/>
          </w:tcPr>
          <w:p w14:paraId="40833F4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29.24%</w:t>
            </w:r>
          </w:p>
        </w:tc>
        <w:tc>
          <w:tcPr>
            <w:tcW w:w="863" w:type="pct"/>
            <w:shd w:val="solid" w:color="FFFFFF" w:fill="FFFFFF"/>
            <w:vAlign w:val="center"/>
          </w:tcPr>
          <w:p w14:paraId="061FAAE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20.54%</w:t>
            </w:r>
          </w:p>
        </w:tc>
      </w:tr>
      <w:tr w:rsidR="00E76498" w:rsidRPr="00DA3766" w14:paraId="732E3AF7" w14:textId="77777777" w:rsidTr="009E0318">
        <w:trPr>
          <w:trHeight w:val="397"/>
          <w:jc w:val="center"/>
        </w:trPr>
        <w:tc>
          <w:tcPr>
            <w:tcW w:w="2409" w:type="pct"/>
            <w:shd w:val="solid" w:color="FFFFFF" w:fill="FFFFFF"/>
            <w:vAlign w:val="center"/>
          </w:tcPr>
          <w:p w14:paraId="7440EFB7"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复核会计师发函回函确认比例</w:t>
            </w:r>
          </w:p>
        </w:tc>
        <w:tc>
          <w:tcPr>
            <w:tcW w:w="864" w:type="pct"/>
            <w:shd w:val="solid" w:color="FFFFFF" w:fill="FFFFFF"/>
            <w:vAlign w:val="center"/>
          </w:tcPr>
          <w:p w14:paraId="7A3927B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70.80%</w:t>
            </w:r>
          </w:p>
        </w:tc>
        <w:tc>
          <w:tcPr>
            <w:tcW w:w="864" w:type="pct"/>
            <w:shd w:val="solid" w:color="FFFFFF" w:fill="FFFFFF"/>
            <w:vAlign w:val="center"/>
          </w:tcPr>
          <w:p w14:paraId="7DB517B4" w14:textId="77777777" w:rsidR="00E76498" w:rsidRPr="00F2331E"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cs="Times New Roman" w:hint="eastAsia"/>
                <w:bCs/>
                <w:color w:val="000000"/>
                <w:sz w:val="21"/>
                <w:szCs w:val="21"/>
              </w:rPr>
              <w:t>63</w:t>
            </w:r>
            <w:r w:rsidRPr="00F2331E">
              <w:rPr>
                <w:rFonts w:ascii="Times New Roman" w:hAnsi="Times New Roman" w:cs="Times New Roman" w:hint="eastAsia"/>
                <w:bCs/>
                <w:color w:val="000000"/>
                <w:sz w:val="21"/>
                <w:szCs w:val="21"/>
              </w:rPr>
              <w:t>.92%</w:t>
            </w:r>
          </w:p>
        </w:tc>
        <w:tc>
          <w:tcPr>
            <w:tcW w:w="863" w:type="pct"/>
            <w:shd w:val="solid" w:color="FFFFFF" w:fill="FFFFFF"/>
            <w:vAlign w:val="center"/>
          </w:tcPr>
          <w:p w14:paraId="275B4336"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56.91%</w:t>
            </w:r>
          </w:p>
        </w:tc>
      </w:tr>
    </w:tbl>
    <w:p w14:paraId="4F991974" w14:textId="77777777" w:rsidR="00E76498" w:rsidRDefault="00E76498" w:rsidP="00F35D3D">
      <w:pPr>
        <w:pStyle w:val="006"/>
        <w:ind w:firstLine="420"/>
      </w:pPr>
      <w:r w:rsidRPr="00DA3766">
        <w:t>注</w:t>
      </w:r>
      <w:r>
        <w:rPr>
          <w:rFonts w:hint="eastAsia"/>
        </w:rPr>
        <w:t>1</w:t>
      </w:r>
      <w:r w:rsidRPr="00DA3766">
        <w:t>：回函确认金额包含回函相符金额与经调节后相符的金额</w:t>
      </w:r>
      <w:r>
        <w:rPr>
          <w:rFonts w:hint="eastAsia"/>
        </w:rPr>
        <w:t>；</w:t>
      </w:r>
    </w:p>
    <w:p w14:paraId="3F725D91" w14:textId="77777777" w:rsidR="00E76498" w:rsidRDefault="00E76498" w:rsidP="00F35D3D">
      <w:pPr>
        <w:pStyle w:val="006"/>
        <w:ind w:firstLine="420"/>
      </w:pPr>
      <w:r>
        <w:rPr>
          <w:rFonts w:hint="eastAsia"/>
        </w:rPr>
        <w:t>注</w:t>
      </w:r>
      <w:r>
        <w:rPr>
          <w:rFonts w:hint="eastAsia"/>
        </w:rPr>
        <w:t>2</w:t>
      </w:r>
      <w:r>
        <w:rPr>
          <w:rFonts w:hint="eastAsia"/>
        </w:rPr>
        <w:t>：</w:t>
      </w:r>
      <w:r>
        <w:rPr>
          <w:rFonts w:hint="eastAsia"/>
        </w:rPr>
        <w:t>2022</w:t>
      </w:r>
      <w:r>
        <w:rPr>
          <w:rFonts w:hint="eastAsia"/>
        </w:rPr>
        <w:t>年上市公司审计单位为中审众环，</w:t>
      </w:r>
      <w:r>
        <w:rPr>
          <w:rFonts w:hint="eastAsia"/>
        </w:rPr>
        <w:t>2023</w:t>
      </w:r>
      <w:r>
        <w:rPr>
          <w:rFonts w:hint="eastAsia"/>
        </w:rPr>
        <w:t>年变更为中审亚太；</w:t>
      </w:r>
    </w:p>
    <w:p w14:paraId="217C6922" w14:textId="77777777" w:rsidR="00E76498" w:rsidRDefault="00E76498" w:rsidP="00F35D3D">
      <w:pPr>
        <w:keepNext/>
        <w:snapToGrid w:val="0"/>
        <w:spacing w:before="120" w:afterLines="0" w:after="120"/>
        <w:ind w:firstLine="480"/>
        <w:jc w:val="both"/>
        <w:rPr>
          <w:rFonts w:ascii="Times New Roman" w:hAnsi="Times New Roman" w:cs="Times New Roman"/>
        </w:rPr>
      </w:pPr>
      <w:r w:rsidRPr="00DA3766">
        <w:rPr>
          <w:rFonts w:hint="eastAsia"/>
        </w:rPr>
        <w:t>②</w:t>
      </w:r>
      <w:r w:rsidRPr="00DA3766">
        <w:rPr>
          <w:rFonts w:ascii="Times New Roman" w:hAnsi="Times New Roman" w:cs="Times New Roman"/>
        </w:rPr>
        <w:t>采购函证</w:t>
      </w:r>
    </w:p>
    <w:p w14:paraId="3CD9EE94" w14:textId="77777777" w:rsidR="00E76498" w:rsidRPr="00DA3766" w:rsidRDefault="00E76498" w:rsidP="00F35D3D">
      <w:pPr>
        <w:keepNext/>
        <w:spacing w:beforeLines="0" w:before="0" w:afterLines="0" w:after="0" w:line="240" w:lineRule="auto"/>
        <w:ind w:firstLineChars="0" w:firstLine="0"/>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4817C214" w14:textId="77777777" w:rsidTr="009E0318">
        <w:trPr>
          <w:trHeight w:val="397"/>
          <w:tblHeader/>
          <w:jc w:val="center"/>
        </w:trPr>
        <w:tc>
          <w:tcPr>
            <w:tcW w:w="2409" w:type="pct"/>
            <w:shd w:val="solid" w:color="FFFFFF" w:fill="FFFFFF"/>
            <w:vAlign w:val="center"/>
          </w:tcPr>
          <w:p w14:paraId="0FA28A92"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69AABE9B"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565F29A8"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1BCDFAB5"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237BDF9C" w14:textId="77777777" w:rsidTr="009E0318">
        <w:trPr>
          <w:trHeight w:val="397"/>
          <w:jc w:val="center"/>
        </w:trPr>
        <w:tc>
          <w:tcPr>
            <w:tcW w:w="2409" w:type="pct"/>
            <w:shd w:val="solid" w:color="FFFFFF" w:fill="FFFFFF"/>
            <w:vAlign w:val="center"/>
          </w:tcPr>
          <w:p w14:paraId="527D4850"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采购总额入</w:t>
            </w:r>
          </w:p>
        </w:tc>
        <w:tc>
          <w:tcPr>
            <w:tcW w:w="864" w:type="pct"/>
            <w:shd w:val="solid" w:color="FFFFFF" w:fill="FFFFFF"/>
            <w:vAlign w:val="center"/>
          </w:tcPr>
          <w:p w14:paraId="2B4C171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61,677.22</w:t>
            </w:r>
          </w:p>
        </w:tc>
        <w:tc>
          <w:tcPr>
            <w:tcW w:w="864" w:type="pct"/>
            <w:shd w:val="solid" w:color="FFFFFF" w:fill="FFFFFF"/>
            <w:vAlign w:val="center"/>
          </w:tcPr>
          <w:p w14:paraId="211F2BD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31,694.52</w:t>
            </w:r>
          </w:p>
        </w:tc>
        <w:tc>
          <w:tcPr>
            <w:tcW w:w="863" w:type="pct"/>
            <w:shd w:val="solid" w:color="FFFFFF" w:fill="FFFFFF"/>
            <w:vAlign w:val="center"/>
          </w:tcPr>
          <w:p w14:paraId="43E0D5E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31,255.07</w:t>
            </w:r>
          </w:p>
        </w:tc>
      </w:tr>
      <w:tr w:rsidR="00E76498" w:rsidRPr="00DA3766" w14:paraId="1C6E0368" w14:textId="77777777" w:rsidTr="009E0318">
        <w:trPr>
          <w:trHeight w:val="397"/>
          <w:jc w:val="center"/>
        </w:trPr>
        <w:tc>
          <w:tcPr>
            <w:tcW w:w="2409" w:type="pct"/>
            <w:shd w:val="solid" w:color="FFFFFF" w:fill="FFFFFF"/>
            <w:vAlign w:val="center"/>
          </w:tcPr>
          <w:p w14:paraId="623E1679"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发函总金额</w:t>
            </w:r>
          </w:p>
        </w:tc>
        <w:tc>
          <w:tcPr>
            <w:tcW w:w="864" w:type="pct"/>
            <w:shd w:val="solid" w:color="FFFFFF" w:fill="FFFFFF"/>
            <w:vAlign w:val="center"/>
          </w:tcPr>
          <w:p w14:paraId="02F0FFA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57,697.38</w:t>
            </w:r>
          </w:p>
        </w:tc>
        <w:tc>
          <w:tcPr>
            <w:tcW w:w="864" w:type="pct"/>
            <w:shd w:val="solid" w:color="FFFFFF" w:fill="FFFFFF"/>
            <w:vAlign w:val="center"/>
          </w:tcPr>
          <w:p w14:paraId="728C0EB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29,038.66</w:t>
            </w:r>
          </w:p>
        </w:tc>
        <w:tc>
          <w:tcPr>
            <w:tcW w:w="863" w:type="pct"/>
            <w:shd w:val="solid" w:color="FFFFFF" w:fill="FFFFFF"/>
            <w:vAlign w:val="center"/>
          </w:tcPr>
          <w:p w14:paraId="021C8D86"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19,200.53</w:t>
            </w:r>
          </w:p>
        </w:tc>
      </w:tr>
      <w:tr w:rsidR="00E76498" w:rsidRPr="00DA3766" w14:paraId="59BF4C59" w14:textId="77777777" w:rsidTr="009E0318">
        <w:trPr>
          <w:trHeight w:val="397"/>
          <w:jc w:val="center"/>
        </w:trPr>
        <w:tc>
          <w:tcPr>
            <w:tcW w:w="2409" w:type="pct"/>
            <w:shd w:val="solid" w:color="FFFFFF" w:fill="FFFFFF"/>
            <w:vAlign w:val="center"/>
          </w:tcPr>
          <w:p w14:paraId="43856953"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其中：项目组独立发函金额</w:t>
            </w:r>
          </w:p>
        </w:tc>
        <w:tc>
          <w:tcPr>
            <w:tcW w:w="864" w:type="pct"/>
            <w:shd w:val="solid" w:color="FFFFFF" w:fill="FFFFFF"/>
            <w:vAlign w:val="center"/>
          </w:tcPr>
          <w:p w14:paraId="70267D0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0F965FC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18479.75902</w:t>
            </w:r>
          </w:p>
        </w:tc>
        <w:tc>
          <w:tcPr>
            <w:tcW w:w="863" w:type="pct"/>
            <w:shd w:val="solid" w:color="FFFFFF" w:fill="FFFFFF"/>
            <w:vAlign w:val="center"/>
          </w:tcPr>
          <w:p w14:paraId="16E491E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19,200.53</w:t>
            </w:r>
          </w:p>
        </w:tc>
      </w:tr>
      <w:tr w:rsidR="00E76498" w:rsidRPr="00DA3766" w14:paraId="031B7E85" w14:textId="77777777" w:rsidTr="009E0318">
        <w:trPr>
          <w:trHeight w:val="397"/>
          <w:jc w:val="center"/>
        </w:trPr>
        <w:tc>
          <w:tcPr>
            <w:tcW w:w="2409" w:type="pct"/>
            <w:shd w:val="solid" w:color="FFFFFF" w:fill="FFFFFF"/>
            <w:vAlign w:val="center"/>
          </w:tcPr>
          <w:p w14:paraId="1AE0D9F6"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lastRenderedPageBreak/>
              <w:t>复核会计师发函金额</w:t>
            </w:r>
          </w:p>
        </w:tc>
        <w:tc>
          <w:tcPr>
            <w:tcW w:w="864" w:type="pct"/>
            <w:shd w:val="solid" w:color="FFFFFF" w:fill="FFFFFF"/>
            <w:vAlign w:val="center"/>
          </w:tcPr>
          <w:p w14:paraId="3F166DDC"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57,697.38</w:t>
            </w:r>
          </w:p>
        </w:tc>
        <w:tc>
          <w:tcPr>
            <w:tcW w:w="864" w:type="pct"/>
            <w:shd w:val="solid" w:color="FFFFFF" w:fill="FFFFFF"/>
            <w:vAlign w:val="center"/>
          </w:tcPr>
          <w:p w14:paraId="5A81734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29,038.66</w:t>
            </w:r>
          </w:p>
        </w:tc>
        <w:tc>
          <w:tcPr>
            <w:tcW w:w="863" w:type="pct"/>
            <w:shd w:val="solid" w:color="FFFFFF" w:fill="FFFFFF"/>
            <w:vAlign w:val="center"/>
          </w:tcPr>
          <w:p w14:paraId="33313DC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19,200.53</w:t>
            </w:r>
          </w:p>
        </w:tc>
      </w:tr>
      <w:tr w:rsidR="00E76498" w:rsidRPr="00DA3766" w14:paraId="7E6C1A11" w14:textId="77777777" w:rsidTr="009E0318">
        <w:trPr>
          <w:trHeight w:val="397"/>
          <w:jc w:val="center"/>
        </w:trPr>
        <w:tc>
          <w:tcPr>
            <w:tcW w:w="2409" w:type="pct"/>
            <w:shd w:val="solid" w:color="FFFFFF" w:fill="FFFFFF"/>
            <w:vAlign w:val="center"/>
          </w:tcPr>
          <w:p w14:paraId="50D16086"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发函总比例</w:t>
            </w:r>
          </w:p>
        </w:tc>
        <w:tc>
          <w:tcPr>
            <w:tcW w:w="864" w:type="pct"/>
            <w:shd w:val="solid" w:color="FFFFFF" w:fill="FFFFFF"/>
            <w:vAlign w:val="center"/>
          </w:tcPr>
          <w:p w14:paraId="0B70D4F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93.55%</w:t>
            </w:r>
          </w:p>
        </w:tc>
        <w:tc>
          <w:tcPr>
            <w:tcW w:w="864" w:type="pct"/>
            <w:shd w:val="solid" w:color="FFFFFF" w:fill="FFFFFF"/>
            <w:vAlign w:val="center"/>
          </w:tcPr>
          <w:p w14:paraId="02A6E1E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91.62%</w:t>
            </w:r>
          </w:p>
        </w:tc>
        <w:tc>
          <w:tcPr>
            <w:tcW w:w="863" w:type="pct"/>
            <w:shd w:val="solid" w:color="FFFFFF" w:fill="FFFFFF"/>
            <w:vAlign w:val="center"/>
          </w:tcPr>
          <w:p w14:paraId="5733EF3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61.43%</w:t>
            </w:r>
          </w:p>
        </w:tc>
      </w:tr>
      <w:tr w:rsidR="00E76498" w:rsidRPr="00DA3766" w14:paraId="5EAA068F" w14:textId="77777777" w:rsidTr="009E0318">
        <w:trPr>
          <w:trHeight w:val="397"/>
          <w:jc w:val="center"/>
        </w:trPr>
        <w:tc>
          <w:tcPr>
            <w:tcW w:w="2409" w:type="pct"/>
            <w:shd w:val="solid" w:color="FFFFFF" w:fill="FFFFFF"/>
            <w:vAlign w:val="center"/>
          </w:tcPr>
          <w:p w14:paraId="14310B4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其中：项目组独立发函比例</w:t>
            </w:r>
          </w:p>
        </w:tc>
        <w:tc>
          <w:tcPr>
            <w:tcW w:w="864" w:type="pct"/>
            <w:shd w:val="solid" w:color="FFFFFF" w:fill="FFFFFF"/>
            <w:vAlign w:val="center"/>
          </w:tcPr>
          <w:p w14:paraId="388A0AB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57.59%</w:t>
            </w:r>
          </w:p>
        </w:tc>
        <w:tc>
          <w:tcPr>
            <w:tcW w:w="864" w:type="pct"/>
            <w:shd w:val="solid" w:color="FFFFFF" w:fill="FFFFFF"/>
            <w:vAlign w:val="center"/>
          </w:tcPr>
          <w:p w14:paraId="22CAE91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58.31%</w:t>
            </w:r>
          </w:p>
        </w:tc>
        <w:tc>
          <w:tcPr>
            <w:tcW w:w="863" w:type="pct"/>
            <w:shd w:val="solid" w:color="FFFFFF" w:fill="FFFFFF"/>
            <w:vAlign w:val="center"/>
          </w:tcPr>
          <w:p w14:paraId="5D5D484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61.43%</w:t>
            </w:r>
          </w:p>
        </w:tc>
      </w:tr>
      <w:tr w:rsidR="00E76498" w:rsidRPr="00DA3766" w14:paraId="2109699C" w14:textId="77777777" w:rsidTr="009E0318">
        <w:trPr>
          <w:trHeight w:val="397"/>
          <w:jc w:val="center"/>
        </w:trPr>
        <w:tc>
          <w:tcPr>
            <w:tcW w:w="2409" w:type="pct"/>
            <w:shd w:val="solid" w:color="FFFFFF" w:fill="FFFFFF"/>
            <w:vAlign w:val="center"/>
          </w:tcPr>
          <w:p w14:paraId="3BCA7C15"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复核会计师发函比例</w:t>
            </w:r>
          </w:p>
        </w:tc>
        <w:tc>
          <w:tcPr>
            <w:tcW w:w="864" w:type="pct"/>
            <w:shd w:val="solid" w:color="FFFFFF" w:fill="FFFFFF"/>
            <w:vAlign w:val="center"/>
          </w:tcPr>
          <w:p w14:paraId="62070D3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93.55%</w:t>
            </w:r>
          </w:p>
        </w:tc>
        <w:tc>
          <w:tcPr>
            <w:tcW w:w="864" w:type="pct"/>
            <w:shd w:val="solid" w:color="FFFFFF" w:fill="FFFFFF"/>
            <w:vAlign w:val="center"/>
          </w:tcPr>
          <w:p w14:paraId="4391E94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91.62%</w:t>
            </w:r>
          </w:p>
        </w:tc>
        <w:tc>
          <w:tcPr>
            <w:tcW w:w="863" w:type="pct"/>
            <w:shd w:val="solid" w:color="FFFFFF" w:fill="FFFFFF"/>
            <w:vAlign w:val="center"/>
          </w:tcPr>
          <w:p w14:paraId="4FAFA99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61.43%</w:t>
            </w:r>
          </w:p>
        </w:tc>
      </w:tr>
      <w:tr w:rsidR="00E76498" w:rsidRPr="00DA3766" w14:paraId="3CF01C64" w14:textId="77777777" w:rsidTr="009E0318">
        <w:trPr>
          <w:trHeight w:val="397"/>
          <w:jc w:val="center"/>
        </w:trPr>
        <w:tc>
          <w:tcPr>
            <w:tcW w:w="2409" w:type="pct"/>
            <w:shd w:val="solid" w:color="FFFFFF" w:fill="FFFFFF"/>
            <w:vAlign w:val="center"/>
          </w:tcPr>
          <w:p w14:paraId="01254D28"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w:t>
            </w:r>
          </w:p>
        </w:tc>
        <w:tc>
          <w:tcPr>
            <w:tcW w:w="864" w:type="pct"/>
            <w:shd w:val="solid" w:color="FFFFFF" w:fill="FFFFFF"/>
            <w:vAlign w:val="center"/>
          </w:tcPr>
          <w:p w14:paraId="0F0DB5F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45,112.86</w:t>
            </w:r>
          </w:p>
        </w:tc>
        <w:tc>
          <w:tcPr>
            <w:tcW w:w="864" w:type="pct"/>
            <w:shd w:val="solid" w:color="FFFFFF" w:fill="FFFFFF"/>
            <w:vAlign w:val="center"/>
          </w:tcPr>
          <w:p w14:paraId="1C09EA85"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29,038.65</w:t>
            </w:r>
          </w:p>
        </w:tc>
        <w:tc>
          <w:tcPr>
            <w:tcW w:w="863" w:type="pct"/>
            <w:shd w:val="solid" w:color="FFFFFF" w:fill="FFFFFF"/>
            <w:vAlign w:val="center"/>
          </w:tcPr>
          <w:p w14:paraId="4376BAFC"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19,702.92</w:t>
            </w:r>
          </w:p>
        </w:tc>
      </w:tr>
      <w:tr w:rsidR="00E76498" w:rsidRPr="00DA3766" w14:paraId="4E3ADB30" w14:textId="77777777" w:rsidTr="009E0318">
        <w:trPr>
          <w:trHeight w:val="397"/>
          <w:jc w:val="center"/>
        </w:trPr>
        <w:tc>
          <w:tcPr>
            <w:tcW w:w="2409" w:type="pct"/>
            <w:shd w:val="solid" w:color="FFFFFF" w:fill="FFFFFF"/>
            <w:vAlign w:val="center"/>
          </w:tcPr>
          <w:p w14:paraId="627E0B62"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其中：项目组独立函证回函确认金额</w:t>
            </w:r>
          </w:p>
        </w:tc>
        <w:tc>
          <w:tcPr>
            <w:tcW w:w="864" w:type="pct"/>
            <w:shd w:val="solid" w:color="FFFFFF" w:fill="FFFFFF"/>
            <w:vAlign w:val="center"/>
          </w:tcPr>
          <w:p w14:paraId="18878D6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2347E03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18479.75902</w:t>
            </w:r>
          </w:p>
        </w:tc>
        <w:tc>
          <w:tcPr>
            <w:tcW w:w="863" w:type="pct"/>
            <w:shd w:val="solid" w:color="FFFFFF" w:fill="FFFFFF"/>
            <w:vAlign w:val="center"/>
          </w:tcPr>
          <w:p w14:paraId="1770676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19,702.92</w:t>
            </w:r>
          </w:p>
        </w:tc>
      </w:tr>
      <w:tr w:rsidR="00E76498" w:rsidRPr="00DA3766" w14:paraId="1CA32A26" w14:textId="77777777" w:rsidTr="009E0318">
        <w:trPr>
          <w:trHeight w:val="397"/>
          <w:jc w:val="center"/>
        </w:trPr>
        <w:tc>
          <w:tcPr>
            <w:tcW w:w="2409" w:type="pct"/>
            <w:shd w:val="solid" w:color="FFFFFF" w:fill="FFFFFF"/>
            <w:vAlign w:val="center"/>
          </w:tcPr>
          <w:p w14:paraId="42F7B04E"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复核会计师发函回函确认金额</w:t>
            </w:r>
          </w:p>
        </w:tc>
        <w:tc>
          <w:tcPr>
            <w:tcW w:w="864" w:type="pct"/>
            <w:shd w:val="solid" w:color="FFFFFF" w:fill="FFFFFF"/>
            <w:vAlign w:val="center"/>
          </w:tcPr>
          <w:p w14:paraId="3333817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59F9B57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18,479.76</w:t>
            </w:r>
          </w:p>
        </w:tc>
        <w:tc>
          <w:tcPr>
            <w:tcW w:w="863" w:type="pct"/>
            <w:shd w:val="solid" w:color="FFFFFF" w:fill="FFFFFF"/>
            <w:vAlign w:val="center"/>
          </w:tcPr>
          <w:p w14:paraId="5BB3D29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19,702.92</w:t>
            </w:r>
          </w:p>
        </w:tc>
      </w:tr>
      <w:tr w:rsidR="00E76498" w:rsidRPr="00DA3766" w14:paraId="385E64EE" w14:textId="77777777" w:rsidTr="009E0318">
        <w:trPr>
          <w:trHeight w:val="397"/>
          <w:jc w:val="center"/>
        </w:trPr>
        <w:tc>
          <w:tcPr>
            <w:tcW w:w="2409" w:type="pct"/>
            <w:shd w:val="solid" w:color="FFFFFF" w:fill="FFFFFF"/>
            <w:vAlign w:val="center"/>
          </w:tcPr>
          <w:p w14:paraId="3A94C33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回函确认金额占采购总额比例</w:t>
            </w:r>
          </w:p>
        </w:tc>
        <w:tc>
          <w:tcPr>
            <w:tcW w:w="864" w:type="pct"/>
            <w:shd w:val="solid" w:color="FFFFFF" w:fill="FFFFFF"/>
            <w:vAlign w:val="center"/>
          </w:tcPr>
          <w:p w14:paraId="78127696"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73.14%</w:t>
            </w:r>
          </w:p>
        </w:tc>
        <w:tc>
          <w:tcPr>
            <w:tcW w:w="864" w:type="pct"/>
            <w:shd w:val="solid" w:color="FFFFFF" w:fill="FFFFFF"/>
            <w:vAlign w:val="center"/>
          </w:tcPr>
          <w:p w14:paraId="775C559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91.62%</w:t>
            </w:r>
          </w:p>
        </w:tc>
        <w:tc>
          <w:tcPr>
            <w:tcW w:w="863" w:type="pct"/>
            <w:shd w:val="solid" w:color="FFFFFF" w:fill="FFFFFF"/>
            <w:vAlign w:val="center"/>
          </w:tcPr>
          <w:p w14:paraId="2C4D9BC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63.04%</w:t>
            </w:r>
          </w:p>
        </w:tc>
      </w:tr>
      <w:tr w:rsidR="00E76498" w:rsidRPr="00DA3766" w14:paraId="37EF7360" w14:textId="77777777" w:rsidTr="009E0318">
        <w:trPr>
          <w:trHeight w:val="397"/>
          <w:jc w:val="center"/>
        </w:trPr>
        <w:tc>
          <w:tcPr>
            <w:tcW w:w="2409" w:type="pct"/>
            <w:shd w:val="solid" w:color="FFFFFF" w:fill="FFFFFF"/>
            <w:vAlign w:val="center"/>
          </w:tcPr>
          <w:p w14:paraId="1852E26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其中：项目组独立函证回函确认比例</w:t>
            </w:r>
          </w:p>
        </w:tc>
        <w:tc>
          <w:tcPr>
            <w:tcW w:w="864" w:type="pct"/>
            <w:shd w:val="solid" w:color="FFFFFF" w:fill="FFFFFF"/>
            <w:vAlign w:val="center"/>
          </w:tcPr>
          <w:p w14:paraId="3EC4E23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57.59%</w:t>
            </w:r>
          </w:p>
        </w:tc>
        <w:tc>
          <w:tcPr>
            <w:tcW w:w="864" w:type="pct"/>
            <w:shd w:val="solid" w:color="FFFFFF" w:fill="FFFFFF"/>
            <w:vAlign w:val="center"/>
          </w:tcPr>
          <w:p w14:paraId="2226119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58.31%</w:t>
            </w:r>
          </w:p>
        </w:tc>
        <w:tc>
          <w:tcPr>
            <w:tcW w:w="863" w:type="pct"/>
            <w:shd w:val="solid" w:color="FFFFFF" w:fill="FFFFFF"/>
            <w:vAlign w:val="center"/>
          </w:tcPr>
          <w:p w14:paraId="297CE87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63.04%</w:t>
            </w:r>
          </w:p>
        </w:tc>
      </w:tr>
      <w:tr w:rsidR="00E76498" w:rsidRPr="00DA3766" w14:paraId="51FA5E66" w14:textId="77777777" w:rsidTr="009E0318">
        <w:trPr>
          <w:trHeight w:val="397"/>
          <w:jc w:val="center"/>
        </w:trPr>
        <w:tc>
          <w:tcPr>
            <w:tcW w:w="2409" w:type="pct"/>
            <w:shd w:val="solid" w:color="FFFFFF" w:fill="FFFFFF"/>
            <w:vAlign w:val="center"/>
          </w:tcPr>
          <w:p w14:paraId="782A08A8" w14:textId="77777777" w:rsidR="00E76498" w:rsidRPr="00DA3766" w:rsidRDefault="00E76498" w:rsidP="00F35D3D">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复核会计师发函回函确认比例</w:t>
            </w:r>
          </w:p>
        </w:tc>
        <w:tc>
          <w:tcPr>
            <w:tcW w:w="864" w:type="pct"/>
            <w:shd w:val="solid" w:color="FFFFFF" w:fill="FFFFFF"/>
            <w:vAlign w:val="center"/>
          </w:tcPr>
          <w:p w14:paraId="7F9B0C9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73.14%</w:t>
            </w:r>
          </w:p>
        </w:tc>
        <w:tc>
          <w:tcPr>
            <w:tcW w:w="864" w:type="pct"/>
            <w:shd w:val="solid" w:color="FFFFFF" w:fill="FFFFFF"/>
            <w:vAlign w:val="center"/>
          </w:tcPr>
          <w:p w14:paraId="7A3FDF5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91.62%</w:t>
            </w:r>
          </w:p>
        </w:tc>
        <w:tc>
          <w:tcPr>
            <w:tcW w:w="863" w:type="pct"/>
            <w:shd w:val="solid" w:color="FFFFFF" w:fill="FFFFFF"/>
            <w:vAlign w:val="center"/>
          </w:tcPr>
          <w:p w14:paraId="7F67F3A1"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63.04%</w:t>
            </w:r>
          </w:p>
        </w:tc>
      </w:tr>
    </w:tbl>
    <w:bookmarkEnd w:id="292"/>
    <w:p w14:paraId="0D045316"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6</w:t>
      </w:r>
      <w:r w:rsidRPr="00DA3766">
        <w:rPr>
          <w:rFonts w:ascii="Times New Roman" w:hAnsi="Times New Roman" w:cs="Times New Roman"/>
        </w:rPr>
        <w:t>）选取上市公司</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年上市公司各期前五大客户、供应商，以及</w:t>
      </w:r>
      <w:r w:rsidRPr="00DA3766">
        <w:rPr>
          <w:rFonts w:ascii="Times New Roman" w:hAnsi="Times New Roman" w:cs="Times New Roman"/>
        </w:rPr>
        <w:t>2024</w:t>
      </w:r>
      <w:r w:rsidRPr="00DA3766">
        <w:rPr>
          <w:rFonts w:ascii="Times New Roman" w:hAnsi="Times New Roman" w:cs="Times New Roman"/>
        </w:rPr>
        <w:t>年期末应收账款余额的客户（重点针对长账期应收账款客户）进行走访，了解上市公司业绩变化原因及合理性、收入真实性、行业周期性变化等因素。</w:t>
      </w:r>
    </w:p>
    <w:p w14:paraId="79F43946" w14:textId="77777777" w:rsidR="00E76498" w:rsidRPr="00DA3766" w:rsidRDefault="00E76498" w:rsidP="00F35D3D">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2DC3A752" w14:textId="77777777" w:rsidTr="00DA3766">
        <w:trPr>
          <w:trHeight w:val="397"/>
          <w:tblHeader/>
          <w:jc w:val="center"/>
        </w:trPr>
        <w:tc>
          <w:tcPr>
            <w:tcW w:w="2408" w:type="pct"/>
            <w:shd w:val="solid" w:color="FFFFFF" w:fill="FFFFFF"/>
            <w:vAlign w:val="center"/>
          </w:tcPr>
          <w:p w14:paraId="29461ACE"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017F2BBA"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06BD3EB6"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251B922E"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7B6E0D96" w14:textId="77777777" w:rsidTr="00DA3766">
        <w:trPr>
          <w:trHeight w:val="397"/>
          <w:jc w:val="center"/>
        </w:trPr>
        <w:tc>
          <w:tcPr>
            <w:tcW w:w="2408" w:type="pct"/>
            <w:shd w:val="solid" w:color="FFFFFF" w:fill="FFFFFF"/>
            <w:vAlign w:val="center"/>
          </w:tcPr>
          <w:p w14:paraId="45F6C440"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864" w:type="pct"/>
            <w:shd w:val="solid" w:color="FFFFFF" w:fill="FFFFFF"/>
            <w:vAlign w:val="center"/>
          </w:tcPr>
          <w:p w14:paraId="26D3AA1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22,363.30</w:t>
            </w:r>
          </w:p>
        </w:tc>
        <w:tc>
          <w:tcPr>
            <w:tcW w:w="864" w:type="pct"/>
            <w:shd w:val="solid" w:color="FFFFFF" w:fill="FFFFFF"/>
            <w:vAlign w:val="center"/>
          </w:tcPr>
          <w:p w14:paraId="21305C6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41,000.98</w:t>
            </w:r>
          </w:p>
        </w:tc>
        <w:tc>
          <w:tcPr>
            <w:tcW w:w="863" w:type="pct"/>
            <w:shd w:val="solid" w:color="FFFFFF" w:fill="FFFFFF"/>
            <w:vAlign w:val="center"/>
          </w:tcPr>
          <w:p w14:paraId="575538B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43,921.75</w:t>
            </w:r>
          </w:p>
        </w:tc>
      </w:tr>
      <w:tr w:rsidR="00E76498" w:rsidRPr="00DA3766" w14:paraId="0C562B30" w14:textId="77777777" w:rsidTr="00DA3766">
        <w:trPr>
          <w:trHeight w:val="397"/>
          <w:jc w:val="center"/>
        </w:trPr>
        <w:tc>
          <w:tcPr>
            <w:tcW w:w="2408" w:type="pct"/>
            <w:shd w:val="solid" w:color="FFFFFF" w:fill="FFFFFF"/>
            <w:vAlign w:val="center"/>
          </w:tcPr>
          <w:p w14:paraId="480C2169"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走访覆盖金额</w:t>
            </w:r>
          </w:p>
        </w:tc>
        <w:tc>
          <w:tcPr>
            <w:tcW w:w="864" w:type="pct"/>
            <w:shd w:val="solid" w:color="FFFFFF" w:fill="FFFFFF"/>
            <w:vAlign w:val="center"/>
          </w:tcPr>
          <w:p w14:paraId="146AA4F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sz w:val="21"/>
              </w:rPr>
              <w:t>627.04</w:t>
            </w:r>
          </w:p>
        </w:tc>
        <w:tc>
          <w:tcPr>
            <w:tcW w:w="864" w:type="pct"/>
            <w:shd w:val="solid" w:color="FFFFFF" w:fill="FFFFFF"/>
            <w:vAlign w:val="center"/>
          </w:tcPr>
          <w:p w14:paraId="5A47802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148.17</w:t>
            </w:r>
          </w:p>
        </w:tc>
        <w:tc>
          <w:tcPr>
            <w:tcW w:w="863" w:type="pct"/>
            <w:shd w:val="solid" w:color="FFFFFF" w:fill="FFFFFF"/>
            <w:vAlign w:val="center"/>
          </w:tcPr>
          <w:p w14:paraId="040D467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683.19</w:t>
            </w:r>
          </w:p>
        </w:tc>
      </w:tr>
      <w:tr w:rsidR="00E76498" w:rsidRPr="00DA3766" w14:paraId="25C94464" w14:textId="77777777" w:rsidTr="00DA3766">
        <w:trPr>
          <w:trHeight w:val="397"/>
          <w:jc w:val="center"/>
        </w:trPr>
        <w:tc>
          <w:tcPr>
            <w:tcW w:w="2408" w:type="pct"/>
            <w:shd w:val="solid" w:color="FFFFFF" w:fill="FFFFFF"/>
            <w:vAlign w:val="center"/>
          </w:tcPr>
          <w:p w14:paraId="60C39AFD"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走访比例</w:t>
            </w:r>
          </w:p>
        </w:tc>
        <w:tc>
          <w:tcPr>
            <w:tcW w:w="864" w:type="pct"/>
            <w:shd w:val="solid" w:color="FFFFFF" w:fill="FFFFFF"/>
            <w:vAlign w:val="center"/>
          </w:tcPr>
          <w:p w14:paraId="4B1DD1D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47.52%</w:t>
            </w:r>
          </w:p>
        </w:tc>
        <w:tc>
          <w:tcPr>
            <w:tcW w:w="864" w:type="pct"/>
            <w:shd w:val="solid" w:color="FFFFFF" w:fill="FFFFFF"/>
            <w:vAlign w:val="center"/>
          </w:tcPr>
          <w:p w14:paraId="520847E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27.19%</w:t>
            </w:r>
          </w:p>
        </w:tc>
        <w:tc>
          <w:tcPr>
            <w:tcW w:w="863" w:type="pct"/>
            <w:shd w:val="solid" w:color="FFFFFF" w:fill="FFFFFF"/>
            <w:vAlign w:val="center"/>
          </w:tcPr>
          <w:p w14:paraId="22BC1DA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26.60%</w:t>
            </w:r>
          </w:p>
        </w:tc>
      </w:tr>
    </w:tbl>
    <w:p w14:paraId="35516BD2"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7</w:t>
      </w:r>
      <w:r w:rsidRPr="00DA3766">
        <w:rPr>
          <w:rFonts w:ascii="Times New Roman" w:hAnsi="Times New Roman" w:cs="Times New Roman"/>
        </w:rPr>
        <w:t>）获取上市公司各期末应收账款明细，核查各期末应收账款的期后回款情况，并抽取期后回款的大额银行汇款，核查应收账款及期后回款的真实性。</w:t>
      </w:r>
    </w:p>
    <w:p w14:paraId="0FA239AC"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8</w:t>
      </w:r>
      <w:r w:rsidRPr="00DA3766">
        <w:rPr>
          <w:rFonts w:ascii="Times New Roman" w:hAnsi="Times New Roman" w:cs="Times New Roman"/>
        </w:rPr>
        <w:t>）对报告期内上市公司主要客户与各期末应收账款主要客户进行匹配，对应收账款主要客户对应的各期末应收账款金额与其当期收入金额进行匹配，分析应收账款的真实性。</w:t>
      </w:r>
    </w:p>
    <w:p w14:paraId="5D8B41EA"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9</w:t>
      </w:r>
      <w:r w:rsidRPr="00DA3766">
        <w:rPr>
          <w:rFonts w:ascii="Times New Roman" w:hAnsi="Times New Roman" w:cs="Times New Roman"/>
        </w:rPr>
        <w:t>）取得上市公司报告期内的银行流水和银行开户清单，在核对银行流水完备性的基础上，对大额异常资金流水进行核查，分析是否存在资金占用、第三方回款等异常情形。</w:t>
      </w:r>
    </w:p>
    <w:p w14:paraId="426CA452"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Pr>
          <w:rFonts w:ascii="Times New Roman" w:hAnsi="Times New Roman" w:cs="Times New Roman" w:hint="eastAsia"/>
          <w:b/>
          <w:bCs/>
          <w:kern w:val="2"/>
          <w:szCs w:val="28"/>
        </w:rPr>
        <w:t>三</w:t>
      </w:r>
      <w:r w:rsidRPr="00DA3766">
        <w:rPr>
          <w:rFonts w:ascii="Times New Roman" w:hAnsi="Times New Roman" w:cs="Times New Roman"/>
          <w:b/>
          <w:bCs/>
          <w:kern w:val="2"/>
          <w:szCs w:val="28"/>
        </w:rPr>
        <w:t>）核查意见</w:t>
      </w:r>
    </w:p>
    <w:p w14:paraId="5CE8B05C"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65C299B4"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上市公司最近三年业绩真实和会计处理合规，不存在虚假交易、虚构利润，</w:t>
      </w:r>
      <w:r w:rsidRPr="00DA3766">
        <w:rPr>
          <w:rFonts w:ascii="Times New Roman" w:hAnsi="Times New Roman" w:cs="Times New Roman"/>
          <w:kern w:val="2"/>
          <w:szCs w:val="22"/>
        </w:rPr>
        <w:lastRenderedPageBreak/>
        <w:t>不存在关联方利益输送，不存在调节会计利润以符合或规避监管要求的情形，相关会计处理符合企业会计准则规定，不存在滥用会计政策、会计差错更正或会计估计变更等对上市公司进行</w:t>
      </w:r>
      <w:r w:rsidRPr="00DA3766">
        <w:rPr>
          <w:rFonts w:cs="Times New Roman"/>
          <w:kern w:val="2"/>
          <w:szCs w:val="22"/>
        </w:rPr>
        <w:t>“</w:t>
      </w:r>
      <w:r w:rsidRPr="00DA3766">
        <w:rPr>
          <w:rFonts w:ascii="Times New Roman" w:hAnsi="Times New Roman" w:cs="Times New Roman"/>
          <w:kern w:val="2"/>
          <w:szCs w:val="22"/>
        </w:rPr>
        <w:t>大洗澡</w:t>
      </w:r>
      <w:r w:rsidRPr="00DA3766">
        <w:rPr>
          <w:rFonts w:cs="Times New Roman"/>
          <w:kern w:val="2"/>
          <w:szCs w:val="22"/>
        </w:rPr>
        <w:t>”</w:t>
      </w:r>
      <w:r w:rsidRPr="00DA3766">
        <w:rPr>
          <w:rFonts w:ascii="Times New Roman" w:hAnsi="Times New Roman" w:cs="Times New Roman"/>
          <w:kern w:val="2"/>
          <w:szCs w:val="22"/>
        </w:rPr>
        <w:t>的情形。</w:t>
      </w:r>
    </w:p>
    <w:p w14:paraId="758F77E3"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十五、</w:t>
      </w:r>
      <w:r>
        <w:rPr>
          <w:rFonts w:ascii="Times New Roman" w:hAnsi="Times New Roman" w:cs="Times New Roman" w:hint="eastAsia"/>
          <w:b/>
          <w:bCs/>
          <w:kern w:val="2"/>
          <w:szCs w:val="28"/>
        </w:rPr>
        <w:t>独立财务顾问</w:t>
      </w:r>
      <w:r w:rsidRPr="00DA3766">
        <w:rPr>
          <w:rFonts w:ascii="Times New Roman" w:hAnsi="Times New Roman" w:cs="Times New Roman"/>
          <w:b/>
          <w:bCs/>
          <w:kern w:val="2"/>
          <w:szCs w:val="28"/>
        </w:rPr>
        <w:t>对上市公司货币资金、应收账款、存货、在建工程、固定资产等主要资产相关核查工作的具体情况，并对上述资产是否真实存在、相关会计核算是否准确发表明确意见。</w:t>
      </w:r>
    </w:p>
    <w:p w14:paraId="1BF73614"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（一）货币资金核查情况</w:t>
      </w:r>
    </w:p>
    <w:p w14:paraId="75E2656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0959B701" w14:textId="62A6E392"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、获取并查阅</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的《货币资金管理制度》，了解开户、支付、核对、盘点等关键控制环节；</w:t>
      </w:r>
    </w:p>
    <w:p w14:paraId="51CE620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、执行穿行测试，选取样本追踪一笔资金从申请到支付的全程，验证制度是否得到执行；</w:t>
      </w:r>
    </w:p>
    <w:p w14:paraId="75937703"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、执行控制测试，测试关键控制的运行有效性；</w:t>
      </w:r>
    </w:p>
    <w:p w14:paraId="3549B17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、亲自前往银行以及通过网银获取《已开立银行结算账户清单》，与账面记录核对，确保账户完整性；</w:t>
      </w:r>
    </w:p>
    <w:p w14:paraId="6728FF8F" w14:textId="2A9C21A6"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、获取</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及其重要子公司报告期内所有银行账户的银行对账单和银行流水；</w:t>
      </w:r>
    </w:p>
    <w:p w14:paraId="2AE1040A"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、复核会计师在报告期各期末对所有银行存款账户实施的银行函证，检查余额的真实性以及是否存在抵押、质押、冻结等权利限制；</w:t>
      </w:r>
    </w:p>
    <w:p w14:paraId="1564CD7A"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、对大额异常资金流水进行核查，分析是否存在资金占用、第三方回款等异常情形；</w:t>
      </w:r>
    </w:p>
    <w:p w14:paraId="572B6CA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、复核会计师在报告期各期末对库存现金实施监盘程序的底稿以及分析性程序底稿。</w:t>
      </w:r>
    </w:p>
    <w:p w14:paraId="37F335E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经核查，上市公司货币资金相关内控制度健全有效，报告期各期末货币资金余额真实、准确、完整，不存在异常现金收支或体外资金循环的情形。</w:t>
      </w:r>
    </w:p>
    <w:p w14:paraId="0866C6F8"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（二）应收账款核查情况</w:t>
      </w:r>
    </w:p>
    <w:p w14:paraId="69EBBD7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13D10A0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、了解销售与收款循环内部控制，复核报告期各期末会计师内控测试底稿；</w:t>
      </w:r>
    </w:p>
    <w:p w14:paraId="557A6910"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、复核会计师年度审计的函证底稿，并对报告期各期前五大客户的应收账款余额及交易额实施独立函证，对未回函或回函不符的，执行替代测试：检查销售合同、验收单</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签收单、销售发票、期后回款记录等；</w:t>
      </w:r>
    </w:p>
    <w:p w14:paraId="541D5F5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、抽取大额销售交易，检查对应的合同、验收单、发票、回款单等支撑性资料；</w:t>
      </w:r>
    </w:p>
    <w:p w14:paraId="05DF158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、复核会计师对资产负债表日前后记录的收入和应收账款进行截止测试，确认收入确认时点是否恰当；</w:t>
      </w:r>
    </w:p>
    <w:p w14:paraId="5A4980C2"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、检查报告期后应收账款的回款情况，评估坏账准备计提的充分性；</w:t>
      </w:r>
    </w:p>
    <w:p w14:paraId="50DD6C7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、通过企查查、国家企业信用信息公示系统等查询主要客户的工商信息、股权结构、是否存在经营异常；</w:t>
      </w:r>
    </w:p>
    <w:p w14:paraId="5996F0D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、对主要客户进行实地走访或视频访谈，确认交易背景、合同条款、结算方式、是否存在关联关系；</w:t>
      </w:r>
    </w:p>
    <w:p w14:paraId="0EA23942" w14:textId="6481CFB9"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、了解并评价</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的信用政策及坏账准备计提政策，评价坏账准备计提的充分性。</w:t>
      </w:r>
    </w:p>
    <w:p w14:paraId="007B4198"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经核查，独立财务顾问认为，上市公司应收账款真实、完整，坏账准备计提政策合理且计提充分。</w:t>
      </w:r>
    </w:p>
    <w:p w14:paraId="13900291"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（三）存货核查情况</w:t>
      </w:r>
    </w:p>
    <w:p w14:paraId="16BF3DCF"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41B2F7F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、了解与测试存货相关内部控制，并复核年度审计会计师的相关内控测试底稿；</w:t>
      </w:r>
    </w:p>
    <w:p w14:paraId="09DFA50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、检查历史年度上市公司存货盘点以及会计师存货监盘的记录资料，并参与上市公司年度盘点；</w:t>
      </w:r>
    </w:p>
    <w:p w14:paraId="63CB8524"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、复核年审会计师存货审计核查程序底稿，了解上市公司存货跌价计提政</w:t>
      </w:r>
      <w:r w:rsidRPr="00DA3766">
        <w:rPr>
          <w:rFonts w:ascii="Times New Roman" w:hAnsi="Times New Roman" w:cs="Times New Roman"/>
          <w:kern w:val="2"/>
          <w14:ligatures w14:val="standardContextual"/>
        </w:rPr>
        <w:lastRenderedPageBreak/>
        <w:t>策是否合理，计提是否充分；</w:t>
      </w:r>
    </w:p>
    <w:p w14:paraId="11BF905F"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、复核年审会计师存货分析程序并查阅可比公司年报等资料，分析存货结构变动的原因及合理性。</w:t>
      </w:r>
    </w:p>
    <w:p w14:paraId="7D123B43"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经核查，上市公司存货真实、完整，计价准确，存货跌价准备计提充分。</w:t>
      </w:r>
    </w:p>
    <w:p w14:paraId="3F7886BB"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（四）在建工程核查情况</w:t>
      </w:r>
    </w:p>
    <w:p w14:paraId="0DD5847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534846A3"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、了解与测试在建工程相关内部控制，并复核年度审计会计师的相关内控测试底稿；</w:t>
      </w:r>
    </w:p>
    <w:p w14:paraId="16CAC0E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、复核上市公司在建工程盘点底稿，核查在建工程的真实性；</w:t>
      </w:r>
    </w:p>
    <w:p w14:paraId="7B56D752"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、获取在建工程明细表，检查重大项目的预算、合同、工程进度确认单、发票、付款记录等，核查成本归集是否准确，是否存在将无关费用、日常管理费用计入在建工程的情形</w:t>
      </w:r>
      <w:r>
        <w:rPr>
          <w:rFonts w:ascii="Times New Roman" w:hAnsi="Times New Roman" w:cs="Times New Roman" w:hint="eastAsia"/>
          <w:kern w:val="2"/>
          <w14:ligatures w14:val="standardContextual"/>
        </w:rPr>
        <w:t>；</w:t>
      </w:r>
    </w:p>
    <w:p w14:paraId="4D8F6597" w14:textId="30650022"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、抽取主要工程承包商、设备供应商进行访谈和函证，核实交易真实性、价格公允性，并核查其与</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及关联方是否存在关联关系；</w:t>
      </w:r>
    </w:p>
    <w:p w14:paraId="113934FD"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、对于在建工程转固，检查竣工决算报告、验收单等和时点是否恰当；</w:t>
      </w:r>
    </w:p>
    <w:p w14:paraId="5AB28D4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、复核会计师在建工程审计底稿，了解在建工程是否存在减值迹象，借款费用资本化金额的计算是否准确。</w:t>
      </w:r>
    </w:p>
    <w:p w14:paraId="0EE39014"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经核查，独立财务顾问认为，在建工程真实、成本归集准确、转固时点恰当，不存在延迟转固、费用资本化不当或减值计提不充分的情况。</w:t>
      </w:r>
    </w:p>
    <w:p w14:paraId="4B1AFF38"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（五）固定资产核查情况</w:t>
      </w:r>
    </w:p>
    <w:p w14:paraId="65BDEAC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41E4893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、了解与测试固定资产相关内部控制，并复核年度审计会计师的相关内控测试底稿；</w:t>
      </w:r>
    </w:p>
    <w:p w14:paraId="776FFFC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、复核上市公司固定资产盘点及会计师监盘底稿，并抽检房屋建筑物的不动产权证书、车辆行驶证等资料；</w:t>
      </w:r>
    </w:p>
    <w:p w14:paraId="1EB47379"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、对报告期内新增的重大固定资产，检查采购合同、发票、验收报告、付</w:t>
      </w:r>
      <w:r w:rsidRPr="00DA3766">
        <w:rPr>
          <w:rFonts w:ascii="Times New Roman" w:hAnsi="Times New Roman" w:cs="Times New Roman"/>
          <w:kern w:val="2"/>
          <w14:ligatures w14:val="standardContextual"/>
        </w:rPr>
        <w:lastRenderedPageBreak/>
        <w:t>款凭证等，确认入账价值准确、及时；</w:t>
      </w:r>
    </w:p>
    <w:p w14:paraId="0BBEBE4E"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、对于在建工程转入，检查转固依据和时点是否恰当；</w:t>
      </w:r>
    </w:p>
    <w:p w14:paraId="2F97658B"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bookmarkStart w:id="293" w:name="_Hlk220423668"/>
      <w:r w:rsidRPr="00CE539B">
        <w:rPr>
          <w:rFonts w:ascii="Times New Roman" w:hAnsi="Times New Roman" w:cs="Times New Roman" w:hint="eastAsia"/>
          <w:kern w:val="2"/>
          <w14:ligatures w14:val="standardContextual"/>
        </w:rPr>
        <w:t>5</w:t>
      </w:r>
      <w:r w:rsidRPr="00CE539B">
        <w:rPr>
          <w:rFonts w:ascii="Times New Roman" w:hAnsi="Times New Roman" w:cs="Times New Roman" w:hint="eastAsia"/>
          <w:kern w:val="2"/>
          <w14:ligatures w14:val="standardContextual"/>
        </w:rPr>
        <w:t>、</w:t>
      </w:r>
      <w:r w:rsidRPr="0081203C">
        <w:rPr>
          <w:rFonts w:ascii="Times New Roman" w:hAnsi="Times New Roman" w:cs="Times New Roman" w:hint="eastAsia"/>
          <w:kern w:val="2"/>
          <w14:ligatures w14:val="standardContextual"/>
        </w:rPr>
        <w:t>根据相应资产的运营状况和市场行情判断是否存在减值迹象</w:t>
      </w:r>
      <w:r>
        <w:rPr>
          <w:rFonts w:ascii="Times New Roman" w:hAnsi="Times New Roman" w:cs="Times New Roman" w:hint="eastAsia"/>
          <w:kern w:val="2"/>
          <w14:ligatures w14:val="standardContextual"/>
        </w:rPr>
        <w:t>；</w:t>
      </w:r>
    </w:p>
    <w:p w14:paraId="5E1F499B"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6</w:t>
      </w:r>
      <w:r>
        <w:rPr>
          <w:rFonts w:ascii="Times New Roman" w:hAnsi="Times New Roman" w:cs="Times New Roman" w:hint="eastAsia"/>
          <w:kern w:val="2"/>
          <w14:ligatures w14:val="standardContextual"/>
        </w:rPr>
        <w:t>、</w:t>
      </w:r>
      <w:r w:rsidRPr="00CE539B">
        <w:rPr>
          <w:rFonts w:ascii="Times New Roman" w:hAnsi="Times New Roman" w:cs="Times New Roman" w:hint="eastAsia"/>
          <w:kern w:val="2"/>
          <w14:ligatures w14:val="standardContextual"/>
        </w:rPr>
        <w:t>复核会计师固定资产的分析程序底稿，了解并评价折旧政策的合理性，是否与同行业存在显著差异，评估减值测试过程及计提是否充分。</w:t>
      </w:r>
    </w:p>
    <w:bookmarkEnd w:id="293"/>
    <w:p w14:paraId="71579D6A"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经核查，独立财务顾问认为，上市公司固定资产真实存在、权属清晰、入账价值准确、折旧计提合理，未发现重大减值迹象或计提不充分的情况。</w:t>
      </w:r>
    </w:p>
    <w:p w14:paraId="493EF11B"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w:t>
      </w:r>
      <w:r>
        <w:rPr>
          <w:rFonts w:ascii="Times New Roman" w:hAnsi="Times New Roman" w:cs="Times New Roman" w:hint="eastAsia"/>
          <w:b/>
          <w:bCs/>
          <w:kern w:val="2"/>
          <w:szCs w:val="28"/>
        </w:rPr>
        <w:t>六</w:t>
      </w:r>
      <w:r w:rsidRPr="00DA3766">
        <w:rPr>
          <w:rFonts w:ascii="Times New Roman" w:hAnsi="Times New Roman" w:cs="Times New Roman"/>
          <w:b/>
          <w:bCs/>
          <w:kern w:val="2"/>
          <w:szCs w:val="28"/>
        </w:rPr>
        <w:t>、</w:t>
      </w:r>
      <w:r>
        <w:rPr>
          <w:rFonts w:ascii="Times New Roman" w:hAnsi="Times New Roman" w:cs="Times New Roman" w:hint="eastAsia"/>
          <w:b/>
          <w:bCs/>
          <w:kern w:val="2"/>
          <w:szCs w:val="28"/>
        </w:rPr>
        <w:t>会计师</w:t>
      </w:r>
      <w:r w:rsidRPr="00DA3766">
        <w:rPr>
          <w:rFonts w:ascii="Times New Roman" w:hAnsi="Times New Roman" w:cs="Times New Roman"/>
          <w:b/>
          <w:bCs/>
          <w:kern w:val="2"/>
          <w:szCs w:val="28"/>
        </w:rPr>
        <w:t>核查过程及核查意见</w:t>
      </w:r>
    </w:p>
    <w:p w14:paraId="0EB46D8E"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（一）核查程序</w:t>
      </w:r>
    </w:p>
    <w:p w14:paraId="3ADBA4C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针对前述事项，</w:t>
      </w:r>
      <w:r>
        <w:rPr>
          <w:rFonts w:ascii="Times New Roman" w:hAnsi="Times New Roman" w:cs="Times New Roman" w:hint="eastAsia"/>
          <w:kern w:val="2"/>
          <w:szCs w:val="22"/>
        </w:rPr>
        <w:t>会计师</w:t>
      </w:r>
      <w:r w:rsidRPr="00DA3766">
        <w:rPr>
          <w:rFonts w:ascii="Times New Roman" w:hAnsi="Times New Roman" w:cs="Times New Roman"/>
          <w:kern w:val="2"/>
          <w:szCs w:val="22"/>
        </w:rPr>
        <w:t>主要实施了以下核查程序：</w:t>
      </w:r>
    </w:p>
    <w:p w14:paraId="174CFEA6"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、取得上市公司定期报告，核查公司业务模式、主要会计政策、财务数据以及变动趋势、原因等情况；</w:t>
      </w:r>
    </w:p>
    <w:p w14:paraId="7FD1DB0D"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、取得上市公司可比公司的定期报告，核查可比公司业务模式、主要会计政策、财务数据以及相关变动趋势，分析变动趋势一致性及合理性；</w:t>
      </w:r>
    </w:p>
    <w:p w14:paraId="30CD7D21"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、查阅上市公司各业务领域的研究报告，了解行业发展空间、趋势以及市场竞争情况；</w:t>
      </w:r>
    </w:p>
    <w:p w14:paraId="56463B1F"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获取报告期内上市公司贸易业务的购销明细、合同、结算单、及银行收付款凭证，对主要贸易业务进行细节测试，检查业务的真实性及合理性；结合业务模式及实际开展情况，判断公司会计处理的准确性；核查报告期后销售回款及采购付款情况，关注是否存在异常资金流转；通过天眼查等对主要贸易客户及供应商进行背景调查，重点关其是否与上市公司存在关联关系，并通过访谈程序注确认相关产品最终销售情况；</w:t>
      </w:r>
      <w:r w:rsidRPr="00DA3766" w:rsidDel="00174CDD">
        <w:rPr>
          <w:rFonts w:ascii="Times New Roman" w:hAnsi="Times New Roman" w:cs="Times New Roman"/>
          <w:kern w:val="2"/>
          <w:szCs w:val="22"/>
        </w:rPr>
        <w:t xml:space="preserve"> </w:t>
      </w:r>
    </w:p>
    <w:p w14:paraId="5F56EFD3"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、针对报告期各年第四季度，特别是</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份确认收入的项目，抽取金额重大或合同签订与验收日期临近日期的项目样本，获取其销售合同、立项文件、进度确认资料、验收报告等全套支持性文件，对比分析合同签订时点、履约进度、验收时点与收入确认时点的间隔，评估收入确认时点是否符合《企业会计准则》及公司会计政策；</w:t>
      </w:r>
    </w:p>
    <w:p w14:paraId="253B4A25"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6</w:t>
      </w:r>
      <w:r w:rsidRPr="00DA3766">
        <w:rPr>
          <w:rFonts w:ascii="Times New Roman" w:hAnsi="Times New Roman" w:cs="Times New Roman"/>
          <w:kern w:val="2"/>
          <w14:ligatures w14:val="standardContextual"/>
        </w:rPr>
        <w:t>、对重要客户执行函证程序，确认交易额及验收条款；</w:t>
      </w:r>
    </w:p>
    <w:p w14:paraId="6E9834C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获取报告期各期末应收账款账龄明细表，获取重要客户交易合同及验收（签收）单据，核查账龄的准确性；通过企查查等公开渠道对主要客户进行背景调查，重点关注其股权结构及经营状况，核查其是否与公司关联关系等；根据公司的坏账计提政策，验证坏账计提的准确性，同时与同行业上市公司坏账计提比例进行比较，以核实公司的坏账计提是否充分；</w:t>
      </w:r>
      <w:r w:rsidRPr="00DA3766">
        <w:rPr>
          <w:rFonts w:ascii="Times New Roman" w:hAnsi="Times New Roman" w:cs="Times New Roman"/>
          <w:kern w:val="2"/>
          <w14:ligatures w14:val="standardContextual"/>
        </w:rPr>
        <w:t xml:space="preserve"> </w:t>
      </w:r>
    </w:p>
    <w:p w14:paraId="602D66C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了解在产品成本核算方法，抽取部分项目执行重新计算程序，以验证公司在产品成本核算的准确性和合理性；获取报告期各期末在产品明细表，对期末余额较大的项目获取销相关文件，根据公司的立项时间、对应项目的预计完工时间判断该项目未结转的合理性，同时抽取重大项目实地查看并对相关项目的供应商进行函证，以验证项目的真实性；</w:t>
      </w:r>
    </w:p>
    <w:p w14:paraId="48CC817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color w:val="EE0000"/>
          <w:kern w:val="2"/>
          <w14:ligatures w14:val="standardContextual"/>
        </w:rPr>
      </w:pP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检索并查阅算力服务、光伏发电行业的国家及地方产业政策、行业标准；查阅权威研究机构发布的行业研究报告，了解行业的市场规模、增长驱动因素、竞争格局及未来发展趋势；综合分析行业环境与公司业务的关联性，评估相关政策变动及市场空间对公司持续经营能力的影响；</w:t>
      </w:r>
    </w:p>
    <w:p w14:paraId="68905DC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10</w:t>
      </w:r>
      <w:r w:rsidRPr="00DA3766">
        <w:rPr>
          <w:rFonts w:ascii="Times New Roman" w:hAnsi="Times New Roman" w:cs="Times New Roman"/>
          <w:kern w:val="2"/>
          <w14:ligatures w14:val="standardContextual"/>
        </w:rPr>
        <w:t>、根据公开信息查询从事算力服务的上市公司其算力设备的获取方式与公司是否存在重大差异；对公司算力设备的供应商进行背景调查，重点关注其是否与公司存在关联关系，同时对设备采购价同期市场价格进行对比，论证设备采购价格的公允性；对公司有关人员进行访谈，了解该项业务的开展背景，获取中国移动深圳分公司发布的甄选结果通知，以论证算力设备交付时间较短的合理性；</w:t>
      </w:r>
    </w:p>
    <w:p w14:paraId="056B163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11</w:t>
      </w:r>
      <w:r w:rsidRPr="00DA3766">
        <w:rPr>
          <w:rFonts w:ascii="Times New Roman" w:hAnsi="Times New Roman" w:cs="Times New Roman"/>
          <w:kern w:val="2"/>
          <w14:ligatures w14:val="standardContextual"/>
        </w:rPr>
        <w:t>、获取算力、光伏项目的可行性研究报告、公告文件、主要设备采购合同、招投标或比价资料、付款凭证及竣工决算报告；</w:t>
      </w:r>
    </w:p>
    <w:p w14:paraId="784094F8"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、获取从事</w:t>
      </w:r>
      <w:r w:rsidRPr="00DA3766">
        <w:rPr>
          <w:rFonts w:cs="Times New Roman"/>
          <w:kern w:val="2"/>
          <w14:ligatures w14:val="standardContextual"/>
        </w:rPr>
        <w:t>“</w:t>
      </w:r>
      <w:r w:rsidRPr="00DA3766">
        <w:rPr>
          <w:rFonts w:ascii="Times New Roman" w:hAnsi="Times New Roman" w:cs="Times New Roman"/>
          <w:kern w:val="2"/>
          <w14:ligatures w14:val="standardContextual"/>
        </w:rPr>
        <w:t>算力业务及光伏发电业务</w:t>
      </w:r>
      <w:r w:rsidRPr="00DA3766">
        <w:rPr>
          <w:rFonts w:cs="Times New Roman"/>
          <w:kern w:val="2"/>
          <w14:ligatures w14:val="standardContextual"/>
        </w:rPr>
        <w:t>”</w:t>
      </w:r>
      <w:r w:rsidRPr="00DA3766">
        <w:rPr>
          <w:rFonts w:ascii="Times New Roman" w:hAnsi="Times New Roman" w:cs="Times New Roman"/>
          <w:kern w:val="2"/>
          <w14:ligatures w14:val="standardContextual"/>
        </w:rPr>
        <w:t>的上市公司对算力设备、光伏设备转固的有关规定，对比公司的转固情况及转固依据，判断公司算力设备及光伏设备转固的合理性和及时性；</w:t>
      </w:r>
    </w:p>
    <w:p w14:paraId="609FEF7E"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13</w:t>
      </w:r>
      <w:r w:rsidRPr="00DA3766">
        <w:rPr>
          <w:rFonts w:ascii="Times New Roman" w:hAnsi="Times New Roman" w:cs="Times New Roman"/>
          <w:kern w:val="2"/>
          <w14:ligatures w14:val="standardContextual"/>
        </w:rPr>
        <w:t>、通过公开渠道查询主要设备供应商的背景、行业地位，对比市场价格分析采购价格的公允性；</w:t>
      </w:r>
    </w:p>
    <w:p w14:paraId="72B3A949"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14</w:t>
      </w:r>
      <w:r w:rsidRPr="00DA3766">
        <w:rPr>
          <w:rFonts w:ascii="Times New Roman" w:hAnsi="Times New Roman" w:cs="Times New Roman"/>
          <w:kern w:val="2"/>
          <w14:ligatures w14:val="standardContextual"/>
        </w:rPr>
        <w:t>、获取公司算力服务业务合同，关注合同条款中关于服务内容、交付标准、</w:t>
      </w:r>
      <w:r w:rsidRPr="00DA3766">
        <w:rPr>
          <w:rFonts w:ascii="Times New Roman" w:hAnsi="Times New Roman" w:cs="Times New Roman"/>
          <w:kern w:val="2"/>
          <w14:ligatures w14:val="standardContextual"/>
        </w:rPr>
        <w:lastRenderedPageBreak/>
        <w:t>验收条件及结算方式的约定，检查服务开始通知、资源交付记录、客户使用报告或验收确认单，核查收入确认是否合规；</w:t>
      </w:r>
    </w:p>
    <w:p w14:paraId="717240AA"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15</w:t>
      </w:r>
      <w:r w:rsidRPr="00DA3766">
        <w:rPr>
          <w:rFonts w:ascii="Times New Roman" w:hAnsi="Times New Roman" w:cs="Times New Roman"/>
          <w:kern w:val="2"/>
          <w14:ligatures w14:val="standardContextual"/>
        </w:rPr>
        <w:t>、获取有关算力业务和光伏发电业务的相关行业数据，结合公司当前两项业务的实际开展情况，判断业务开展的可持续性；同时获取公司对上述项目的盈利预测并根据业务实际开展情况，和各地有关光伏发电相关政策，判断该两项项目是否存在减值迹象。</w:t>
      </w:r>
    </w:p>
    <w:p w14:paraId="4727B05F"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16</w:t>
      </w:r>
      <w:r w:rsidRPr="00DA3766">
        <w:rPr>
          <w:rFonts w:ascii="Times New Roman" w:hAnsi="Times New Roman" w:cs="Times New Roman"/>
          <w:kern w:val="2"/>
          <w14:ligatures w14:val="standardContextual"/>
        </w:rPr>
        <w:t>、获取公司购买信托产品的相关协议及银行流水，核实信托产品的发行方、受托人、投资标的、预期收益率、风险等级等信息；</w:t>
      </w:r>
    </w:p>
    <w:p w14:paraId="58A5F4A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17</w:t>
      </w:r>
      <w:r w:rsidRPr="00DA3766">
        <w:rPr>
          <w:rFonts w:ascii="Times New Roman" w:hAnsi="Times New Roman" w:cs="Times New Roman"/>
          <w:kern w:val="2"/>
          <w14:ligatures w14:val="standardContextual"/>
        </w:rPr>
        <w:t>、核查信托产品交易对手方是否与公司、控股股东、实际控制人等存在关联关系。</w:t>
      </w:r>
    </w:p>
    <w:p w14:paraId="71A81AE3"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（二）核查意见</w:t>
      </w:r>
    </w:p>
    <w:p w14:paraId="591C5D57"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w:t>
      </w:r>
      <w:r>
        <w:rPr>
          <w:rFonts w:ascii="Times New Roman" w:hAnsi="Times New Roman" w:cs="Times New Roman" w:hint="eastAsia"/>
          <w:kern w:val="2"/>
          <w:szCs w:val="22"/>
        </w:rPr>
        <w:t>会计师</w:t>
      </w:r>
      <w:r w:rsidRPr="00DA3766">
        <w:rPr>
          <w:rFonts w:ascii="Times New Roman" w:hAnsi="Times New Roman" w:cs="Times New Roman"/>
          <w:kern w:val="2"/>
          <w:szCs w:val="22"/>
        </w:rPr>
        <w:t>认为：</w:t>
      </w:r>
    </w:p>
    <w:p w14:paraId="3035BB9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、受行业周期、政府财政压力、市场竞争加剧等因素影响，上市公司最近两年营业收入、毛利率、净利润持续下滑乃至亏损具有合理性，与同行业可比公司变动趋势一致。</w:t>
      </w:r>
    </w:p>
    <w:p w14:paraId="186A08F7"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w:t>
      </w:r>
      <w:r w:rsidRPr="008E0D0C">
        <w:rPr>
          <w:rFonts w:ascii="Times New Roman" w:hAnsi="Times New Roman" w:cs="Times New Roman" w:hint="eastAsia"/>
          <w:kern w:val="2"/>
          <w:szCs w:val="22"/>
        </w:rPr>
        <w:t>2022</w:t>
      </w:r>
      <w:r w:rsidRPr="008E0D0C">
        <w:rPr>
          <w:rFonts w:ascii="Times New Roman" w:hAnsi="Times New Roman" w:cs="Times New Roman" w:hint="eastAsia"/>
          <w:kern w:val="2"/>
          <w:szCs w:val="22"/>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r w:rsidRPr="00DA3766">
        <w:rPr>
          <w:rFonts w:ascii="Times New Roman" w:hAnsi="Times New Roman" w:cs="Times New Roman"/>
          <w:kern w:val="2"/>
          <w:szCs w:val="22"/>
        </w:rPr>
        <w:t>。</w:t>
      </w:r>
    </w:p>
    <w:p w14:paraId="36E6AA4C"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、上市公司相关收入确认方法符合《企业会计准则》的有关规定，与同行业可比公司收入政策不存在较大差异。</w:t>
      </w:r>
    </w:p>
    <w:p w14:paraId="4A1FF2C9"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、报告期内上市公司收入确认政策的实际执行情况复核《企业会计准则》的有关规定，不存在未取得客户验收或签收单据等提前确认收入的情况。</w:t>
      </w:r>
    </w:p>
    <w:p w14:paraId="46B1E64E"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5</w:t>
      </w:r>
      <w:r w:rsidRPr="00DA3766">
        <w:rPr>
          <w:rFonts w:ascii="Times New Roman" w:hAnsi="Times New Roman" w:cs="Times New Roman"/>
          <w:kern w:val="2"/>
          <w:szCs w:val="22"/>
        </w:rPr>
        <w:t>、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w:t>
      </w:r>
      <w:r w:rsidRPr="00DA3766">
        <w:rPr>
          <w:rFonts w:ascii="Times New Roman" w:hAnsi="Times New Roman" w:cs="Times New Roman"/>
          <w:kern w:val="2"/>
          <w:szCs w:val="22"/>
        </w:rPr>
        <w:lastRenderedPageBreak/>
        <w:t>司均不存在关联关系，产品最终实现对外销售，不存在闭环交易、利益输送、资金占用、体外资金循环等情况。</w:t>
      </w:r>
    </w:p>
    <w:p w14:paraId="31DD1DA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6</w:t>
      </w:r>
      <w:r w:rsidRPr="00DA3766">
        <w:rPr>
          <w:rFonts w:ascii="Times New Roman" w:hAnsi="Times New Roman" w:cs="Times New Roman"/>
          <w:kern w:val="2"/>
          <w:szCs w:val="22"/>
        </w:rPr>
        <w:t>、上市公司收入实现的季节性高峰期具备合理性，与同行业可比公司一致；</w:t>
      </w:r>
      <w:r w:rsidRPr="00DA3766">
        <w:rPr>
          <w:rFonts w:ascii="Times New Roman" w:hAnsi="Times New Roman" w:cs="Times New Roman"/>
          <w:kern w:val="2"/>
          <w:szCs w:val="22"/>
        </w:rPr>
        <w:t>2022</w:t>
      </w:r>
      <w:r w:rsidRPr="00DA3766">
        <w:rPr>
          <w:rFonts w:ascii="Times New Roman" w:hAnsi="Times New Roman" w:cs="Times New Roman"/>
          <w:kern w:val="2"/>
          <w:szCs w:val="22"/>
        </w:rPr>
        <w:t>年至</w:t>
      </w:r>
      <w:r w:rsidRPr="00DA3766">
        <w:rPr>
          <w:rFonts w:ascii="Times New Roman" w:hAnsi="Times New Roman" w:cs="Times New Roman"/>
          <w:kern w:val="2"/>
          <w:szCs w:val="22"/>
        </w:rPr>
        <w:t>2024</w:t>
      </w:r>
      <w:r w:rsidRPr="00DA3766">
        <w:rPr>
          <w:rFonts w:ascii="Times New Roman" w:hAnsi="Times New Roman" w:cs="Times New Roman"/>
          <w:kern w:val="2"/>
          <w:szCs w:val="22"/>
        </w:rPr>
        <w:t>年第四季度收入确认比例存在较大波动主要系收入结构变化所致，具备合理性。</w:t>
      </w:r>
    </w:p>
    <w:p w14:paraId="0AC71E9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7</w:t>
      </w:r>
      <w:r w:rsidRPr="00DA3766">
        <w:rPr>
          <w:rFonts w:ascii="Times New Roman" w:hAnsi="Times New Roman" w:cs="Times New Roman"/>
          <w:kern w:val="2"/>
          <w:szCs w:val="22"/>
        </w:rPr>
        <w:t>、上市公司主要客户预算收紧，相关项目付款流程延长，导致公司应收账款快速增长，带动应收账款余额占营业收入快速上升，同时上市公司谨慎承接业务，公司营业收入下降，最终导致应收账款占营业收入比例较高并快速上升、应收账款周转率持续下降，符合行业特征；上市公司客户主要为政府部门及事业单位，但由于该类客户付款审批手续复杂、流程较长，且最终支付情况需要取决于财政资金预算及资金实际到位情况，当前地方财政压力大，客户群体（地方政府、国企）因财政压力、内部流程等普遍性系统性地延长了付款周期，导致一年以上、三年以上账龄应收账款持续增长；地方客户财政资金预算不足符合行业情况和区域情况；上市公司应收账款不存在较大的回收风险，坏账准备计提充分。</w:t>
      </w:r>
    </w:p>
    <w:p w14:paraId="13ECF33A"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8</w:t>
      </w:r>
      <w:r w:rsidRPr="00DA3766">
        <w:rPr>
          <w:rFonts w:ascii="Times New Roman" w:hAnsi="Times New Roman" w:cs="Times New Roman"/>
          <w:kern w:val="2"/>
          <w:szCs w:val="22"/>
        </w:rPr>
        <w:t>、上市公司在产品为在建项目的已发生成本，具体包含直接材料、直接人工、劳务服务成本等，具有订单支撑，不存在周转缓慢或滞销情况；</w:t>
      </w:r>
      <w:r w:rsidRPr="00DA3766">
        <w:rPr>
          <w:rFonts w:ascii="Times New Roman" w:hAnsi="Times New Roman" w:cs="Times New Roman"/>
          <w:kern w:val="2"/>
          <w:szCs w:val="22"/>
        </w:rPr>
        <w:t>2024</w:t>
      </w:r>
      <w:r w:rsidRPr="00DA3766">
        <w:rPr>
          <w:rFonts w:ascii="Times New Roman" w:hAnsi="Times New Roman" w:cs="Times New Roman"/>
          <w:kern w:val="2"/>
          <w:szCs w:val="22"/>
        </w:rPr>
        <w:t>年在产品规模增长的原因主要系受地方客户财政预算不足影响，上市公司部分项目未能如期结项而致使收入未能确认及成本未能结转。上市公司存货成本归集、分配、核算准确、可靠。</w:t>
      </w:r>
    </w:p>
    <w:p w14:paraId="043BBB49"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9</w:t>
      </w:r>
      <w:r w:rsidRPr="00DA3766">
        <w:rPr>
          <w:rFonts w:ascii="Times New Roman" w:hAnsi="Times New Roman" w:cs="Times New Roman"/>
          <w:kern w:val="2"/>
          <w:szCs w:val="22"/>
        </w:rPr>
        <w:t>、上市公司算力项目、光伏项目设备采购供应商与公司不存在关联关系，相关采购过程合规，不存在异常情形；上市公司固定资产、在建工程核算准确、合规，在建工程按时转固。</w:t>
      </w:r>
    </w:p>
    <w:p w14:paraId="028C9060"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10</w:t>
      </w:r>
      <w:r w:rsidRPr="00DA3766">
        <w:rPr>
          <w:rFonts w:ascii="Times New Roman" w:hAnsi="Times New Roman" w:cs="Times New Roman"/>
          <w:kern w:val="2"/>
          <w:szCs w:val="22"/>
        </w:rPr>
        <w:t>、上市公司在与深圳移动签订合同前已收到甄选结果通知，并提前备货，合同约定的交付期限短具备合理性；</w:t>
      </w:r>
      <w:r w:rsidRPr="00DA3766">
        <w:rPr>
          <w:rFonts w:ascii="Times New Roman" w:hAnsi="Times New Roman" w:cs="Times New Roman"/>
          <w:kern w:val="2"/>
          <w:szCs w:val="22"/>
        </w:rPr>
        <w:t>2024</w:t>
      </w:r>
      <w:r w:rsidRPr="00DA3766">
        <w:rPr>
          <w:rFonts w:ascii="Times New Roman" w:hAnsi="Times New Roman" w:cs="Times New Roman"/>
          <w:kern w:val="2"/>
          <w:szCs w:val="22"/>
        </w:rPr>
        <w:t>年年末，该算力服务项目仍处于软件及数据库的部署、调试及试运行阶段，暂时未达到预定可使用状态，所以仍计入在建工程核算，未转入固定资产，公司不存在延迟转固的情况；除设备交付有延迟外，算力项目实际执行情况与合同约定是否一致，具有可持续性、相关项目的可行性未发生重大不利变化，相关资产运行良好，不存在减值迹象。</w:t>
      </w:r>
    </w:p>
    <w:p w14:paraId="658B76D5"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11</w:t>
      </w:r>
      <w:r w:rsidRPr="00DA3766">
        <w:rPr>
          <w:rFonts w:ascii="Times New Roman" w:hAnsi="Times New Roman" w:cs="Times New Roman"/>
          <w:kern w:val="2"/>
          <w:szCs w:val="22"/>
        </w:rPr>
        <w:t>、上市公司光伏项目已经陆续取得并网许可并实际运营，业务具备可持续经营能力，相关资产尚未出现减值迹象。</w:t>
      </w:r>
    </w:p>
    <w:p w14:paraId="325ABFEB"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12</w:t>
      </w:r>
      <w:r w:rsidRPr="00DA3766">
        <w:rPr>
          <w:rFonts w:ascii="Times New Roman" w:hAnsi="Times New Roman" w:cs="Times New Roman"/>
          <w:kern w:val="2"/>
          <w:szCs w:val="22"/>
        </w:rPr>
        <w:t>、前述信托业务系上市公司出于自身资金规划所进行的资金融通活动，标的资产为</w:t>
      </w:r>
      <w:r w:rsidRPr="00DA3766">
        <w:rPr>
          <w:rFonts w:ascii="Times New Roman" w:hAnsi="Times New Roman" w:cs="Times New Roman"/>
          <w:kern w:val="2"/>
          <w:szCs w:val="22"/>
        </w:rPr>
        <w:t>2023</w:t>
      </w:r>
      <w:r w:rsidRPr="00DA3766">
        <w:rPr>
          <w:rFonts w:ascii="Times New Roman" w:hAnsi="Times New Roman" w:cs="Times New Roman"/>
          <w:kern w:val="2"/>
          <w:szCs w:val="22"/>
        </w:rPr>
        <w:t>年到期的应收账款，该业务不会对上市公司经营活动产生重大不利影响，也不影响公司控制权稳定和股权清晰。公司已于</w:t>
      </w:r>
      <w:r w:rsidRPr="00DA3766">
        <w:rPr>
          <w:rFonts w:ascii="Times New Roman" w:hAnsi="Times New Roman" w:cs="Times New Roman"/>
          <w:kern w:val="2"/>
          <w:szCs w:val="22"/>
        </w:rPr>
        <w:t>2023</w:t>
      </w:r>
      <w:r w:rsidRPr="00DA3766">
        <w:rPr>
          <w:rFonts w:ascii="Times New Roman" w:hAnsi="Times New Roman" w:cs="Times New Roman"/>
          <w:kern w:val="2"/>
          <w:szCs w:val="22"/>
        </w:rPr>
        <w:t>年完成置换，终止该信托业务，相关事项影响已经消除。除本次交易外，云南信托不存在为上市公司客户、供应商、控股股东、实控人或同其存在关联关系、潜在关联关系或其他利益安排的情形，前述信托业务不存在资金占用、利益输送、体外资金循环情形。</w:t>
      </w:r>
    </w:p>
    <w:p w14:paraId="5E81727C"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w:t>
      </w:r>
      <w:r>
        <w:rPr>
          <w:rFonts w:ascii="Times New Roman" w:hAnsi="Times New Roman" w:cs="Times New Roman" w:hint="eastAsia"/>
          <w:b/>
          <w:bCs/>
          <w:kern w:val="2"/>
          <w:szCs w:val="28"/>
        </w:rPr>
        <w:t>七</w:t>
      </w:r>
      <w:r w:rsidRPr="00DA3766">
        <w:rPr>
          <w:rFonts w:ascii="Times New Roman" w:hAnsi="Times New Roman" w:cs="Times New Roman"/>
          <w:b/>
          <w:bCs/>
          <w:kern w:val="2"/>
          <w:szCs w:val="28"/>
        </w:rPr>
        <w:t>、</w:t>
      </w:r>
      <w:r>
        <w:rPr>
          <w:rFonts w:ascii="Times New Roman" w:hAnsi="Times New Roman" w:cs="Times New Roman" w:hint="eastAsia"/>
          <w:b/>
          <w:bCs/>
          <w:kern w:val="2"/>
          <w:szCs w:val="28"/>
        </w:rPr>
        <w:t>会计师</w:t>
      </w:r>
      <w:r w:rsidRPr="00DA3766">
        <w:rPr>
          <w:rFonts w:ascii="Times New Roman" w:hAnsi="Times New Roman" w:cs="Times New Roman"/>
          <w:b/>
          <w:bCs/>
          <w:kern w:val="2"/>
          <w:szCs w:val="28"/>
        </w:rPr>
        <w:t>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p>
    <w:p w14:paraId="2711F044"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（一）复核上市公司年度</w:t>
      </w:r>
      <w:r>
        <w:rPr>
          <w:rFonts w:ascii="Times New Roman" w:hAnsi="Times New Roman" w:cs="Times New Roman" w:hint="eastAsia"/>
          <w:b/>
          <w:bCs/>
          <w:kern w:val="2"/>
          <w:szCs w:val="28"/>
        </w:rPr>
        <w:t>财务</w:t>
      </w:r>
      <w:r w:rsidRPr="00DA3766">
        <w:rPr>
          <w:rFonts w:ascii="Times New Roman" w:hAnsi="Times New Roman" w:cs="Times New Roman"/>
          <w:b/>
          <w:bCs/>
          <w:kern w:val="2"/>
          <w:szCs w:val="28"/>
        </w:rPr>
        <w:t>工作资料</w:t>
      </w:r>
    </w:p>
    <w:p w14:paraId="763B25C9" w14:textId="77777777" w:rsidR="00E76498" w:rsidRPr="00DA3766" w:rsidRDefault="00E76498" w:rsidP="00F35D3D">
      <w:pPr>
        <w:snapToGrid w:val="0"/>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天亿马</w:t>
      </w:r>
      <w:r w:rsidRPr="00DA3766">
        <w:rPr>
          <w:rFonts w:ascii="Times New Roman" w:hAnsi="Times New Roman" w:cs="Times New Roman"/>
          <w:szCs w:val="22"/>
        </w:rPr>
        <w:t>2022</w:t>
      </w:r>
      <w:r w:rsidRPr="00DA3766">
        <w:rPr>
          <w:rFonts w:ascii="Times New Roman" w:hAnsi="Times New Roman" w:cs="Times New Roman"/>
          <w:szCs w:val="22"/>
        </w:rPr>
        <w:t>年度、</w:t>
      </w:r>
      <w:r w:rsidRPr="00DA3766">
        <w:rPr>
          <w:rFonts w:ascii="Times New Roman" w:hAnsi="Times New Roman" w:cs="Times New Roman"/>
          <w:szCs w:val="22"/>
        </w:rPr>
        <w:t>2023</w:t>
      </w:r>
      <w:r w:rsidRPr="00DA3766">
        <w:rPr>
          <w:rFonts w:ascii="Times New Roman" w:hAnsi="Times New Roman" w:cs="Times New Roman"/>
          <w:szCs w:val="22"/>
        </w:rPr>
        <w:t>年度和</w:t>
      </w:r>
      <w:r w:rsidRPr="00DA3766">
        <w:rPr>
          <w:rFonts w:ascii="Times New Roman" w:hAnsi="Times New Roman" w:cs="Times New Roman"/>
          <w:szCs w:val="22"/>
        </w:rPr>
        <w:t>2024</w:t>
      </w:r>
      <w:r w:rsidRPr="00DA3766">
        <w:rPr>
          <w:rFonts w:ascii="Times New Roman" w:hAnsi="Times New Roman" w:cs="Times New Roman"/>
          <w:szCs w:val="22"/>
        </w:rPr>
        <w:t>年度营业收入和利润情况如下：</w:t>
      </w:r>
    </w:p>
    <w:p w14:paraId="56257BFD" w14:textId="77777777" w:rsidR="00E76498" w:rsidRPr="00DA3766" w:rsidRDefault="00E76498" w:rsidP="00F35D3D">
      <w:pPr>
        <w:keepNext/>
        <w:spacing w:beforeLines="0" w:before="0" w:afterLines="0" w:after="0" w:line="240" w:lineRule="auto"/>
        <w:ind w:firstLineChars="0" w:firstLine="0"/>
        <w:jc w:val="right"/>
        <w:rPr>
          <w:rFonts w:ascii="Times New Roman" w:hAnsi="Times New Roman" w:cs="Times New Roman"/>
          <w:sz w:val="21"/>
          <w:szCs w:val="22"/>
        </w:rPr>
      </w:pPr>
      <w:r w:rsidRPr="00DA3766">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E76498" w:rsidRPr="00DA3766" w14:paraId="5E909C67" w14:textId="77777777" w:rsidTr="000A644D">
        <w:trPr>
          <w:trHeight w:val="397"/>
          <w:tblHeader/>
          <w:jc w:val="center"/>
        </w:trPr>
        <w:tc>
          <w:tcPr>
            <w:tcW w:w="2156" w:type="pct"/>
            <w:shd w:val="solid" w:color="FFFFFF" w:fill="FFFFFF"/>
            <w:vAlign w:val="center"/>
          </w:tcPr>
          <w:p w14:paraId="77128F5E"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48" w:type="pct"/>
            <w:shd w:val="solid" w:color="FFFFFF" w:fill="FFFFFF"/>
            <w:vAlign w:val="center"/>
          </w:tcPr>
          <w:p w14:paraId="1E131006"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948" w:type="pct"/>
            <w:shd w:val="solid" w:color="FFFFFF" w:fill="FFFFFF"/>
            <w:vAlign w:val="center"/>
          </w:tcPr>
          <w:p w14:paraId="5C5A67DB"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948" w:type="pct"/>
            <w:shd w:val="solid" w:color="FFFFFF" w:fill="FFFFFF"/>
            <w:vAlign w:val="center"/>
          </w:tcPr>
          <w:p w14:paraId="134F26CF"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年度</w:t>
            </w:r>
          </w:p>
        </w:tc>
      </w:tr>
      <w:tr w:rsidR="00E76498" w:rsidRPr="00DA3766" w14:paraId="74C3E412" w14:textId="77777777" w:rsidTr="000A644D">
        <w:trPr>
          <w:trHeight w:val="397"/>
          <w:jc w:val="center"/>
        </w:trPr>
        <w:tc>
          <w:tcPr>
            <w:tcW w:w="2156" w:type="pct"/>
            <w:shd w:val="solid" w:color="FFFFFF" w:fill="FFFFFF"/>
            <w:vAlign w:val="center"/>
          </w:tcPr>
          <w:p w14:paraId="6CCD0703"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948" w:type="pct"/>
            <w:shd w:val="solid" w:color="FFFFFF" w:fill="FFFFFF"/>
            <w:vAlign w:val="center"/>
          </w:tcPr>
          <w:p w14:paraId="1092F80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22,363.30</w:t>
            </w:r>
          </w:p>
        </w:tc>
        <w:tc>
          <w:tcPr>
            <w:tcW w:w="948" w:type="pct"/>
            <w:shd w:val="solid" w:color="FFFFFF" w:fill="FFFFFF"/>
            <w:vAlign w:val="center"/>
          </w:tcPr>
          <w:p w14:paraId="7140DFD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41,000.98</w:t>
            </w:r>
          </w:p>
        </w:tc>
        <w:tc>
          <w:tcPr>
            <w:tcW w:w="948" w:type="pct"/>
            <w:shd w:val="solid" w:color="FFFFFF" w:fill="FFFFFF"/>
            <w:vAlign w:val="center"/>
          </w:tcPr>
          <w:p w14:paraId="60D8B5D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43,921.75</w:t>
            </w:r>
          </w:p>
        </w:tc>
      </w:tr>
      <w:tr w:rsidR="00E76498" w:rsidRPr="00DA3766" w14:paraId="421865B7" w14:textId="77777777" w:rsidTr="000A644D">
        <w:trPr>
          <w:trHeight w:val="397"/>
          <w:jc w:val="center"/>
        </w:trPr>
        <w:tc>
          <w:tcPr>
            <w:tcW w:w="2156" w:type="pct"/>
            <w:shd w:val="solid" w:color="FFFFFF" w:fill="FFFFFF"/>
            <w:vAlign w:val="center"/>
          </w:tcPr>
          <w:p w14:paraId="1A117BE1"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营业利润</w:t>
            </w:r>
          </w:p>
        </w:tc>
        <w:tc>
          <w:tcPr>
            <w:tcW w:w="948" w:type="pct"/>
            <w:shd w:val="solid" w:color="FFFFFF" w:fill="FFFFFF"/>
            <w:vAlign w:val="center"/>
          </w:tcPr>
          <w:p w14:paraId="2BCA2B9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-6,269.27</w:t>
            </w:r>
          </w:p>
        </w:tc>
        <w:tc>
          <w:tcPr>
            <w:tcW w:w="948" w:type="pct"/>
            <w:shd w:val="solid" w:color="FFFFFF" w:fill="FFFFFF"/>
            <w:vAlign w:val="center"/>
          </w:tcPr>
          <w:p w14:paraId="05F763A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252.59</w:t>
            </w:r>
          </w:p>
        </w:tc>
        <w:tc>
          <w:tcPr>
            <w:tcW w:w="948" w:type="pct"/>
            <w:shd w:val="solid" w:color="FFFFFF" w:fill="FFFFFF"/>
            <w:vAlign w:val="center"/>
          </w:tcPr>
          <w:p w14:paraId="7EB6B3B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4,261.92</w:t>
            </w:r>
          </w:p>
        </w:tc>
      </w:tr>
      <w:tr w:rsidR="00E76498" w:rsidRPr="00DA3766" w14:paraId="5892EA1C" w14:textId="77777777" w:rsidTr="000A644D">
        <w:trPr>
          <w:trHeight w:val="397"/>
          <w:jc w:val="center"/>
        </w:trPr>
        <w:tc>
          <w:tcPr>
            <w:tcW w:w="2156" w:type="pct"/>
            <w:shd w:val="solid" w:color="FFFFFF" w:fill="FFFFFF"/>
            <w:vAlign w:val="center"/>
          </w:tcPr>
          <w:p w14:paraId="3D03043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利润总额</w:t>
            </w:r>
          </w:p>
        </w:tc>
        <w:tc>
          <w:tcPr>
            <w:tcW w:w="948" w:type="pct"/>
            <w:shd w:val="solid" w:color="FFFFFF" w:fill="FFFFFF"/>
            <w:vAlign w:val="center"/>
          </w:tcPr>
          <w:p w14:paraId="37C5403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-6,460.05</w:t>
            </w:r>
          </w:p>
        </w:tc>
        <w:tc>
          <w:tcPr>
            <w:tcW w:w="948" w:type="pct"/>
            <w:shd w:val="solid" w:color="FFFFFF" w:fill="FFFFFF"/>
            <w:vAlign w:val="center"/>
          </w:tcPr>
          <w:p w14:paraId="253D6B7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249.80</w:t>
            </w:r>
          </w:p>
        </w:tc>
        <w:tc>
          <w:tcPr>
            <w:tcW w:w="948" w:type="pct"/>
            <w:shd w:val="solid" w:color="FFFFFF" w:fill="FFFFFF"/>
            <w:vAlign w:val="center"/>
          </w:tcPr>
          <w:p w14:paraId="40500314"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4,470.82</w:t>
            </w:r>
          </w:p>
        </w:tc>
      </w:tr>
      <w:tr w:rsidR="00E76498" w:rsidRPr="00DA3766" w14:paraId="331D2990" w14:textId="77777777" w:rsidTr="000A644D">
        <w:trPr>
          <w:trHeight w:val="397"/>
          <w:jc w:val="center"/>
        </w:trPr>
        <w:tc>
          <w:tcPr>
            <w:tcW w:w="2156" w:type="pct"/>
            <w:shd w:val="solid" w:color="FFFFFF" w:fill="FFFFFF"/>
            <w:vAlign w:val="center"/>
          </w:tcPr>
          <w:p w14:paraId="172C17D4"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p>
        </w:tc>
        <w:tc>
          <w:tcPr>
            <w:tcW w:w="948" w:type="pct"/>
            <w:shd w:val="solid" w:color="FFFFFF" w:fill="FFFFFF"/>
            <w:vAlign w:val="center"/>
          </w:tcPr>
          <w:p w14:paraId="119AE9D3"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-5,349.18</w:t>
            </w:r>
          </w:p>
        </w:tc>
        <w:tc>
          <w:tcPr>
            <w:tcW w:w="948" w:type="pct"/>
            <w:shd w:val="solid" w:color="FFFFFF" w:fill="FFFFFF"/>
            <w:vAlign w:val="center"/>
          </w:tcPr>
          <w:p w14:paraId="7F08F3E7"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438.78</w:t>
            </w:r>
          </w:p>
        </w:tc>
        <w:tc>
          <w:tcPr>
            <w:tcW w:w="948" w:type="pct"/>
            <w:shd w:val="solid" w:color="FFFFFF" w:fill="FFFFFF"/>
            <w:vAlign w:val="center"/>
          </w:tcPr>
          <w:p w14:paraId="1581E439"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3,956.09</w:t>
            </w:r>
          </w:p>
        </w:tc>
      </w:tr>
      <w:tr w:rsidR="00E76498" w:rsidRPr="00DA3766" w14:paraId="11EBA58B" w14:textId="77777777" w:rsidTr="000A644D">
        <w:trPr>
          <w:trHeight w:val="397"/>
          <w:jc w:val="center"/>
        </w:trPr>
        <w:tc>
          <w:tcPr>
            <w:tcW w:w="2156" w:type="pct"/>
            <w:shd w:val="solid" w:color="FFFFFF" w:fill="FFFFFF"/>
            <w:vAlign w:val="center"/>
          </w:tcPr>
          <w:p w14:paraId="00D03E67"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归属母公司所有者的利润</w:t>
            </w:r>
          </w:p>
        </w:tc>
        <w:tc>
          <w:tcPr>
            <w:tcW w:w="948" w:type="pct"/>
            <w:shd w:val="solid" w:color="FFFFFF" w:fill="FFFFFF"/>
            <w:vAlign w:val="center"/>
          </w:tcPr>
          <w:p w14:paraId="4FF694AA"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-4,955.28</w:t>
            </w:r>
          </w:p>
        </w:tc>
        <w:tc>
          <w:tcPr>
            <w:tcW w:w="948" w:type="pct"/>
            <w:shd w:val="solid" w:color="FFFFFF" w:fill="FFFFFF"/>
            <w:vAlign w:val="center"/>
          </w:tcPr>
          <w:p w14:paraId="41B20DC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638.90</w:t>
            </w:r>
          </w:p>
        </w:tc>
        <w:tc>
          <w:tcPr>
            <w:tcW w:w="948" w:type="pct"/>
            <w:shd w:val="solid" w:color="FFFFFF" w:fill="FFFFFF"/>
            <w:vAlign w:val="center"/>
          </w:tcPr>
          <w:p w14:paraId="66C796A8"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3,956.27</w:t>
            </w:r>
          </w:p>
        </w:tc>
      </w:tr>
    </w:tbl>
    <w:p w14:paraId="183A784D"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7B1C8D">
        <w:rPr>
          <w:rFonts w:ascii="Times New Roman" w:hAnsi="Times New Roman" w:cs="Times New Roman"/>
        </w:rPr>
        <w:t>项目组查阅中审众环会计师事务所（特殊普通合伙）出具的审计报告，重点复核中审众环会计师事务所（特殊普通合伙）</w:t>
      </w:r>
      <w:r w:rsidRPr="007B1C8D">
        <w:rPr>
          <w:rFonts w:ascii="Times New Roman" w:hAnsi="Times New Roman" w:cs="Times New Roman"/>
        </w:rPr>
        <w:t>2022</w:t>
      </w:r>
      <w:r w:rsidRPr="007B1C8D">
        <w:rPr>
          <w:rFonts w:ascii="Times New Roman" w:hAnsi="Times New Roman" w:cs="Times New Roman"/>
        </w:rPr>
        <w:t>年审计工作中的重要性水平选择、了解上市公司内部控制的程序（穿行测试）、实质性程序（截止测试、细节程序、分析程序）等工作底稿，针对异常情形进行确认或补充核查，确认</w:t>
      </w:r>
      <w:r w:rsidRPr="007B1C8D">
        <w:rPr>
          <w:rFonts w:ascii="Times New Roman" w:hAnsi="Times New Roman" w:cs="Times New Roman"/>
        </w:rPr>
        <w:t>2022</w:t>
      </w:r>
      <w:r w:rsidRPr="007B1C8D">
        <w:rPr>
          <w:rFonts w:ascii="Times New Roman" w:hAnsi="Times New Roman" w:cs="Times New Roman"/>
        </w:rPr>
        <w:t>年度审计报告内容的可靠性</w:t>
      </w:r>
      <w:r w:rsidRPr="00DA3766">
        <w:rPr>
          <w:rFonts w:ascii="Times New Roman" w:hAnsi="Times New Roman" w:cs="Times New Roman"/>
        </w:rPr>
        <w:t>。</w:t>
      </w:r>
    </w:p>
    <w:p w14:paraId="1625DB4C"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Pr>
          <w:rFonts w:ascii="Times New Roman" w:hAnsi="Times New Roman" w:cs="Times New Roman" w:hint="eastAsia"/>
          <w:b/>
          <w:bCs/>
          <w:kern w:val="2"/>
          <w:szCs w:val="28"/>
        </w:rPr>
        <w:t>二</w:t>
      </w:r>
      <w:r w:rsidRPr="00DA3766">
        <w:rPr>
          <w:rFonts w:ascii="Times New Roman" w:hAnsi="Times New Roman" w:cs="Times New Roman"/>
          <w:b/>
          <w:bCs/>
          <w:kern w:val="2"/>
          <w:szCs w:val="28"/>
        </w:rPr>
        <w:t>）项目组独立执行核查程序</w:t>
      </w:r>
    </w:p>
    <w:p w14:paraId="455AA45D"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）访谈上市公司核心人员，了解公司主要产品的业务特点，管理层对不同业务如何管理，评价收入确认政策的合理性。</w:t>
      </w:r>
    </w:p>
    <w:p w14:paraId="41604EA4" w14:textId="77777777" w:rsidR="00E76498" w:rsidRPr="00DA3766" w:rsidRDefault="00E76498" w:rsidP="00F35D3D">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w:t>
      </w:r>
      <w:r w:rsidRPr="007B1C8D">
        <w:rPr>
          <w:rFonts w:ascii="Times New Roman" w:hAnsi="Times New Roman" w:cs="Times New Roman" w:hint="eastAsia"/>
        </w:rPr>
        <w:t>了解公司与销售相关的内部控制，评价内部控制制度建立的合理性与有效性</w:t>
      </w:r>
      <w:r w:rsidRPr="00DA3766">
        <w:rPr>
          <w:rFonts w:ascii="Times New Roman" w:hAnsi="Times New Roman" w:cs="Times New Roman"/>
        </w:rPr>
        <w:t>；抽取报告期内销售样本查验销售合同及相关订单、发货记录、签收记录、对账记录、会计凭证、回款记录等进行穿行测试；实施控制测试以确认内部控制运行的有效性。</w:t>
      </w:r>
    </w:p>
    <w:p w14:paraId="26B5AEAA" w14:textId="77777777" w:rsidR="00E76498" w:rsidRPr="00DA3766" w:rsidRDefault="00E76498" w:rsidP="00F35D3D">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）取得公司与各年度前五大客户签订的主要合同，查阅主要合同条款，与穿行测试结果进行对比，确认公司收入确认政策与协议约定相一致。</w:t>
      </w:r>
    </w:p>
    <w:p w14:paraId="22FA755E"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4</w:t>
      </w:r>
      <w:r w:rsidRPr="00DA3766">
        <w:rPr>
          <w:rFonts w:ascii="Times New Roman" w:hAnsi="Times New Roman" w:cs="Times New Roman"/>
        </w:rPr>
        <w:t>）获取公司收入明细表，检查营业收入的确认方法是否符合企业会计准则规定，前后是否一致；对营业收入实施分析程序，比较各类主营业务收入的波动情况，分析其变动趋势是否正常，是否符合被审计单位经营规律，查明异常现象和重大波动的原因，毛利率波动是否异常。</w:t>
      </w:r>
    </w:p>
    <w:p w14:paraId="7D75672B"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5</w:t>
      </w:r>
      <w:r w:rsidRPr="00DA3766">
        <w:rPr>
          <w:rFonts w:ascii="Times New Roman" w:hAnsi="Times New Roman" w:cs="Times New Roman"/>
        </w:rPr>
        <w:t>）</w:t>
      </w:r>
      <w:r w:rsidRPr="007B1C8D">
        <w:rPr>
          <w:rFonts w:ascii="Times New Roman" w:hAnsi="Times New Roman" w:cs="Times New Roman"/>
        </w:rPr>
        <w:t>项目组在复核中审众环会计师事务所（特殊普通合伙）</w:t>
      </w:r>
      <w:r w:rsidRPr="007B1C8D">
        <w:rPr>
          <w:rFonts w:ascii="Times New Roman" w:hAnsi="Times New Roman" w:cs="Times New Roman"/>
        </w:rPr>
        <w:t>2022</w:t>
      </w:r>
      <w:r w:rsidRPr="007B1C8D">
        <w:rPr>
          <w:rFonts w:ascii="Times New Roman" w:hAnsi="Times New Roman" w:cs="Times New Roman"/>
        </w:rPr>
        <w:t>年年审计工作底稿的基础上，针对</w:t>
      </w:r>
      <w:r w:rsidRPr="007B1C8D">
        <w:rPr>
          <w:rFonts w:ascii="Times New Roman" w:hAnsi="Times New Roman" w:cs="Times New Roman"/>
        </w:rPr>
        <w:t>2022</w:t>
      </w:r>
      <w:r w:rsidRPr="007B1C8D">
        <w:rPr>
          <w:rFonts w:ascii="Times New Roman" w:hAnsi="Times New Roman" w:cs="Times New Roman"/>
        </w:rPr>
        <w:t>年上市公司前五大客户、供应商进行独立函证，函证总体核查比例如下</w:t>
      </w:r>
      <w:r w:rsidRPr="00DA3766">
        <w:rPr>
          <w:rFonts w:ascii="Times New Roman" w:hAnsi="Times New Roman" w:cs="Times New Roman"/>
        </w:rPr>
        <w:t>：</w:t>
      </w:r>
    </w:p>
    <w:p w14:paraId="1C03DC87"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hint="eastAsia"/>
        </w:rPr>
        <w:t>①</w:t>
      </w:r>
      <w:r w:rsidRPr="00DA3766">
        <w:rPr>
          <w:rFonts w:ascii="Times New Roman" w:hAnsi="Times New Roman" w:cs="Times New Roman"/>
        </w:rPr>
        <w:t>营业收入函证</w:t>
      </w:r>
    </w:p>
    <w:p w14:paraId="5B2FDCEA" w14:textId="77777777" w:rsidR="00E76498" w:rsidRPr="00DA3766" w:rsidRDefault="00E76498" w:rsidP="00F35D3D">
      <w:pPr>
        <w:keepNext/>
        <w:spacing w:beforeLines="0" w:before="0" w:afterLines="0" w:after="0" w:line="240" w:lineRule="auto"/>
        <w:ind w:firstLineChars="0" w:firstLine="0"/>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45514B24" w14:textId="77777777" w:rsidTr="000A644D">
        <w:trPr>
          <w:trHeight w:val="397"/>
          <w:tblHeader/>
          <w:jc w:val="center"/>
        </w:trPr>
        <w:tc>
          <w:tcPr>
            <w:tcW w:w="2409" w:type="pct"/>
            <w:shd w:val="solid" w:color="FFFFFF" w:fill="FFFFFF"/>
            <w:vAlign w:val="center"/>
          </w:tcPr>
          <w:p w14:paraId="563AEDD9"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2DC38CCD"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41FD6EB0"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328C2417"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68134A95" w14:textId="77777777" w:rsidTr="00F96C5C">
        <w:trPr>
          <w:trHeight w:val="397"/>
          <w:jc w:val="center"/>
        </w:trPr>
        <w:tc>
          <w:tcPr>
            <w:tcW w:w="2409" w:type="pct"/>
            <w:shd w:val="solid" w:color="FFFFFF" w:fill="FFFFFF"/>
            <w:vAlign w:val="center"/>
          </w:tcPr>
          <w:p w14:paraId="5ABC742D"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营业收入</w:t>
            </w:r>
          </w:p>
        </w:tc>
        <w:tc>
          <w:tcPr>
            <w:tcW w:w="864" w:type="pct"/>
            <w:shd w:val="solid" w:color="FFFFFF" w:fill="FFFFFF"/>
            <w:vAlign w:val="center"/>
          </w:tcPr>
          <w:p w14:paraId="0AC1C2DC"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22,363.30</w:t>
            </w:r>
          </w:p>
        </w:tc>
        <w:tc>
          <w:tcPr>
            <w:tcW w:w="864" w:type="pct"/>
            <w:shd w:val="solid" w:color="FFFFFF" w:fill="FFFFFF"/>
            <w:vAlign w:val="center"/>
          </w:tcPr>
          <w:p w14:paraId="465D2399"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41,000.98</w:t>
            </w:r>
          </w:p>
        </w:tc>
        <w:tc>
          <w:tcPr>
            <w:tcW w:w="863" w:type="pct"/>
            <w:shd w:val="solid" w:color="FFFFFF" w:fill="FFFFFF"/>
            <w:vAlign w:val="center"/>
          </w:tcPr>
          <w:p w14:paraId="7E2B8ED4"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43,921.75</w:t>
            </w:r>
          </w:p>
        </w:tc>
      </w:tr>
      <w:tr w:rsidR="00E76498" w:rsidRPr="00DA3766" w14:paraId="644759FC" w14:textId="77777777" w:rsidTr="00F96C5C">
        <w:trPr>
          <w:trHeight w:val="397"/>
          <w:jc w:val="center"/>
        </w:trPr>
        <w:tc>
          <w:tcPr>
            <w:tcW w:w="2409" w:type="pct"/>
            <w:shd w:val="solid" w:color="FFFFFF" w:fill="FFFFFF"/>
            <w:vAlign w:val="center"/>
          </w:tcPr>
          <w:p w14:paraId="472121CD"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发函总金额</w:t>
            </w:r>
          </w:p>
        </w:tc>
        <w:tc>
          <w:tcPr>
            <w:tcW w:w="864" w:type="pct"/>
            <w:shd w:val="solid" w:color="FFFFFF" w:fill="FFFFFF"/>
            <w:vAlign w:val="center"/>
          </w:tcPr>
          <w:p w14:paraId="5D1A8FFC"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19,560.96</w:t>
            </w:r>
          </w:p>
        </w:tc>
        <w:tc>
          <w:tcPr>
            <w:tcW w:w="864" w:type="pct"/>
            <w:shd w:val="solid" w:color="FFFFFF" w:fill="FFFFFF"/>
            <w:vAlign w:val="center"/>
          </w:tcPr>
          <w:p w14:paraId="5F12A092"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28,754.97</w:t>
            </w:r>
          </w:p>
        </w:tc>
        <w:tc>
          <w:tcPr>
            <w:tcW w:w="863" w:type="pct"/>
            <w:shd w:val="solid" w:color="FFFFFF" w:fill="FFFFFF"/>
            <w:vAlign w:val="center"/>
          </w:tcPr>
          <w:p w14:paraId="68A6DBB3"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10,975.73</w:t>
            </w:r>
          </w:p>
        </w:tc>
      </w:tr>
      <w:tr w:rsidR="00E76498" w:rsidRPr="00DA3766" w14:paraId="42BE79EB" w14:textId="77777777" w:rsidTr="00F96C5C">
        <w:trPr>
          <w:trHeight w:val="397"/>
          <w:jc w:val="center"/>
        </w:trPr>
        <w:tc>
          <w:tcPr>
            <w:tcW w:w="2409" w:type="pct"/>
            <w:shd w:val="solid" w:color="FFFFFF" w:fill="FFFFFF"/>
            <w:vAlign w:val="center"/>
          </w:tcPr>
          <w:p w14:paraId="2054115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发函总比例</w:t>
            </w:r>
          </w:p>
        </w:tc>
        <w:tc>
          <w:tcPr>
            <w:tcW w:w="864" w:type="pct"/>
            <w:shd w:val="solid" w:color="FFFFFF" w:fill="FFFFFF"/>
            <w:vAlign w:val="center"/>
          </w:tcPr>
          <w:p w14:paraId="5429BC39"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bCs/>
                <w:color w:val="000000"/>
                <w:sz w:val="21"/>
              </w:rPr>
              <w:t>87.47%</w:t>
            </w:r>
          </w:p>
        </w:tc>
        <w:tc>
          <w:tcPr>
            <w:tcW w:w="864" w:type="pct"/>
            <w:shd w:val="solid" w:color="FFFFFF" w:fill="FFFFFF"/>
            <w:vAlign w:val="center"/>
          </w:tcPr>
          <w:p w14:paraId="6026C872"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bCs/>
                <w:color w:val="000000"/>
                <w:sz w:val="21"/>
              </w:rPr>
              <w:t>70.</w:t>
            </w:r>
            <w:r w:rsidRPr="00045249">
              <w:rPr>
                <w:rFonts w:ascii="Times New Roman" w:hAnsi="Times New Roman" w:hint="eastAsia"/>
                <w:bCs/>
                <w:color w:val="000000"/>
                <w:sz w:val="21"/>
              </w:rPr>
              <w:t>13</w:t>
            </w:r>
            <w:r w:rsidRPr="00045249">
              <w:rPr>
                <w:rFonts w:ascii="Times New Roman" w:hAnsi="Times New Roman"/>
                <w:bCs/>
                <w:color w:val="000000"/>
                <w:sz w:val="21"/>
              </w:rPr>
              <w:t>%</w:t>
            </w:r>
          </w:p>
        </w:tc>
        <w:tc>
          <w:tcPr>
            <w:tcW w:w="863" w:type="pct"/>
            <w:shd w:val="solid" w:color="FFFFFF" w:fill="FFFFFF"/>
            <w:vAlign w:val="center"/>
          </w:tcPr>
          <w:p w14:paraId="4AE4B347"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hint="eastAsia"/>
                <w:bCs/>
                <w:color w:val="000000"/>
                <w:sz w:val="21"/>
              </w:rPr>
              <w:t>24.99%</w:t>
            </w:r>
          </w:p>
        </w:tc>
      </w:tr>
      <w:tr w:rsidR="00E76498" w:rsidRPr="00DA3766" w14:paraId="6823373B" w14:textId="77777777" w:rsidTr="00F96C5C">
        <w:trPr>
          <w:trHeight w:val="397"/>
          <w:jc w:val="center"/>
        </w:trPr>
        <w:tc>
          <w:tcPr>
            <w:tcW w:w="2409" w:type="pct"/>
            <w:shd w:val="solid" w:color="FFFFFF" w:fill="FFFFFF"/>
            <w:vAlign w:val="center"/>
          </w:tcPr>
          <w:p w14:paraId="2057FF0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w:t>
            </w:r>
          </w:p>
        </w:tc>
        <w:tc>
          <w:tcPr>
            <w:tcW w:w="864" w:type="pct"/>
            <w:shd w:val="solid" w:color="FFFFFF" w:fill="FFFFFF"/>
            <w:vAlign w:val="center"/>
          </w:tcPr>
          <w:p w14:paraId="6ADF23B4"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15,833.34</w:t>
            </w:r>
          </w:p>
        </w:tc>
        <w:tc>
          <w:tcPr>
            <w:tcW w:w="864" w:type="pct"/>
            <w:shd w:val="solid" w:color="FFFFFF" w:fill="FFFFFF"/>
            <w:vAlign w:val="center"/>
          </w:tcPr>
          <w:p w14:paraId="0D6995C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26,209.27</w:t>
            </w:r>
          </w:p>
        </w:tc>
        <w:tc>
          <w:tcPr>
            <w:tcW w:w="863" w:type="pct"/>
            <w:shd w:val="solid" w:color="FFFFFF" w:fill="FFFFFF"/>
            <w:vAlign w:val="center"/>
          </w:tcPr>
          <w:p w14:paraId="26A37744"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9,023.65</w:t>
            </w:r>
          </w:p>
        </w:tc>
      </w:tr>
      <w:tr w:rsidR="00E76498" w:rsidRPr="00DA3766" w14:paraId="38465F6E" w14:textId="77777777" w:rsidTr="00F96C5C">
        <w:trPr>
          <w:trHeight w:val="397"/>
          <w:jc w:val="center"/>
        </w:trPr>
        <w:tc>
          <w:tcPr>
            <w:tcW w:w="2409" w:type="pct"/>
            <w:shd w:val="solid" w:color="FFFFFF" w:fill="FFFFFF"/>
            <w:vAlign w:val="center"/>
          </w:tcPr>
          <w:p w14:paraId="2A0AAFDF"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回函确认金额占营业收入比例</w:t>
            </w:r>
          </w:p>
        </w:tc>
        <w:tc>
          <w:tcPr>
            <w:tcW w:w="864" w:type="pct"/>
            <w:shd w:val="solid" w:color="FFFFFF" w:fill="FFFFFF"/>
            <w:vAlign w:val="center"/>
          </w:tcPr>
          <w:p w14:paraId="7709C4E4"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70.80%</w:t>
            </w:r>
          </w:p>
        </w:tc>
        <w:tc>
          <w:tcPr>
            <w:tcW w:w="864" w:type="pct"/>
            <w:shd w:val="solid" w:color="FFFFFF" w:fill="FFFFFF"/>
            <w:vAlign w:val="center"/>
          </w:tcPr>
          <w:p w14:paraId="4CD3589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hint="eastAsia"/>
                <w:bCs/>
                <w:color w:val="000000"/>
                <w:sz w:val="21"/>
              </w:rPr>
              <w:t>63.92</w:t>
            </w:r>
            <w:r w:rsidRPr="00045249">
              <w:rPr>
                <w:rFonts w:ascii="Times New Roman" w:hAnsi="Times New Roman"/>
                <w:bCs/>
                <w:color w:val="000000"/>
                <w:sz w:val="21"/>
              </w:rPr>
              <w:t>%</w:t>
            </w:r>
          </w:p>
        </w:tc>
        <w:tc>
          <w:tcPr>
            <w:tcW w:w="863" w:type="pct"/>
            <w:shd w:val="solid" w:color="FFFFFF" w:fill="FFFFFF"/>
            <w:vAlign w:val="center"/>
          </w:tcPr>
          <w:p w14:paraId="62FA52C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hint="eastAsia"/>
                <w:bCs/>
                <w:color w:val="000000"/>
                <w:sz w:val="21"/>
              </w:rPr>
              <w:t>20.54%</w:t>
            </w:r>
          </w:p>
        </w:tc>
      </w:tr>
    </w:tbl>
    <w:p w14:paraId="7EC7CF35" w14:textId="77777777" w:rsidR="00E76498" w:rsidRPr="00DA3766" w:rsidRDefault="00E76498" w:rsidP="00F35D3D">
      <w:pPr>
        <w:pStyle w:val="006"/>
        <w:ind w:firstLine="420"/>
      </w:pPr>
      <w:r w:rsidRPr="00DA3766">
        <w:t>注：回函确认金额包含回函相符金额与经调节后相符的金额。</w:t>
      </w:r>
    </w:p>
    <w:p w14:paraId="526512B3" w14:textId="77777777" w:rsidR="00E76498" w:rsidRPr="00DA3766" w:rsidRDefault="00E76498" w:rsidP="00F35D3D">
      <w:pPr>
        <w:keepNext/>
        <w:snapToGrid w:val="0"/>
        <w:spacing w:before="120" w:afterLines="0" w:after="120"/>
        <w:ind w:firstLine="480"/>
        <w:jc w:val="both"/>
        <w:rPr>
          <w:rFonts w:ascii="Times New Roman" w:hAnsi="Times New Roman" w:cs="Times New Roman"/>
        </w:rPr>
      </w:pPr>
      <w:r w:rsidRPr="00DA3766">
        <w:rPr>
          <w:rFonts w:hint="eastAsia"/>
        </w:rPr>
        <w:t>②</w:t>
      </w:r>
      <w:r w:rsidRPr="00DA3766">
        <w:rPr>
          <w:rFonts w:ascii="Times New Roman" w:hAnsi="Times New Roman" w:cs="Times New Roman"/>
        </w:rPr>
        <w:t>采购函证</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6EE05F3B" w14:textId="77777777" w:rsidTr="000A644D">
        <w:trPr>
          <w:trHeight w:val="397"/>
          <w:tblHeader/>
          <w:jc w:val="center"/>
        </w:trPr>
        <w:tc>
          <w:tcPr>
            <w:tcW w:w="2409" w:type="pct"/>
            <w:shd w:val="solid" w:color="FFFFFF" w:fill="FFFFFF"/>
            <w:vAlign w:val="center"/>
          </w:tcPr>
          <w:p w14:paraId="0A8B2CFB"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18494565"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4DF7ED9C"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3B63632C"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75F920CC" w14:textId="77777777" w:rsidTr="00045249">
        <w:trPr>
          <w:trHeight w:val="397"/>
          <w:jc w:val="center"/>
        </w:trPr>
        <w:tc>
          <w:tcPr>
            <w:tcW w:w="2409" w:type="pct"/>
            <w:shd w:val="solid" w:color="FFFFFF" w:fill="FFFFFF"/>
            <w:vAlign w:val="center"/>
          </w:tcPr>
          <w:p w14:paraId="30B248E1"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采购总额入</w:t>
            </w:r>
          </w:p>
        </w:tc>
        <w:tc>
          <w:tcPr>
            <w:tcW w:w="864" w:type="pct"/>
            <w:shd w:val="solid" w:color="FFFFFF" w:fill="FFFFFF"/>
            <w:vAlign w:val="center"/>
          </w:tcPr>
          <w:p w14:paraId="42A2AFB0"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61,677.22</w:t>
            </w:r>
          </w:p>
        </w:tc>
        <w:tc>
          <w:tcPr>
            <w:tcW w:w="864" w:type="pct"/>
            <w:shd w:val="solid" w:color="FFFFFF" w:fill="FFFFFF"/>
            <w:vAlign w:val="center"/>
          </w:tcPr>
          <w:p w14:paraId="763AC581"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31,694.52</w:t>
            </w:r>
          </w:p>
        </w:tc>
        <w:tc>
          <w:tcPr>
            <w:tcW w:w="863" w:type="pct"/>
            <w:shd w:val="solid" w:color="FFFFFF" w:fill="FFFFFF"/>
            <w:vAlign w:val="center"/>
          </w:tcPr>
          <w:p w14:paraId="47B7EC82"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31,255.07</w:t>
            </w:r>
          </w:p>
        </w:tc>
      </w:tr>
      <w:tr w:rsidR="00E76498" w:rsidRPr="00DA3766" w14:paraId="3A3089FD" w14:textId="77777777" w:rsidTr="00045249">
        <w:trPr>
          <w:trHeight w:val="397"/>
          <w:jc w:val="center"/>
        </w:trPr>
        <w:tc>
          <w:tcPr>
            <w:tcW w:w="2409" w:type="pct"/>
            <w:shd w:val="solid" w:color="FFFFFF" w:fill="FFFFFF"/>
            <w:vAlign w:val="center"/>
          </w:tcPr>
          <w:p w14:paraId="716C2FB0"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发函总金额</w:t>
            </w:r>
          </w:p>
        </w:tc>
        <w:tc>
          <w:tcPr>
            <w:tcW w:w="864" w:type="pct"/>
            <w:shd w:val="solid" w:color="FFFFFF" w:fill="FFFFFF"/>
            <w:vAlign w:val="center"/>
          </w:tcPr>
          <w:p w14:paraId="5E6E5D42"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57,697.38</w:t>
            </w:r>
          </w:p>
        </w:tc>
        <w:tc>
          <w:tcPr>
            <w:tcW w:w="864" w:type="pct"/>
            <w:shd w:val="solid" w:color="FFFFFF" w:fill="FFFFFF"/>
            <w:vAlign w:val="center"/>
          </w:tcPr>
          <w:p w14:paraId="4AFCA39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29,038.66</w:t>
            </w:r>
          </w:p>
        </w:tc>
        <w:tc>
          <w:tcPr>
            <w:tcW w:w="863" w:type="pct"/>
            <w:shd w:val="solid" w:color="FFFFFF" w:fill="FFFFFF"/>
            <w:vAlign w:val="center"/>
          </w:tcPr>
          <w:p w14:paraId="591C9FEF"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bCs/>
                <w:color w:val="000000"/>
                <w:sz w:val="21"/>
              </w:rPr>
              <w:t>19,200.53</w:t>
            </w:r>
          </w:p>
        </w:tc>
      </w:tr>
      <w:tr w:rsidR="00E76498" w:rsidRPr="00DA3766" w14:paraId="558B87E9" w14:textId="77777777" w:rsidTr="00F96C5C">
        <w:trPr>
          <w:trHeight w:val="397"/>
          <w:jc w:val="center"/>
        </w:trPr>
        <w:tc>
          <w:tcPr>
            <w:tcW w:w="2409" w:type="pct"/>
            <w:shd w:val="solid" w:color="FFFFFF" w:fill="FFFFFF"/>
            <w:vAlign w:val="center"/>
          </w:tcPr>
          <w:p w14:paraId="732A738B"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lastRenderedPageBreak/>
              <w:t>发函总比例</w:t>
            </w:r>
          </w:p>
        </w:tc>
        <w:tc>
          <w:tcPr>
            <w:tcW w:w="864" w:type="pct"/>
            <w:shd w:val="solid" w:color="FFFFFF" w:fill="FFFFFF"/>
            <w:vAlign w:val="center"/>
          </w:tcPr>
          <w:p w14:paraId="3E9F8405"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bCs/>
                <w:color w:val="000000"/>
                <w:sz w:val="21"/>
              </w:rPr>
              <w:t>93.55%</w:t>
            </w:r>
          </w:p>
        </w:tc>
        <w:tc>
          <w:tcPr>
            <w:tcW w:w="864" w:type="pct"/>
            <w:shd w:val="solid" w:color="FFFFFF" w:fill="FFFFFF"/>
            <w:vAlign w:val="center"/>
          </w:tcPr>
          <w:p w14:paraId="08989CA5"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cs="Times New Roman"/>
                <w:bCs/>
                <w:color w:val="000000"/>
                <w:sz w:val="21"/>
                <w:szCs w:val="21"/>
              </w:rPr>
              <w:t>91.62%</w:t>
            </w:r>
          </w:p>
        </w:tc>
        <w:tc>
          <w:tcPr>
            <w:tcW w:w="863" w:type="pct"/>
            <w:shd w:val="solid" w:color="FFFFFF" w:fill="FFFFFF"/>
            <w:vAlign w:val="center"/>
          </w:tcPr>
          <w:p w14:paraId="61BE1DD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045249">
              <w:rPr>
                <w:rFonts w:ascii="Times New Roman" w:hAnsi="Times New Roman" w:cs="Times New Roman"/>
                <w:bCs/>
                <w:color w:val="000000"/>
                <w:sz w:val="21"/>
                <w:szCs w:val="21"/>
              </w:rPr>
              <w:t>61.43%</w:t>
            </w:r>
          </w:p>
        </w:tc>
      </w:tr>
      <w:tr w:rsidR="00E76498" w:rsidRPr="00DA3766" w14:paraId="026F7C8E" w14:textId="77777777" w:rsidTr="000A644D">
        <w:trPr>
          <w:trHeight w:val="397"/>
          <w:jc w:val="center"/>
        </w:trPr>
        <w:tc>
          <w:tcPr>
            <w:tcW w:w="2409" w:type="pct"/>
            <w:shd w:val="solid" w:color="FFFFFF" w:fill="FFFFFF"/>
            <w:vAlign w:val="center"/>
          </w:tcPr>
          <w:p w14:paraId="64E9E86F"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w:t>
            </w:r>
          </w:p>
        </w:tc>
        <w:tc>
          <w:tcPr>
            <w:tcW w:w="864" w:type="pct"/>
            <w:shd w:val="solid" w:color="FFFFFF" w:fill="FFFFFF"/>
            <w:vAlign w:val="center"/>
          </w:tcPr>
          <w:p w14:paraId="7C86CEA6"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45,112.86</w:t>
            </w:r>
          </w:p>
        </w:tc>
        <w:tc>
          <w:tcPr>
            <w:tcW w:w="864" w:type="pct"/>
            <w:shd w:val="solid" w:color="FFFFFF" w:fill="FFFFFF"/>
            <w:vAlign w:val="center"/>
          </w:tcPr>
          <w:p w14:paraId="5AB2BED3"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29,038.65</w:t>
            </w:r>
          </w:p>
        </w:tc>
        <w:tc>
          <w:tcPr>
            <w:tcW w:w="863" w:type="pct"/>
            <w:shd w:val="solid" w:color="FFFFFF" w:fill="FFFFFF"/>
            <w:vAlign w:val="center"/>
          </w:tcPr>
          <w:p w14:paraId="164F7CB2"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19,702.92</w:t>
            </w:r>
          </w:p>
        </w:tc>
      </w:tr>
      <w:tr w:rsidR="00E76498" w:rsidRPr="00DA3766" w14:paraId="3687DA17" w14:textId="77777777" w:rsidTr="000A644D">
        <w:trPr>
          <w:trHeight w:val="397"/>
          <w:jc w:val="center"/>
        </w:trPr>
        <w:tc>
          <w:tcPr>
            <w:tcW w:w="2409" w:type="pct"/>
            <w:shd w:val="solid" w:color="FFFFFF" w:fill="FFFFFF"/>
            <w:vAlign w:val="center"/>
          </w:tcPr>
          <w:p w14:paraId="0A09F66E"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回函确认金额占采购总额比例</w:t>
            </w:r>
          </w:p>
        </w:tc>
        <w:tc>
          <w:tcPr>
            <w:tcW w:w="864" w:type="pct"/>
            <w:shd w:val="solid" w:color="FFFFFF" w:fill="FFFFFF"/>
            <w:vAlign w:val="center"/>
          </w:tcPr>
          <w:p w14:paraId="3B3F9F33"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73.14%</w:t>
            </w:r>
          </w:p>
        </w:tc>
        <w:tc>
          <w:tcPr>
            <w:tcW w:w="864" w:type="pct"/>
            <w:shd w:val="solid" w:color="FFFFFF" w:fill="FFFFFF"/>
            <w:vAlign w:val="center"/>
          </w:tcPr>
          <w:p w14:paraId="12CB2BB5"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91.62%</w:t>
            </w:r>
          </w:p>
        </w:tc>
        <w:tc>
          <w:tcPr>
            <w:tcW w:w="863" w:type="pct"/>
            <w:shd w:val="solid" w:color="FFFFFF" w:fill="FFFFFF"/>
            <w:vAlign w:val="center"/>
          </w:tcPr>
          <w:p w14:paraId="17586E30" w14:textId="77777777" w:rsidR="00E76498" w:rsidRPr="00045249"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045249">
              <w:rPr>
                <w:rFonts w:ascii="Times New Roman" w:hAnsi="Times New Roman" w:cs="Times New Roman"/>
                <w:bCs/>
                <w:color w:val="000000"/>
                <w:sz w:val="21"/>
                <w:szCs w:val="21"/>
              </w:rPr>
              <w:t>63.04%</w:t>
            </w:r>
          </w:p>
        </w:tc>
      </w:tr>
    </w:tbl>
    <w:p w14:paraId="14C6761B" w14:textId="77777777" w:rsidR="00E76498" w:rsidRPr="00045249" w:rsidRDefault="00E76498" w:rsidP="00F35D3D">
      <w:pPr>
        <w:snapToGrid w:val="0"/>
        <w:spacing w:before="120" w:afterLines="0" w:after="0"/>
        <w:ind w:firstLine="420"/>
        <w:jc w:val="both"/>
        <w:rPr>
          <w:rFonts w:ascii="Times New Roman" w:hAnsi="Times New Roman" w:cs="Times New Roman"/>
          <w:bCs/>
          <w:sz w:val="21"/>
          <w:szCs w:val="21"/>
        </w:rPr>
      </w:pPr>
      <w:r w:rsidRPr="00045249">
        <w:rPr>
          <w:rFonts w:ascii="Times New Roman" w:hAnsi="Times New Roman" w:cs="Times New Roman"/>
          <w:bCs/>
          <w:sz w:val="21"/>
          <w:szCs w:val="21"/>
        </w:rPr>
        <w:t>注：回函确认金额包含回函相符金额与经调节后相符的金额。</w:t>
      </w:r>
    </w:p>
    <w:p w14:paraId="1CADA3CE"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6</w:t>
      </w:r>
      <w:r w:rsidRPr="00DA3766">
        <w:rPr>
          <w:rFonts w:ascii="Times New Roman" w:hAnsi="Times New Roman" w:cs="Times New Roman"/>
        </w:rPr>
        <w:t>）</w:t>
      </w:r>
      <w:r w:rsidRPr="00BA4C97">
        <w:rPr>
          <w:rFonts w:ascii="Times New Roman" w:hAnsi="Times New Roman" w:cs="Times New Roman"/>
        </w:rPr>
        <w:t>选取上市公司</w:t>
      </w:r>
      <w:r w:rsidRPr="00BA4C97">
        <w:rPr>
          <w:rFonts w:ascii="Times New Roman" w:hAnsi="Times New Roman" w:cs="Times New Roman"/>
        </w:rPr>
        <w:t>2022</w:t>
      </w:r>
      <w:r w:rsidRPr="00BA4C97">
        <w:rPr>
          <w:rFonts w:ascii="Times New Roman" w:hAnsi="Times New Roman" w:cs="Times New Roman"/>
        </w:rPr>
        <w:t>年前五大客户、供应商进行走访，了解上市公司业绩变化原因及合理性、收入真实性、行业周期性变化等因素</w:t>
      </w:r>
      <w:r w:rsidRPr="00DA3766">
        <w:rPr>
          <w:rFonts w:ascii="Times New Roman" w:hAnsi="Times New Roman" w:cs="Times New Roman"/>
        </w:rPr>
        <w:t>。</w:t>
      </w:r>
    </w:p>
    <w:p w14:paraId="4C71DFF1" w14:textId="77777777" w:rsidR="00E76498" w:rsidRPr="00DA3766" w:rsidRDefault="00E76498" w:rsidP="00F35D3D">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E76498" w:rsidRPr="00DA3766" w14:paraId="3F8D01D0" w14:textId="77777777" w:rsidTr="000A644D">
        <w:trPr>
          <w:trHeight w:val="397"/>
          <w:tblHeader/>
          <w:jc w:val="center"/>
        </w:trPr>
        <w:tc>
          <w:tcPr>
            <w:tcW w:w="2408" w:type="pct"/>
            <w:shd w:val="solid" w:color="FFFFFF" w:fill="FFFFFF"/>
            <w:vAlign w:val="center"/>
          </w:tcPr>
          <w:p w14:paraId="47A8ECAE"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368C97AB"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4AA34766"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74F6EA72" w14:textId="77777777" w:rsidR="00E76498" w:rsidRPr="00DA3766" w:rsidRDefault="00E76498" w:rsidP="00F35D3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E76498" w:rsidRPr="00DA3766" w14:paraId="2F78CC81" w14:textId="77777777" w:rsidTr="000A644D">
        <w:trPr>
          <w:trHeight w:val="397"/>
          <w:jc w:val="center"/>
        </w:trPr>
        <w:tc>
          <w:tcPr>
            <w:tcW w:w="2408" w:type="pct"/>
            <w:shd w:val="solid" w:color="FFFFFF" w:fill="FFFFFF"/>
            <w:vAlign w:val="center"/>
          </w:tcPr>
          <w:p w14:paraId="1F8B5FB5"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864" w:type="pct"/>
            <w:shd w:val="solid" w:color="FFFFFF" w:fill="FFFFFF"/>
            <w:vAlign w:val="center"/>
          </w:tcPr>
          <w:p w14:paraId="40E35FBF"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22,363.30</w:t>
            </w:r>
          </w:p>
        </w:tc>
        <w:tc>
          <w:tcPr>
            <w:tcW w:w="864" w:type="pct"/>
            <w:shd w:val="solid" w:color="FFFFFF" w:fill="FFFFFF"/>
            <w:vAlign w:val="center"/>
          </w:tcPr>
          <w:p w14:paraId="6DDCF6A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41,000.98</w:t>
            </w:r>
          </w:p>
        </w:tc>
        <w:tc>
          <w:tcPr>
            <w:tcW w:w="863" w:type="pct"/>
            <w:shd w:val="solid" w:color="FFFFFF" w:fill="FFFFFF"/>
            <w:vAlign w:val="center"/>
          </w:tcPr>
          <w:p w14:paraId="50F0585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43,921.75</w:t>
            </w:r>
          </w:p>
        </w:tc>
      </w:tr>
      <w:tr w:rsidR="00E76498" w:rsidRPr="00DA3766" w14:paraId="435EC7DB" w14:textId="77777777" w:rsidTr="000A644D">
        <w:trPr>
          <w:trHeight w:val="397"/>
          <w:jc w:val="center"/>
        </w:trPr>
        <w:tc>
          <w:tcPr>
            <w:tcW w:w="2408" w:type="pct"/>
            <w:shd w:val="solid" w:color="FFFFFF" w:fill="FFFFFF"/>
            <w:vAlign w:val="center"/>
          </w:tcPr>
          <w:p w14:paraId="484A49BA"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走访覆盖金额</w:t>
            </w:r>
          </w:p>
        </w:tc>
        <w:tc>
          <w:tcPr>
            <w:tcW w:w="864" w:type="pct"/>
            <w:shd w:val="solid" w:color="FFFFFF" w:fill="FFFFFF"/>
            <w:vAlign w:val="center"/>
          </w:tcPr>
          <w:p w14:paraId="64FB4EBE"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sz w:val="21"/>
              </w:rPr>
              <w:t>627.04</w:t>
            </w:r>
          </w:p>
        </w:tc>
        <w:tc>
          <w:tcPr>
            <w:tcW w:w="864" w:type="pct"/>
            <w:shd w:val="solid" w:color="FFFFFF" w:fill="FFFFFF"/>
            <w:vAlign w:val="center"/>
          </w:tcPr>
          <w:p w14:paraId="1808B7A0"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148.17</w:t>
            </w:r>
          </w:p>
        </w:tc>
        <w:tc>
          <w:tcPr>
            <w:tcW w:w="863" w:type="pct"/>
            <w:shd w:val="solid" w:color="FFFFFF" w:fill="FFFFFF"/>
            <w:vAlign w:val="center"/>
          </w:tcPr>
          <w:p w14:paraId="21793E7B"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683.19</w:t>
            </w:r>
          </w:p>
        </w:tc>
      </w:tr>
      <w:tr w:rsidR="00E76498" w:rsidRPr="00DA3766" w14:paraId="15524C64" w14:textId="77777777" w:rsidTr="000A644D">
        <w:trPr>
          <w:trHeight w:val="397"/>
          <w:jc w:val="center"/>
        </w:trPr>
        <w:tc>
          <w:tcPr>
            <w:tcW w:w="2408" w:type="pct"/>
            <w:shd w:val="solid" w:color="FFFFFF" w:fill="FFFFFF"/>
            <w:vAlign w:val="center"/>
          </w:tcPr>
          <w:p w14:paraId="2625E7DD" w14:textId="77777777" w:rsidR="00E76498" w:rsidRPr="00DA3766" w:rsidRDefault="00E76498" w:rsidP="00F35D3D">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走访比例</w:t>
            </w:r>
          </w:p>
        </w:tc>
        <w:tc>
          <w:tcPr>
            <w:tcW w:w="864" w:type="pct"/>
            <w:shd w:val="solid" w:color="FFFFFF" w:fill="FFFFFF"/>
            <w:vAlign w:val="center"/>
          </w:tcPr>
          <w:p w14:paraId="173CD1D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47.52%</w:t>
            </w:r>
          </w:p>
        </w:tc>
        <w:tc>
          <w:tcPr>
            <w:tcW w:w="864" w:type="pct"/>
            <w:shd w:val="solid" w:color="FFFFFF" w:fill="FFFFFF"/>
            <w:vAlign w:val="center"/>
          </w:tcPr>
          <w:p w14:paraId="134A122D"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27.19%</w:t>
            </w:r>
          </w:p>
        </w:tc>
        <w:tc>
          <w:tcPr>
            <w:tcW w:w="863" w:type="pct"/>
            <w:shd w:val="solid" w:color="FFFFFF" w:fill="FFFFFF"/>
            <w:vAlign w:val="center"/>
          </w:tcPr>
          <w:p w14:paraId="1BA7F442" w14:textId="77777777" w:rsidR="00E76498" w:rsidRPr="00DA3766" w:rsidRDefault="00E76498" w:rsidP="00F35D3D">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26.60%</w:t>
            </w:r>
          </w:p>
        </w:tc>
      </w:tr>
    </w:tbl>
    <w:p w14:paraId="11494597"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7</w:t>
      </w:r>
      <w:r w:rsidRPr="00DA3766">
        <w:rPr>
          <w:rFonts w:ascii="Times New Roman" w:hAnsi="Times New Roman" w:cs="Times New Roman"/>
        </w:rPr>
        <w:t>）获取上市公司各期末应收账款明细，核查各期末应收账款的期后回款情况，并抽取期后回款的大额银行汇款，核查应收账款及期后回款的真实性。</w:t>
      </w:r>
    </w:p>
    <w:p w14:paraId="42FF5A3E"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8</w:t>
      </w:r>
      <w:r w:rsidRPr="00DA3766">
        <w:rPr>
          <w:rFonts w:ascii="Times New Roman" w:hAnsi="Times New Roman" w:cs="Times New Roman"/>
        </w:rPr>
        <w:t>）对报告期内上市公司主要客户与各期末应收账款主要客户进行匹配，对应收账款主要客户对应的各期末应收账款金额与其当期收入金额进行匹配，分析应收账款的真实性。</w:t>
      </w:r>
    </w:p>
    <w:p w14:paraId="5935D2B1" w14:textId="77777777" w:rsidR="00E76498" w:rsidRPr="00DA3766" w:rsidRDefault="00E76498" w:rsidP="00F35D3D">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9</w:t>
      </w:r>
      <w:r w:rsidRPr="00DA3766">
        <w:rPr>
          <w:rFonts w:ascii="Times New Roman" w:hAnsi="Times New Roman" w:cs="Times New Roman"/>
        </w:rPr>
        <w:t>）取得上市公司报告期内的银行流水和银行开户清单，在核对银行流水完备性的基础上，对大额异常资金流水进行核查，分析是否存在资金占用、第三方回款等异常情形。</w:t>
      </w:r>
    </w:p>
    <w:p w14:paraId="00E0A5CC"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Pr>
          <w:rFonts w:ascii="Times New Roman" w:hAnsi="Times New Roman" w:cs="Times New Roman" w:hint="eastAsia"/>
          <w:b/>
          <w:bCs/>
          <w:kern w:val="2"/>
          <w:szCs w:val="28"/>
        </w:rPr>
        <w:t>三</w:t>
      </w:r>
      <w:r w:rsidRPr="00DA3766">
        <w:rPr>
          <w:rFonts w:ascii="Times New Roman" w:hAnsi="Times New Roman" w:cs="Times New Roman"/>
          <w:b/>
          <w:bCs/>
          <w:kern w:val="2"/>
          <w:szCs w:val="28"/>
        </w:rPr>
        <w:t>）核查意见</w:t>
      </w:r>
    </w:p>
    <w:p w14:paraId="45454040"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w:t>
      </w:r>
      <w:r>
        <w:rPr>
          <w:rFonts w:ascii="Times New Roman" w:hAnsi="Times New Roman" w:cs="Times New Roman" w:hint="eastAsia"/>
          <w:kern w:val="2"/>
          <w:szCs w:val="22"/>
        </w:rPr>
        <w:t>会计师</w:t>
      </w:r>
      <w:r w:rsidRPr="00DA3766">
        <w:rPr>
          <w:rFonts w:ascii="Times New Roman" w:hAnsi="Times New Roman" w:cs="Times New Roman"/>
          <w:kern w:val="2"/>
          <w:szCs w:val="22"/>
        </w:rPr>
        <w:t>认为：</w:t>
      </w:r>
    </w:p>
    <w:p w14:paraId="0CBEB97C" w14:textId="77777777" w:rsidR="00E76498" w:rsidRPr="00DA3766" w:rsidRDefault="00E76498" w:rsidP="00F35D3D">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最近三年业绩真实和会计处理合规，不存在虚假交易、虚构利润，不存在关联方利益输送，不存在调节会计利润以符合或规避监管要求的情形，相关会计处理符合企业会计准则规定，不存在滥用会计政策、会计差错更正或会计估计变更等对上市公司进行</w:t>
      </w:r>
      <w:r w:rsidRPr="00DA3766">
        <w:rPr>
          <w:rFonts w:cs="Times New Roman"/>
          <w:kern w:val="2"/>
          <w:szCs w:val="22"/>
        </w:rPr>
        <w:t>“</w:t>
      </w:r>
      <w:r w:rsidRPr="00DA3766">
        <w:rPr>
          <w:rFonts w:ascii="Times New Roman" w:hAnsi="Times New Roman" w:cs="Times New Roman"/>
          <w:kern w:val="2"/>
          <w:szCs w:val="22"/>
        </w:rPr>
        <w:t>大洗澡</w:t>
      </w:r>
      <w:r w:rsidRPr="00DA3766">
        <w:rPr>
          <w:rFonts w:cs="Times New Roman"/>
          <w:kern w:val="2"/>
          <w:szCs w:val="22"/>
        </w:rPr>
        <w:t>”</w:t>
      </w:r>
      <w:r w:rsidRPr="00DA3766">
        <w:rPr>
          <w:rFonts w:ascii="Times New Roman" w:hAnsi="Times New Roman" w:cs="Times New Roman"/>
          <w:kern w:val="2"/>
          <w:szCs w:val="22"/>
        </w:rPr>
        <w:t>的情形。</w:t>
      </w:r>
    </w:p>
    <w:p w14:paraId="0BDE8E03" w14:textId="77777777" w:rsidR="00E76498" w:rsidRPr="00DA3766" w:rsidRDefault="00E76498" w:rsidP="00F35D3D">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十</w:t>
      </w:r>
      <w:r>
        <w:rPr>
          <w:rFonts w:ascii="Times New Roman" w:hAnsi="Times New Roman" w:cs="Times New Roman" w:hint="eastAsia"/>
          <w:b/>
          <w:bCs/>
          <w:kern w:val="2"/>
          <w:szCs w:val="28"/>
        </w:rPr>
        <w:t>八</w:t>
      </w:r>
      <w:r w:rsidRPr="00DA3766">
        <w:rPr>
          <w:rFonts w:ascii="Times New Roman" w:hAnsi="Times New Roman" w:cs="Times New Roman"/>
          <w:b/>
          <w:bCs/>
          <w:kern w:val="2"/>
          <w:szCs w:val="28"/>
        </w:rPr>
        <w:t>、</w:t>
      </w:r>
      <w:r>
        <w:rPr>
          <w:rFonts w:ascii="Times New Roman" w:hAnsi="Times New Roman" w:cs="Times New Roman" w:hint="eastAsia"/>
          <w:b/>
          <w:bCs/>
          <w:kern w:val="2"/>
          <w:szCs w:val="28"/>
        </w:rPr>
        <w:t>会计师</w:t>
      </w:r>
      <w:r w:rsidRPr="00DA3766">
        <w:rPr>
          <w:rFonts w:ascii="Times New Roman" w:hAnsi="Times New Roman" w:cs="Times New Roman"/>
          <w:b/>
          <w:bCs/>
          <w:kern w:val="2"/>
          <w:szCs w:val="28"/>
        </w:rPr>
        <w:t>对上市公司货币资金、应收账款、存货、在建工程、固定资产等主要资产相关核查工作的具体情况，并对上述资产是否真实存在、相关会计核算是否准确发表明确意见。</w:t>
      </w:r>
    </w:p>
    <w:p w14:paraId="73FAB2E6"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（一）货币资金核查情况</w:t>
      </w:r>
    </w:p>
    <w:p w14:paraId="73AE090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769D4BE6" w14:textId="2B6D4C7E"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、获取并查阅</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的《货币资金管理制度》，了解开户、支付、核对、盘点等关键控制环节；</w:t>
      </w:r>
    </w:p>
    <w:p w14:paraId="0B75A839"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、执行穿行测试，选取样本追踪一笔资金从申请到支付的全程，验证制度是否得到执行；</w:t>
      </w:r>
    </w:p>
    <w:p w14:paraId="3BC35B50"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、执行控制测试，测试关键控制的运行有效性；</w:t>
      </w:r>
    </w:p>
    <w:p w14:paraId="5092E64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、亲自前往银行</w:t>
      </w:r>
      <w:r>
        <w:rPr>
          <w:rFonts w:hint="eastAsia"/>
        </w:rPr>
        <w:t>或</w:t>
      </w:r>
      <w:r w:rsidRPr="00DA3766">
        <w:rPr>
          <w:rFonts w:ascii="Times New Roman" w:hAnsi="Times New Roman" w:cs="Times New Roman"/>
          <w:kern w:val="2"/>
          <w14:ligatures w14:val="standardContextual"/>
        </w:rPr>
        <w:t>通过网银获取《已开立银行结算账户清单》，与账面记录核对，确保账户完整性；</w:t>
      </w:r>
    </w:p>
    <w:p w14:paraId="2E98FFF2" w14:textId="24AE2982"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、获取</w:t>
      </w:r>
      <w:r w:rsidR="001307D4">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及其重要子公司报告期内所有银行账户的银行对账单和银行流水；</w:t>
      </w:r>
    </w:p>
    <w:p w14:paraId="3E9FABB3"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w:t>
      </w:r>
      <w:r>
        <w:rPr>
          <w:rFonts w:ascii="Times New Roman" w:hAnsi="Times New Roman" w:cs="Times New Roman" w:hint="eastAsia"/>
          <w:kern w:val="2"/>
          <w14:ligatures w14:val="standardContextual"/>
        </w:rPr>
        <w:t>在</w:t>
      </w:r>
      <w:r w:rsidRPr="00DA3766">
        <w:rPr>
          <w:rFonts w:ascii="Times New Roman" w:hAnsi="Times New Roman" w:cs="Times New Roman"/>
          <w:kern w:val="2"/>
          <w14:ligatures w14:val="standardContextual"/>
        </w:rPr>
        <w:t>报告期各期末对所有银行存款账户实施函证</w:t>
      </w:r>
      <w:r>
        <w:rPr>
          <w:rFonts w:ascii="Times New Roman" w:hAnsi="Times New Roman" w:cs="Times New Roman" w:hint="eastAsia"/>
          <w:kern w:val="2"/>
          <w14:ligatures w14:val="standardContextual"/>
        </w:rPr>
        <w:t>程序</w:t>
      </w:r>
      <w:r w:rsidRPr="00DA3766">
        <w:rPr>
          <w:rFonts w:ascii="Times New Roman" w:hAnsi="Times New Roman" w:cs="Times New Roman"/>
          <w:kern w:val="2"/>
          <w14:ligatures w14:val="standardContextual"/>
        </w:rPr>
        <w:t>，检查余额的真实性以及是否存在抵押、质押、冻结等权利限制；</w:t>
      </w:r>
    </w:p>
    <w:p w14:paraId="0E8AC22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、对大额异常资金流水进行核查，分析是否存在资金占用、第三方回款等异常情形；</w:t>
      </w:r>
    </w:p>
    <w:p w14:paraId="7C46262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w:t>
      </w:r>
      <w:r>
        <w:t>在报告期各期末对库存现金实施监盘程序</w:t>
      </w:r>
      <w:r w:rsidRPr="00DA3766">
        <w:rPr>
          <w:rFonts w:ascii="Times New Roman" w:hAnsi="Times New Roman" w:cs="Times New Roman"/>
          <w:kern w:val="2"/>
          <w14:ligatures w14:val="standardContextual"/>
        </w:rPr>
        <w:t>。</w:t>
      </w:r>
    </w:p>
    <w:p w14:paraId="2A31BE6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经核查，上市公司货币资金相关内控制度健全有效，报告期各期末货币资金余额真实、准确、完整，不存在异常现金收支或体外资金循环的情形。</w:t>
      </w:r>
    </w:p>
    <w:p w14:paraId="5161ECA7"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（二）应收账款核查情况</w:t>
      </w:r>
    </w:p>
    <w:p w14:paraId="34C092D8"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5ACE299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t>了解</w:t>
      </w:r>
      <w:r>
        <w:rPr>
          <w:rFonts w:hint="eastAsia"/>
        </w:rPr>
        <w:t>和评价公司</w:t>
      </w:r>
      <w:r>
        <w:t>销售与收款循环</w:t>
      </w:r>
      <w:r>
        <w:rPr>
          <w:rFonts w:hint="eastAsia"/>
        </w:rPr>
        <w:t>的关键</w:t>
      </w:r>
      <w:r>
        <w:t>内部控制</w:t>
      </w:r>
      <w:r>
        <w:rPr>
          <w:rFonts w:hint="eastAsia"/>
        </w:rPr>
        <w:t>的设计</w:t>
      </w:r>
      <w:r>
        <w:t>，</w:t>
      </w:r>
      <w:r>
        <w:rPr>
          <w:rFonts w:hint="eastAsia"/>
        </w:rPr>
        <w:t>测试关键控制运行的</w:t>
      </w:r>
      <w:r>
        <w:t>有效性</w:t>
      </w:r>
      <w:r w:rsidRPr="00DA3766">
        <w:rPr>
          <w:rFonts w:ascii="Times New Roman" w:hAnsi="Times New Roman" w:cs="Times New Roman"/>
          <w:kern w:val="2"/>
          <w14:ligatures w14:val="standardContextual"/>
        </w:rPr>
        <w:t>；</w:t>
      </w:r>
    </w:p>
    <w:p w14:paraId="321E0D0D"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w:t>
      </w:r>
      <w:r>
        <w:t>对报告期各期前五大客户的应收账款余额及交易额实施独立函证，对未</w:t>
      </w:r>
      <w:r>
        <w:lastRenderedPageBreak/>
        <w:t>回函或回函不符的，执行替代</w:t>
      </w:r>
      <w:r>
        <w:rPr>
          <w:rFonts w:hint="eastAsia"/>
        </w:rPr>
        <w:t>程序</w:t>
      </w:r>
      <w:r>
        <w:t>：</w:t>
      </w:r>
      <w:r w:rsidRPr="00DA3766">
        <w:rPr>
          <w:rFonts w:ascii="Times New Roman" w:hAnsi="Times New Roman" w:cs="Times New Roman"/>
          <w:kern w:val="2"/>
          <w14:ligatures w14:val="standardContextual"/>
        </w:rPr>
        <w:t>；</w:t>
      </w:r>
    </w:p>
    <w:p w14:paraId="45E76FF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w:t>
      </w:r>
      <w:r w:rsidRPr="00D52A59">
        <w:t>对重大、重要的应收账款余额及发生额进行细节测试，检查相关的支持性文件，例如合同或协议、款项收回银行单据等，确定业务发生的真实性及会计处理正确性；并检查期后款项收回情况</w:t>
      </w:r>
      <w:r w:rsidRPr="00DA3766">
        <w:rPr>
          <w:rFonts w:ascii="Times New Roman" w:hAnsi="Times New Roman" w:cs="Times New Roman"/>
          <w:kern w:val="2"/>
          <w14:ligatures w14:val="standardContextual"/>
        </w:rPr>
        <w:t>；</w:t>
      </w:r>
    </w:p>
    <w:p w14:paraId="5ABFDC3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、对资产负债表日前后记录的收入和应收账款进行截止测试，确认收入确认时点是否恰当；</w:t>
      </w:r>
    </w:p>
    <w:p w14:paraId="0D709A6E"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w:t>
      </w:r>
      <w:r>
        <w:rPr>
          <w:rFonts w:hint="eastAsia"/>
        </w:rPr>
        <w:t>获取公司的应收账款账龄明细，按照公司的坏账计提政策重新计算以验证坏账计提的准确性；将公司坏账计提比例与同行业上市公司进行比较，以验证公司坏账计提的充分性</w:t>
      </w:r>
      <w:r w:rsidRPr="00DA3766">
        <w:rPr>
          <w:rFonts w:ascii="Times New Roman" w:hAnsi="Times New Roman" w:cs="Times New Roman"/>
          <w:kern w:val="2"/>
          <w14:ligatures w14:val="standardContextual"/>
        </w:rPr>
        <w:t>；</w:t>
      </w:r>
    </w:p>
    <w:p w14:paraId="33E11D04"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w:t>
      </w:r>
      <w:r>
        <w:t>通过企查查等</w:t>
      </w:r>
      <w:r>
        <w:rPr>
          <w:rFonts w:hint="eastAsia"/>
        </w:rPr>
        <w:t>工具对</w:t>
      </w:r>
      <w:r>
        <w:t>主要客户</w:t>
      </w:r>
      <w:r>
        <w:rPr>
          <w:rFonts w:hint="eastAsia"/>
        </w:rPr>
        <w:t>进行背景调查，重点关注其</w:t>
      </w:r>
      <w:r>
        <w:t>股权结构</w:t>
      </w:r>
      <w:r>
        <w:rPr>
          <w:rFonts w:hint="eastAsia"/>
        </w:rPr>
        <w:t>和</w:t>
      </w:r>
      <w:r>
        <w:t>是否存在经营异常</w:t>
      </w:r>
      <w:r w:rsidRPr="00DA3766">
        <w:rPr>
          <w:rFonts w:ascii="Times New Roman" w:hAnsi="Times New Roman" w:cs="Times New Roman"/>
          <w:kern w:val="2"/>
          <w14:ligatures w14:val="standardContextual"/>
        </w:rPr>
        <w:t>；</w:t>
      </w:r>
    </w:p>
    <w:p w14:paraId="5E22FEFD"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、对主要客户进行实地走访或视频访谈，确认交易背景、合同条款、结算方式、是否存在关联关系；</w:t>
      </w:r>
    </w:p>
    <w:p w14:paraId="7F9D1642"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sidRPr="00DA3766">
        <w:rPr>
          <w:rFonts w:ascii="Times New Roman" w:hAnsi="Times New Roman" w:cs="Times New Roman"/>
          <w:kern w:val="2"/>
          <w14:ligatures w14:val="standardContextual"/>
        </w:rPr>
        <w:t>认为，上市公司应收账款真实、完整，坏账准备计提政策合理且计提充分。</w:t>
      </w:r>
    </w:p>
    <w:p w14:paraId="486BE6D3"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（三）存货核查情况</w:t>
      </w:r>
    </w:p>
    <w:p w14:paraId="6E830870"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33E79E1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t>了解与测试存货相关内部控制，</w:t>
      </w:r>
      <w:r>
        <w:rPr>
          <w:rFonts w:hint="eastAsia"/>
        </w:rPr>
        <w:t>测试相关控制运行的</w:t>
      </w:r>
      <w:r>
        <w:t>有效性</w:t>
      </w:r>
      <w:r w:rsidRPr="00DA3766">
        <w:rPr>
          <w:rFonts w:ascii="Times New Roman" w:hAnsi="Times New Roman" w:cs="Times New Roman"/>
          <w:kern w:val="2"/>
          <w14:ligatures w14:val="standardContextual"/>
        </w:rPr>
        <w:t>；</w:t>
      </w:r>
    </w:p>
    <w:p w14:paraId="57A86CF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w:t>
      </w:r>
      <w:r>
        <w:rPr>
          <w:rFonts w:hint="eastAsia"/>
        </w:rPr>
        <w:t>获取期末存货明细，了解存货构成情况；将各类别存货的各期数据进行对比，同时与同行业上市公司进行比较，分析其构成及变动的合理性；了解公司存货成本核算方法，并选取项目进行重新计算程序，以验证成本核算的准确性，同时将其成本核算方法与同行业上市公司进行比较，验证其成本核算的合理性</w:t>
      </w:r>
      <w:r w:rsidRPr="00DA3766">
        <w:rPr>
          <w:rFonts w:ascii="Times New Roman" w:hAnsi="Times New Roman" w:cs="Times New Roman"/>
          <w:kern w:val="2"/>
          <w14:ligatures w14:val="standardContextual"/>
        </w:rPr>
        <w:t>；</w:t>
      </w:r>
    </w:p>
    <w:p w14:paraId="7368F15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w:t>
      </w:r>
      <w:r>
        <w:t>参与上市公司年度盘点</w:t>
      </w:r>
      <w:r>
        <w:rPr>
          <w:rFonts w:hint="eastAsia"/>
        </w:rPr>
        <w:t>并执行监盘程序</w:t>
      </w:r>
      <w:r w:rsidRPr="00DA3766">
        <w:rPr>
          <w:rFonts w:ascii="Times New Roman" w:hAnsi="Times New Roman" w:cs="Times New Roman"/>
          <w:kern w:val="2"/>
          <w14:ligatures w14:val="standardContextual"/>
        </w:rPr>
        <w:t>；</w:t>
      </w:r>
    </w:p>
    <w:p w14:paraId="1BFF2D29"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w:t>
      </w:r>
      <w:r>
        <w:rPr>
          <w:rFonts w:hint="eastAsia"/>
        </w:rPr>
        <w:t>将公司的存货跌价计提政策与计提情况与同行业上市公司进行比较以验证公司存货跌价政策的合理性与跌价计提的充分性；</w:t>
      </w:r>
      <w:r w:rsidRPr="00DA3766">
        <w:rPr>
          <w:rFonts w:ascii="Times New Roman" w:hAnsi="Times New Roman" w:cs="Times New Roman"/>
          <w:kern w:val="2"/>
          <w14:ligatures w14:val="standardContextual"/>
        </w:rPr>
        <w:t>。</w:t>
      </w:r>
    </w:p>
    <w:p w14:paraId="27744B4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经核查，上市公司存货真实、完整，计价准确，存货跌价准备计提充分。</w:t>
      </w:r>
    </w:p>
    <w:p w14:paraId="33796E70"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（四）在建工程核查情况</w:t>
      </w:r>
    </w:p>
    <w:p w14:paraId="548E91A2"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7C75D09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t>了解与测试在建工程相关内部控制，并评价</w:t>
      </w:r>
      <w:r>
        <w:rPr>
          <w:rFonts w:hint="eastAsia"/>
        </w:rPr>
        <w:t>上市公司</w:t>
      </w:r>
      <w:r>
        <w:t>内部控制制度的有效性</w:t>
      </w:r>
      <w:r w:rsidRPr="00DA3766">
        <w:rPr>
          <w:rFonts w:ascii="Times New Roman" w:hAnsi="Times New Roman" w:cs="Times New Roman"/>
          <w:kern w:val="2"/>
          <w14:ligatures w14:val="standardContextual"/>
        </w:rPr>
        <w:t>；</w:t>
      </w:r>
    </w:p>
    <w:p w14:paraId="4ED0EBEE" w14:textId="77777777" w:rsidR="00E76498" w:rsidRPr="00DA3766" w:rsidRDefault="00E76498" w:rsidP="00F35D3D">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2</w:t>
      </w:r>
      <w:r w:rsidRPr="00DA3766">
        <w:rPr>
          <w:rFonts w:ascii="Times New Roman" w:hAnsi="Times New Roman" w:cs="Times New Roman"/>
          <w:kern w:val="2"/>
          <w14:ligatures w14:val="standardContextual"/>
        </w:rPr>
        <w:t>、</w:t>
      </w:r>
      <w:r w:rsidRPr="00045249">
        <w:rPr>
          <w:rFonts w:ascii="Times New Roman" w:hAnsi="Times New Roman" w:cs="Times New Roman"/>
          <w:kern w:val="2"/>
          <w14:ligatures w14:val="standardContextual"/>
        </w:rPr>
        <w:t>获取在建工程明细表，抽取重大项目，检查工程预算及合同，工程进度确认单、发票、付款记录等；重点关注相关费用资本化是否合理且准确；并通过实地查看或检查各方确认的工程进度，验证在建工程的核算金额是否准确且与当前进度匹配，是否存在延迟转固的情况；同时根据在建项目的立项相关的盈利预测、当前市场情况及已转固资产的运营情况，判断其是否存在减值迹象</w:t>
      </w:r>
      <w:r>
        <w:rPr>
          <w:rFonts w:ascii="Times New Roman" w:hAnsi="Times New Roman" w:cs="Times New Roman" w:hint="eastAsia"/>
          <w:kern w:val="2"/>
          <w14:ligatures w14:val="standardContextual"/>
        </w:rPr>
        <w:t>；</w:t>
      </w:r>
    </w:p>
    <w:p w14:paraId="3FF7DBA8"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3</w:t>
      </w:r>
      <w:r w:rsidRPr="00DA3766">
        <w:rPr>
          <w:rFonts w:ascii="Times New Roman" w:hAnsi="Times New Roman" w:cs="Times New Roman"/>
          <w:kern w:val="2"/>
          <w14:ligatures w14:val="standardContextual"/>
        </w:rPr>
        <w:t>、</w:t>
      </w:r>
      <w:r w:rsidRPr="00045249">
        <w:rPr>
          <w:rFonts w:ascii="Times New Roman" w:hAnsi="Times New Roman" w:cs="Times New Roman"/>
          <w:kern w:val="2"/>
          <w14:ligatures w14:val="standardContextual"/>
        </w:rPr>
        <w:t>抽取主要工程承包商、设备供应商进行函证，并对其进行背景调查，核实交易真实是否真实、在建工程核算是否准确，其与上市公司是否存在关联关系</w:t>
      </w:r>
      <w:r w:rsidRPr="00DA3766">
        <w:rPr>
          <w:rFonts w:ascii="Times New Roman" w:hAnsi="Times New Roman" w:cs="Times New Roman"/>
          <w:kern w:val="2"/>
          <w14:ligatures w14:val="standardContextual"/>
        </w:rPr>
        <w:t>；</w:t>
      </w:r>
    </w:p>
    <w:p w14:paraId="22B29FD6"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4</w:t>
      </w:r>
      <w:r w:rsidRPr="00DA3766">
        <w:rPr>
          <w:rFonts w:ascii="Times New Roman" w:hAnsi="Times New Roman" w:cs="Times New Roman"/>
          <w:kern w:val="2"/>
          <w14:ligatures w14:val="standardContextual"/>
        </w:rPr>
        <w:t>、</w:t>
      </w:r>
      <w:r w:rsidRPr="00045249">
        <w:rPr>
          <w:rFonts w:ascii="Times New Roman" w:hAnsi="Times New Roman" w:cs="Times New Roman"/>
          <w:kern w:val="2"/>
          <w14:ligatures w14:val="standardContextual"/>
        </w:rPr>
        <w:t>对于在建工程转固，检查相应的转固依据文件并于同行业情况进行比较，以验证转固依据是否充分，转固是否及时</w:t>
      </w:r>
      <w:r w:rsidRPr="00DA3766">
        <w:rPr>
          <w:rFonts w:ascii="Times New Roman" w:hAnsi="Times New Roman" w:cs="Times New Roman"/>
          <w:kern w:val="2"/>
          <w14:ligatures w14:val="standardContextual"/>
        </w:rPr>
        <w:t>；</w:t>
      </w:r>
    </w:p>
    <w:p w14:paraId="39AAAC7C"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sidRPr="00DA3766">
        <w:rPr>
          <w:rFonts w:ascii="Times New Roman" w:hAnsi="Times New Roman" w:cs="Times New Roman"/>
          <w:kern w:val="2"/>
          <w14:ligatures w14:val="standardContextual"/>
        </w:rPr>
        <w:t>认为，在建工程真实、成本归集准确、转固时点恰当，不存在延迟转固、费用资本化不当或减值计提不充分的情况。</w:t>
      </w:r>
    </w:p>
    <w:p w14:paraId="63A7DF6C" w14:textId="77777777" w:rsidR="00E76498" w:rsidRPr="00DA3766" w:rsidRDefault="00E76498" w:rsidP="00F35D3D">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（五）固定资产核查情况</w:t>
      </w:r>
    </w:p>
    <w:p w14:paraId="3A330BED"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535D46D5"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t>了解与测试固定资产相关内部控制，并评价</w:t>
      </w:r>
      <w:r>
        <w:rPr>
          <w:rFonts w:hint="eastAsia"/>
        </w:rPr>
        <w:t>上市公司</w:t>
      </w:r>
      <w:r>
        <w:t>内部控制制度的有效性</w:t>
      </w:r>
      <w:r w:rsidRPr="00DA3766">
        <w:rPr>
          <w:rFonts w:ascii="Times New Roman" w:hAnsi="Times New Roman" w:cs="Times New Roman"/>
          <w:kern w:val="2"/>
          <w14:ligatures w14:val="standardContextual"/>
        </w:rPr>
        <w:t>；</w:t>
      </w:r>
    </w:p>
    <w:p w14:paraId="3C733B03"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w:t>
      </w:r>
      <w:r>
        <w:t>抽检房屋建筑物的不动产权证书、车辆行驶证等资料</w:t>
      </w:r>
      <w:r>
        <w:rPr>
          <w:rFonts w:hint="eastAsia"/>
        </w:rPr>
        <w:t>，以验证其权属是否属于上市公司</w:t>
      </w:r>
      <w:r w:rsidRPr="00DA3766">
        <w:rPr>
          <w:rFonts w:ascii="Times New Roman" w:hAnsi="Times New Roman" w:cs="Times New Roman"/>
          <w:kern w:val="2"/>
          <w14:ligatures w14:val="standardContextual"/>
        </w:rPr>
        <w:t>；</w:t>
      </w:r>
    </w:p>
    <w:p w14:paraId="2BABAF91"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w:t>
      </w:r>
      <w:r>
        <w:t>对报告期内新增的重大固定资产，检查采购合同、发票、验收报告、付款凭证等，确认入账价值准确、及时；对于在建工程转入</w:t>
      </w:r>
      <w:r>
        <w:rPr>
          <w:rFonts w:hint="eastAsia"/>
        </w:rPr>
        <w:t>项目</w:t>
      </w:r>
      <w:r>
        <w:t>，检查转固依据和时点是否恰当</w:t>
      </w:r>
      <w:r w:rsidRPr="00DA3766">
        <w:rPr>
          <w:rFonts w:ascii="Times New Roman" w:hAnsi="Times New Roman" w:cs="Times New Roman"/>
          <w:kern w:val="2"/>
          <w14:ligatures w14:val="standardContextual"/>
        </w:rPr>
        <w:t>；</w:t>
      </w:r>
    </w:p>
    <w:p w14:paraId="747B2078"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4</w:t>
      </w:r>
      <w:r w:rsidRPr="00DA3766">
        <w:rPr>
          <w:rFonts w:ascii="Times New Roman" w:hAnsi="Times New Roman" w:cs="Times New Roman"/>
          <w:kern w:val="2"/>
          <w14:ligatures w14:val="standardContextual"/>
        </w:rPr>
        <w:t>、</w:t>
      </w:r>
      <w:r w:rsidRPr="00045249">
        <w:rPr>
          <w:rFonts w:ascii="Times New Roman" w:hAnsi="Times New Roman" w:cs="Times New Roman"/>
          <w:kern w:val="2"/>
          <w14:ligatures w14:val="standardContextual"/>
        </w:rPr>
        <w:t>将公司的固定资产折旧政策与同行业与同行业进行比较以验证其是否存在显著差异；对公司折旧计提执行重新计算程序，以验证折旧计提的准确性</w:t>
      </w:r>
      <w:r w:rsidRPr="00DA3766">
        <w:rPr>
          <w:rFonts w:ascii="Times New Roman" w:hAnsi="Times New Roman" w:cs="Times New Roman"/>
          <w:kern w:val="2"/>
          <w14:ligatures w14:val="standardContextual"/>
        </w:rPr>
        <w:t>。</w:t>
      </w:r>
    </w:p>
    <w:p w14:paraId="329990C8"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5</w:t>
      </w:r>
      <w:r w:rsidRPr="00DA3766">
        <w:rPr>
          <w:rFonts w:ascii="Times New Roman" w:hAnsi="Times New Roman" w:cs="Times New Roman"/>
          <w:kern w:val="2"/>
          <w14:ligatures w14:val="standardContextual"/>
        </w:rPr>
        <w:t>、</w:t>
      </w:r>
      <w:r w:rsidRPr="00EA1A31">
        <w:rPr>
          <w:rFonts w:ascii="Times New Roman" w:hAnsi="Times New Roman" w:cs="Times New Roman" w:hint="eastAsia"/>
          <w:kern w:val="2"/>
          <w14:ligatures w14:val="standardContextual"/>
        </w:rPr>
        <w:t>根据相应资产的运营状况和市场行情判断是否存在减值迹象</w:t>
      </w:r>
      <w:r>
        <w:rPr>
          <w:rFonts w:ascii="Times New Roman" w:hAnsi="Times New Roman" w:cs="Times New Roman" w:hint="eastAsia"/>
          <w:kern w:val="2"/>
          <w14:ligatures w14:val="standardContextual"/>
        </w:rPr>
        <w:t>；</w:t>
      </w:r>
    </w:p>
    <w:p w14:paraId="485425CB"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6</w:t>
      </w:r>
      <w:r>
        <w:rPr>
          <w:rFonts w:ascii="Times New Roman" w:hAnsi="Times New Roman" w:cs="Times New Roman" w:hint="eastAsia"/>
          <w:kern w:val="2"/>
          <w14:ligatures w14:val="standardContextual"/>
        </w:rPr>
        <w:t>、</w:t>
      </w:r>
      <w:r w:rsidRPr="00DA3766">
        <w:rPr>
          <w:rFonts w:ascii="Times New Roman" w:hAnsi="Times New Roman" w:cs="Times New Roman"/>
          <w:kern w:val="2"/>
          <w14:ligatures w14:val="standardContextual"/>
        </w:rPr>
        <w:t>复核会计师固定资产的分析程序底稿，了解并评价折旧政策的合理性，是否与同行业存在显著差异，评估减值测试过程及计提是否充分。</w:t>
      </w:r>
    </w:p>
    <w:p w14:paraId="5F3AAE1E" w14:textId="77777777" w:rsidR="00E76498" w:rsidRDefault="00E76498" w:rsidP="00F35D3D">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sidRPr="00DA3766">
        <w:rPr>
          <w:rFonts w:ascii="Times New Roman" w:hAnsi="Times New Roman" w:cs="Times New Roman"/>
          <w:kern w:val="2"/>
          <w14:ligatures w14:val="standardContextual"/>
        </w:rPr>
        <w:t>认为，上市公司固定资产真实存在、权属清晰、入账价值准确、折旧计提合理，未发现重大减值迹象或计提不充分的情况。</w:t>
      </w:r>
    </w:p>
    <w:p w14:paraId="693698C7"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szCs w:val="22"/>
        </w:rPr>
      </w:pPr>
      <w:r>
        <w:rPr>
          <w:rFonts w:ascii="Times New Roman" w:hAnsi="Times New Roman" w:cs="Times New Roman" w:hint="eastAsia"/>
          <w:kern w:val="2"/>
          <w14:ligatures w14:val="standardContextual"/>
        </w:rPr>
        <w:t>（以下无正文）</w:t>
      </w:r>
    </w:p>
    <w:p w14:paraId="6E8FE900" w14:textId="77777777" w:rsidR="00E76498" w:rsidRPr="000C0DFD" w:rsidRDefault="00E76498" w:rsidP="00F35D3D">
      <w:pPr>
        <w:pStyle w:val="005"/>
        <w:spacing w:before="120" w:after="120"/>
        <w:ind w:firstLine="480"/>
      </w:pPr>
    </w:p>
    <w:p w14:paraId="21EA959F" w14:textId="77777777" w:rsidR="00E76498" w:rsidRPr="00DA3766" w:rsidRDefault="00E76498" w:rsidP="00F35D3D">
      <w:pPr>
        <w:widowControl w:val="0"/>
        <w:snapToGrid w:val="0"/>
        <w:spacing w:before="120" w:afterLines="0" w:after="120"/>
        <w:ind w:firstLine="480"/>
        <w:jc w:val="both"/>
        <w:rPr>
          <w:rFonts w:ascii="Times New Roman" w:hAnsi="Times New Roman" w:cs="Times New Roman"/>
          <w:kern w:val="2"/>
          <w:szCs w:val="22"/>
        </w:rPr>
      </w:pPr>
    </w:p>
    <w:p w14:paraId="078CF355" w14:textId="68197540" w:rsidR="00494545" w:rsidRPr="00DA3766" w:rsidRDefault="00494545" w:rsidP="00494545">
      <w:pPr>
        <w:pStyle w:val="001"/>
        <w:spacing w:before="120" w:after="120"/>
        <w:ind w:firstLine="480"/>
      </w:pPr>
      <w:r w:rsidRPr="00DA3766">
        <w:lastRenderedPageBreak/>
        <w:t>问题</w:t>
      </w:r>
      <w:r w:rsidRPr="00DA3766">
        <w:t>11</w:t>
      </w:r>
      <w:r w:rsidRPr="00DA3766">
        <w:t>、关于信息披露的完整性与充分性</w:t>
      </w:r>
      <w:bookmarkEnd w:id="291"/>
    </w:p>
    <w:p w14:paraId="250FB845" w14:textId="77777777" w:rsidR="00494545" w:rsidRPr="00DA3766" w:rsidRDefault="00494545" w:rsidP="00494545">
      <w:pPr>
        <w:pStyle w:val="0050"/>
        <w:spacing w:before="120" w:after="120"/>
        <w:ind w:firstLine="480"/>
      </w:pPr>
      <w:r w:rsidRPr="00DA3766">
        <w:t>申请文件未按照《</w:t>
      </w:r>
      <w:r w:rsidRPr="00DA3766">
        <w:t>26</w:t>
      </w:r>
      <w:r w:rsidRPr="00DA3766">
        <w:t>号格式准则》的要求完整、充分及准确的披露以下信息：（</w:t>
      </w:r>
      <w:r w:rsidRPr="00DA3766">
        <w:t>1</w:t>
      </w:r>
      <w:r w:rsidRPr="00DA3766">
        <w:t>）报告期各期主要产品的期初及期末库存情况；（</w:t>
      </w:r>
      <w:r w:rsidRPr="00DA3766">
        <w:t>2</w:t>
      </w:r>
      <w:r w:rsidRPr="00DA3766">
        <w:t>）</w:t>
      </w:r>
      <w:bookmarkStart w:id="294" w:name="_Hlk217900750"/>
      <w:r w:rsidRPr="00DA3766">
        <w:t>标的资产报告期内的董事、监事、高级管理人员和核心技术人员、其他主要关联方或持股百分之五以上的股东在前五名客户或供应商中所占权益的情况</w:t>
      </w:r>
      <w:bookmarkEnd w:id="294"/>
      <w:r w:rsidRPr="00DA3766">
        <w:t>；（</w:t>
      </w:r>
      <w:r w:rsidRPr="00DA3766">
        <w:t>3</w:t>
      </w:r>
      <w:r w:rsidRPr="00DA3766">
        <w:t>）主要产品生产技术所处的阶段；（</w:t>
      </w:r>
      <w:r w:rsidRPr="00DA3766">
        <w:t>4</w:t>
      </w:r>
      <w:r w:rsidRPr="00DA3766">
        <w:t>）报告期核心技术人员特定分析及变动情况，核心技术人员占员工总数的比例，核心技术人员的学历背景构成、取得的专业资质及重要科研成果和获得奖项情况、对标的资产研发的具体贡献，标的资产对核心技术人员实施的约束激励措施等；（</w:t>
      </w:r>
      <w:r w:rsidRPr="00DA3766">
        <w:t>5</w:t>
      </w:r>
      <w:r w:rsidRPr="00DA3766">
        <w:t>）标的资产是否存在涉及许可他人使用自己所有的资产或作为被许可人使用他人资产的情况；（</w:t>
      </w:r>
      <w:r w:rsidRPr="00DA3766">
        <w:t>6</w:t>
      </w:r>
      <w:r w:rsidRPr="00DA3766">
        <w:t>）明确具体披露相关法律法规所要求的其他可能涉及必要的批准、核准、备案或许可的具体情况。</w:t>
      </w:r>
    </w:p>
    <w:p w14:paraId="455FA885" w14:textId="671D02E9" w:rsidR="00494545" w:rsidRPr="00DA3766" w:rsidRDefault="00494545" w:rsidP="00494545">
      <w:pPr>
        <w:pStyle w:val="0050"/>
        <w:spacing w:before="120" w:after="120"/>
        <w:ind w:firstLine="480"/>
      </w:pPr>
      <w:r w:rsidRPr="00DA3766">
        <w:t>请上市公司及中介机构严格按照《</w:t>
      </w:r>
      <w:r w:rsidRPr="00DA3766">
        <w:t>26</w:t>
      </w:r>
      <w:r w:rsidRPr="00DA3766">
        <w:t>号格式准则》的相关要求完整、充分披露相关信息。</w:t>
      </w:r>
    </w:p>
    <w:p w14:paraId="2DD986D8" w14:textId="20026968" w:rsidR="00D41D7A" w:rsidRPr="00DA3766" w:rsidRDefault="00D41D7A" w:rsidP="00D41D7A">
      <w:pPr>
        <w:pStyle w:val="002"/>
        <w:spacing w:before="120" w:after="120"/>
        <w:ind w:firstLine="482"/>
      </w:pPr>
      <w:r w:rsidRPr="00DA3766">
        <w:t>一、</w:t>
      </w:r>
      <w:bookmarkStart w:id="295" w:name="OLE_LINK116"/>
      <w:r w:rsidRPr="00DA3766">
        <w:t>报告期各期主要产品的期初及期末库存情况</w:t>
      </w:r>
      <w:bookmarkEnd w:id="295"/>
    </w:p>
    <w:p w14:paraId="4CD1192D" w14:textId="66164830" w:rsidR="009C0D94" w:rsidRPr="00DA3766" w:rsidRDefault="009C0D94" w:rsidP="008A1B9E">
      <w:pPr>
        <w:pStyle w:val="005"/>
        <w:spacing w:before="120" w:after="120"/>
        <w:ind w:firstLine="480"/>
      </w:pPr>
      <w:r w:rsidRPr="00DA3766">
        <w:t>报告期各期末，标的公司存货中库存商品账面余额分别为</w:t>
      </w:r>
      <w:bookmarkStart w:id="296" w:name="OLE_LINK111"/>
      <w:r w:rsidRPr="00DA3766">
        <w:t>419.11</w:t>
      </w:r>
      <w:bookmarkEnd w:id="296"/>
      <w:r w:rsidRPr="00DA3766">
        <w:t>万元、</w:t>
      </w:r>
      <w:r w:rsidRPr="00DA3766">
        <w:t>328.81</w:t>
      </w:r>
      <w:r w:rsidRPr="00DA3766">
        <w:t>万元和</w:t>
      </w:r>
      <w:r w:rsidRPr="00DA3766">
        <w:t>388.40</w:t>
      </w:r>
      <w:r w:rsidRPr="00DA3766">
        <w:t>万元，账面价值分别为</w:t>
      </w:r>
      <w:r w:rsidRPr="00DA3766">
        <w:t>409.64</w:t>
      </w:r>
      <w:r w:rsidRPr="00DA3766">
        <w:t>万元、</w:t>
      </w:r>
      <w:r w:rsidRPr="00DA3766">
        <w:t>310.53</w:t>
      </w:r>
      <w:r w:rsidRPr="00DA3766">
        <w:t>万元和</w:t>
      </w:r>
      <w:r w:rsidRPr="00DA3766">
        <w:t>369.62</w:t>
      </w:r>
      <w:r w:rsidRPr="00DA3766">
        <w:t>万元，金额及资产占比均较小。</w:t>
      </w:r>
      <w:r w:rsidRPr="00DA3766">
        <w:rPr>
          <w:lang w:bidi="ar"/>
        </w:rPr>
        <w:t>报告期各期，</w:t>
      </w:r>
      <w:r w:rsidRPr="00DA3766">
        <w:t>标的公司</w:t>
      </w:r>
      <w:r w:rsidRPr="00DA3766">
        <w:rPr>
          <w:lang w:bidi="ar"/>
        </w:rPr>
        <w:t>存货周转率分别为</w:t>
      </w:r>
      <w:r w:rsidRPr="00DA3766">
        <w:t>9.09</w:t>
      </w:r>
      <w:r w:rsidRPr="00DA3766">
        <w:t>、</w:t>
      </w:r>
      <w:r w:rsidRPr="00DA3766">
        <w:t>13.05</w:t>
      </w:r>
      <w:r w:rsidRPr="00DA3766">
        <w:rPr>
          <w:lang w:bidi="ar"/>
        </w:rPr>
        <w:t>和</w:t>
      </w:r>
      <w:r w:rsidRPr="00DA3766">
        <w:t>6.57</w:t>
      </w:r>
      <w:r w:rsidRPr="00DA3766">
        <w:rPr>
          <w:lang w:bidi="ar"/>
        </w:rPr>
        <w:t>，</w:t>
      </w:r>
      <w:r w:rsidRPr="00DA3766">
        <w:rPr>
          <w:lang w:bidi="ar"/>
        </w:rPr>
        <w:t>2024</w:t>
      </w:r>
      <w:r w:rsidRPr="00DA3766">
        <w:rPr>
          <w:lang w:bidi="ar"/>
        </w:rPr>
        <w:t>年存货周转率较</w:t>
      </w:r>
      <w:r w:rsidRPr="00DA3766">
        <w:rPr>
          <w:lang w:bidi="ar"/>
        </w:rPr>
        <w:t>2023</w:t>
      </w:r>
      <w:r w:rsidRPr="00DA3766">
        <w:rPr>
          <w:lang w:bidi="ar"/>
        </w:rPr>
        <w:t>年明显上升，与标的公司运营效率不断提升、在存货规模相对稳定条件下实现</w:t>
      </w:r>
      <w:r w:rsidRPr="00DA3766">
        <w:t>IoT</w:t>
      </w:r>
      <w:r w:rsidRPr="00DA3766">
        <w:t>智能硬件业务收入较快增长的情况</w:t>
      </w:r>
      <w:r w:rsidRPr="00DA3766">
        <w:rPr>
          <w:lang w:bidi="ar"/>
        </w:rPr>
        <w:t>相符。</w:t>
      </w:r>
    </w:p>
    <w:p w14:paraId="40751513" w14:textId="01A1723F" w:rsidR="009C3AA0" w:rsidRPr="00DA3766" w:rsidRDefault="009B70B9" w:rsidP="008A1B9E">
      <w:pPr>
        <w:pStyle w:val="005"/>
        <w:spacing w:before="120" w:after="120"/>
        <w:ind w:firstLine="480"/>
      </w:pPr>
      <w:r w:rsidRPr="00DA3766">
        <w:t>报告期各期末，标的公司库存主要产品的账面余额情况</w:t>
      </w:r>
      <w:r w:rsidR="009C3AA0" w:rsidRPr="00DA3766">
        <w:t>如下：</w:t>
      </w:r>
    </w:p>
    <w:p w14:paraId="67A87B17" w14:textId="77777777" w:rsidR="009B70B9" w:rsidRPr="00DA3766" w:rsidRDefault="009B70B9" w:rsidP="008A1B9E">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9B70B9" w:rsidRPr="00DA3766" w14:paraId="3BFD4650" w14:textId="77777777" w:rsidTr="00DA3766">
        <w:trPr>
          <w:trHeight w:val="397"/>
          <w:jc w:val="center"/>
        </w:trPr>
        <w:tc>
          <w:tcPr>
            <w:tcW w:w="2043" w:type="dxa"/>
            <w:tcMar>
              <w:top w:w="0" w:type="dxa"/>
              <w:left w:w="108" w:type="dxa"/>
              <w:bottom w:w="0" w:type="dxa"/>
              <w:right w:w="108" w:type="dxa"/>
            </w:tcMar>
            <w:vAlign w:val="center"/>
          </w:tcPr>
          <w:p w14:paraId="4587120D"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69CC4E64"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5DE85214"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34A1BDDB"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1C5C3E" w:rsidRPr="00DA3766" w14:paraId="74F31ACC" w14:textId="77777777" w:rsidTr="001C5C3E">
        <w:trPr>
          <w:trHeight w:val="397"/>
          <w:jc w:val="center"/>
        </w:trPr>
        <w:tc>
          <w:tcPr>
            <w:tcW w:w="2043" w:type="dxa"/>
            <w:tcMar>
              <w:top w:w="0" w:type="dxa"/>
              <w:left w:w="108" w:type="dxa"/>
              <w:bottom w:w="0" w:type="dxa"/>
              <w:right w:w="108" w:type="dxa"/>
            </w:tcMar>
            <w:vAlign w:val="center"/>
          </w:tcPr>
          <w:p w14:paraId="0B76C344" w14:textId="17255642" w:rsidR="001C5C3E" w:rsidRPr="00DA3766" w:rsidRDefault="001C5C3E" w:rsidP="001C5C3E">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场地自助设备</w:t>
            </w:r>
          </w:p>
        </w:tc>
        <w:tc>
          <w:tcPr>
            <w:tcW w:w="2217" w:type="dxa"/>
            <w:tcMar>
              <w:top w:w="0" w:type="dxa"/>
              <w:left w:w="108" w:type="dxa"/>
              <w:bottom w:w="0" w:type="dxa"/>
              <w:right w:w="108" w:type="dxa"/>
            </w:tcMar>
            <w:vAlign w:val="center"/>
          </w:tcPr>
          <w:p w14:paraId="662DBDE0" w14:textId="2DBD9AC4"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100.53</w:t>
            </w:r>
          </w:p>
        </w:tc>
        <w:tc>
          <w:tcPr>
            <w:tcW w:w="2134" w:type="dxa"/>
            <w:tcMar>
              <w:top w:w="0" w:type="dxa"/>
              <w:left w:w="108" w:type="dxa"/>
              <w:bottom w:w="0" w:type="dxa"/>
              <w:right w:w="108" w:type="dxa"/>
            </w:tcMar>
            <w:vAlign w:val="center"/>
          </w:tcPr>
          <w:p w14:paraId="03DA20BB" w14:textId="05BEF574"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105.70</w:t>
            </w:r>
          </w:p>
        </w:tc>
        <w:tc>
          <w:tcPr>
            <w:tcW w:w="2134" w:type="dxa"/>
            <w:tcMar>
              <w:top w:w="0" w:type="dxa"/>
              <w:left w:w="108" w:type="dxa"/>
              <w:bottom w:w="0" w:type="dxa"/>
              <w:right w:w="108" w:type="dxa"/>
            </w:tcMar>
            <w:vAlign w:val="center"/>
          </w:tcPr>
          <w:p w14:paraId="62265E0E" w14:textId="32701A8F"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110.24</w:t>
            </w:r>
          </w:p>
        </w:tc>
      </w:tr>
      <w:tr w:rsidR="001C5C3E" w:rsidRPr="00DA3766" w14:paraId="1CE0D04B" w14:textId="77777777" w:rsidTr="001C5C3E">
        <w:trPr>
          <w:trHeight w:val="397"/>
          <w:jc w:val="center"/>
        </w:trPr>
        <w:tc>
          <w:tcPr>
            <w:tcW w:w="2043" w:type="dxa"/>
            <w:tcMar>
              <w:top w:w="0" w:type="dxa"/>
              <w:left w:w="108" w:type="dxa"/>
              <w:bottom w:w="0" w:type="dxa"/>
              <w:right w:w="108" w:type="dxa"/>
            </w:tcMar>
            <w:vAlign w:val="center"/>
          </w:tcPr>
          <w:p w14:paraId="35C32BC1" w14:textId="5F0CB514" w:rsidR="001C5C3E" w:rsidRPr="00DA3766" w:rsidRDefault="001C5C3E" w:rsidP="001C5C3E">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四轮充电桩</w:t>
            </w:r>
          </w:p>
        </w:tc>
        <w:tc>
          <w:tcPr>
            <w:tcW w:w="2217" w:type="dxa"/>
            <w:tcMar>
              <w:top w:w="0" w:type="dxa"/>
              <w:left w:w="108" w:type="dxa"/>
              <w:bottom w:w="0" w:type="dxa"/>
              <w:right w:w="108" w:type="dxa"/>
            </w:tcMar>
            <w:vAlign w:val="center"/>
          </w:tcPr>
          <w:p w14:paraId="1B725D89" w14:textId="6D144AF1" w:rsidR="001C5C3E" w:rsidRPr="001C5C3E" w:rsidRDefault="00BC1608"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hAnsi="Times New Roman" w:cs="Times New Roman" w:hint="eastAsia"/>
                <w:color w:val="000000"/>
                <w:sz w:val="21"/>
                <w:szCs w:val="21"/>
              </w:rPr>
              <w:t>14.85</w:t>
            </w:r>
          </w:p>
        </w:tc>
        <w:tc>
          <w:tcPr>
            <w:tcW w:w="2134" w:type="dxa"/>
            <w:tcMar>
              <w:top w:w="0" w:type="dxa"/>
              <w:left w:w="108" w:type="dxa"/>
              <w:bottom w:w="0" w:type="dxa"/>
              <w:right w:w="108" w:type="dxa"/>
            </w:tcMar>
            <w:vAlign w:val="center"/>
          </w:tcPr>
          <w:p w14:paraId="0D7B231E" w14:textId="641C569C" w:rsidR="001C5C3E" w:rsidRPr="001C5C3E" w:rsidRDefault="001C5C3E"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1C5C3E">
              <w:rPr>
                <w:rFonts w:ascii="Times New Roman" w:eastAsia="等线" w:hAnsi="Times New Roman" w:cs="Times New Roman"/>
                <w:color w:val="000000"/>
                <w:sz w:val="21"/>
                <w:szCs w:val="21"/>
              </w:rPr>
              <w:t>26.63</w:t>
            </w:r>
          </w:p>
        </w:tc>
        <w:tc>
          <w:tcPr>
            <w:tcW w:w="2134" w:type="dxa"/>
            <w:tcMar>
              <w:top w:w="0" w:type="dxa"/>
              <w:left w:w="108" w:type="dxa"/>
              <w:bottom w:w="0" w:type="dxa"/>
              <w:right w:w="108" w:type="dxa"/>
            </w:tcMar>
            <w:vAlign w:val="center"/>
          </w:tcPr>
          <w:p w14:paraId="47FF0147" w14:textId="410E136E" w:rsidR="001C5C3E" w:rsidRPr="001C5C3E" w:rsidRDefault="001C5C3E"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1C5C3E">
              <w:rPr>
                <w:rFonts w:ascii="Times New Roman" w:eastAsia="等线" w:hAnsi="Times New Roman" w:cs="Times New Roman"/>
                <w:color w:val="000000"/>
                <w:sz w:val="21"/>
                <w:szCs w:val="21"/>
              </w:rPr>
              <w:t>-</w:t>
            </w:r>
          </w:p>
        </w:tc>
      </w:tr>
    </w:tbl>
    <w:p w14:paraId="0DBB3733" w14:textId="3A1C52D6" w:rsidR="00F4102E" w:rsidRPr="00DA3766" w:rsidRDefault="00F4102E" w:rsidP="008A1B9E">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（四）主要产品生产和销售情况</w:t>
      </w:r>
      <w:r w:rsidRPr="00DA3766">
        <w:rPr>
          <w:rFonts w:ascii="宋体" w:hAnsi="宋体"/>
        </w:rPr>
        <w:t>”</w:t>
      </w:r>
      <w:r w:rsidRPr="00DA3766">
        <w:t>部分进行了补充披露。</w:t>
      </w:r>
    </w:p>
    <w:p w14:paraId="277B1A9E" w14:textId="77777777" w:rsidR="00FD17C1" w:rsidRPr="00DA3766" w:rsidRDefault="00FD17C1" w:rsidP="00FD17C1">
      <w:pPr>
        <w:pStyle w:val="002"/>
        <w:spacing w:before="120" w:after="120"/>
        <w:ind w:firstLine="482"/>
      </w:pPr>
      <w:r w:rsidRPr="00DA3766">
        <w:lastRenderedPageBreak/>
        <w:t>二、标的资产报告期内的董事、监事、高级管理人员和核心技术人员、其他主要关联方或持股百分之五以上的股东在前五名客户或供应商中所占权益的情况</w:t>
      </w:r>
    </w:p>
    <w:p w14:paraId="5F61E122" w14:textId="739D4798" w:rsidR="00C85BD6" w:rsidRPr="00DA3766" w:rsidRDefault="00C85BD6" w:rsidP="008A1B9E">
      <w:pPr>
        <w:pStyle w:val="005"/>
        <w:spacing w:before="120" w:after="120"/>
        <w:ind w:firstLine="480"/>
      </w:pPr>
      <w:bookmarkStart w:id="297" w:name="_Hlk219303193"/>
      <w:r w:rsidRPr="00DA3766">
        <w:t>报告期内，小呗无限（深圳）科技有限公司</w:t>
      </w:r>
      <w:r w:rsidR="00D364D9" w:rsidRPr="00DA3766">
        <w:t>持有标的公司控股子公司</w:t>
      </w:r>
      <w:r w:rsidRPr="00DA3766">
        <w:t>乐呗科技</w:t>
      </w:r>
      <w:r w:rsidR="00D364D9" w:rsidRPr="00DA3766">
        <w:t>49%</w:t>
      </w:r>
      <w:r w:rsidR="00D364D9" w:rsidRPr="00DA3766">
        <w:t>股权</w:t>
      </w:r>
      <w:r w:rsidRPr="00DA3766">
        <w:t>，基于谨慎性原则，</w:t>
      </w:r>
      <w:r w:rsidR="00D364D9" w:rsidRPr="00DA3766">
        <w:t>将其</w:t>
      </w:r>
      <w:r w:rsidRPr="00DA3766">
        <w:t>认定为标的公司关联方。除上述情形外，报告期内标的公司董事、监事、高级管理人员和核心技术人员、其他主要关联方或持股百分之五以上的股东均未在前五名客户中拥有权益</w:t>
      </w:r>
      <w:bookmarkEnd w:id="297"/>
      <w:r w:rsidRPr="00DA3766">
        <w:t>。</w:t>
      </w:r>
    </w:p>
    <w:p w14:paraId="38B8EBAD" w14:textId="4901F8B3" w:rsidR="00FD17C1" w:rsidRPr="00DA3766" w:rsidRDefault="00FD17C1" w:rsidP="008A1B9E">
      <w:pPr>
        <w:pStyle w:val="005"/>
        <w:spacing w:before="120" w:after="120"/>
        <w:ind w:firstLine="480"/>
      </w:pPr>
      <w:bookmarkStart w:id="298" w:name="_Hlk219303207"/>
      <w:r w:rsidRPr="00DA3766">
        <w:t>报告期内，标的公司董事、监事、高级管理人员和核心技术人员、其他主要关联方或持股百分之五以上的股东均未在前五名</w:t>
      </w:r>
      <w:r w:rsidR="00C85BD6" w:rsidRPr="00DA3766">
        <w:t>供应商</w:t>
      </w:r>
      <w:r w:rsidRPr="00DA3766">
        <w:t>中拥有权益</w:t>
      </w:r>
      <w:bookmarkEnd w:id="298"/>
      <w:r w:rsidRPr="00DA3766">
        <w:t>。</w:t>
      </w:r>
    </w:p>
    <w:p w14:paraId="1CCC6890" w14:textId="77777777" w:rsidR="00FD17C1" w:rsidRPr="00DA3766" w:rsidRDefault="00FD17C1" w:rsidP="008A1B9E">
      <w:pPr>
        <w:pStyle w:val="005"/>
        <w:spacing w:before="120" w:after="120"/>
        <w:ind w:firstLine="480"/>
      </w:pPr>
      <w:bookmarkStart w:id="299" w:name="OLE_LINK35"/>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（四）主要产品生产和销售情况</w:t>
      </w:r>
      <w:r w:rsidRPr="00DA3766">
        <w:rPr>
          <w:rFonts w:ascii="宋体" w:hAnsi="宋体"/>
        </w:rPr>
        <w:t>”</w:t>
      </w:r>
      <w:r w:rsidRPr="00DA3766">
        <w:t>及</w:t>
      </w:r>
      <w:r w:rsidRPr="00DA3766">
        <w:rPr>
          <w:rFonts w:ascii="宋体" w:hAnsi="宋体"/>
        </w:rPr>
        <w:t>“</w:t>
      </w:r>
      <w:r w:rsidRPr="00DA3766">
        <w:t>（五）主要能源及原材料采购情况</w:t>
      </w:r>
      <w:r w:rsidRPr="00DA3766">
        <w:rPr>
          <w:rFonts w:ascii="宋体" w:hAnsi="宋体"/>
        </w:rPr>
        <w:t>”</w:t>
      </w:r>
      <w:r w:rsidRPr="00DA3766">
        <w:t>部分进行了补充披露。</w:t>
      </w:r>
    </w:p>
    <w:bookmarkEnd w:id="299"/>
    <w:p w14:paraId="68D40D17" w14:textId="77777777" w:rsidR="00FD17C1" w:rsidRPr="00DA3766" w:rsidRDefault="00FD17C1" w:rsidP="00FD17C1">
      <w:pPr>
        <w:pStyle w:val="002"/>
        <w:spacing w:before="120" w:after="120"/>
        <w:ind w:firstLine="482"/>
      </w:pPr>
      <w:r w:rsidRPr="00DA3766">
        <w:t>三、主要产品生产技术所处的阶段</w:t>
      </w:r>
    </w:p>
    <w:p w14:paraId="47E56262" w14:textId="77777777" w:rsidR="005B5437" w:rsidRPr="00DA3766" w:rsidRDefault="005B5437" w:rsidP="005B5437">
      <w:pPr>
        <w:widowControl w:val="0"/>
        <w:spacing w:before="120" w:afterLines="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标的公司自设立以来坚持以技术为基石的基本经营原则，以打造业内长期领先的技术创新能力为最终目标，形成了较为完善的核心技术体系。</w:t>
      </w:r>
    </w:p>
    <w:p w14:paraId="45FC18CD" w14:textId="77777777" w:rsidR="005B5437" w:rsidRPr="00DA3766" w:rsidRDefault="005B5437" w:rsidP="005B5437">
      <w:pPr>
        <w:widowControl w:val="0"/>
        <w:spacing w:before="120" w:afterLines="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标的公司的主要核心技术情况如下：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922"/>
        <w:gridCol w:w="3966"/>
        <w:gridCol w:w="712"/>
        <w:gridCol w:w="1276"/>
        <w:gridCol w:w="1307"/>
      </w:tblGrid>
      <w:tr w:rsidR="005B5437" w:rsidRPr="00DA3766" w14:paraId="75AC321A" w14:textId="77777777" w:rsidTr="00BF5BFE">
        <w:trPr>
          <w:trHeight w:val="397"/>
          <w:tblHeader/>
          <w:jc w:val="center"/>
        </w:trPr>
        <w:tc>
          <w:tcPr>
            <w:tcW w:w="331" w:type="pct"/>
            <w:tcMar>
              <w:top w:w="0" w:type="dxa"/>
              <w:left w:w="108" w:type="dxa"/>
              <w:bottom w:w="0" w:type="dxa"/>
              <w:right w:w="108" w:type="dxa"/>
            </w:tcMar>
            <w:vAlign w:val="center"/>
          </w:tcPr>
          <w:p w14:paraId="73504A1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序号</w:t>
            </w:r>
          </w:p>
        </w:tc>
        <w:tc>
          <w:tcPr>
            <w:tcW w:w="526" w:type="pct"/>
            <w:tcMar>
              <w:top w:w="0" w:type="dxa"/>
              <w:left w:w="108" w:type="dxa"/>
              <w:bottom w:w="0" w:type="dxa"/>
              <w:right w:w="108" w:type="dxa"/>
            </w:tcMar>
            <w:vAlign w:val="center"/>
          </w:tcPr>
          <w:p w14:paraId="5D98B816" w14:textId="224169A6" w:rsidR="005B5437" w:rsidRPr="00DA3766" w:rsidRDefault="005B5437"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核心技术名称</w:t>
            </w:r>
          </w:p>
        </w:tc>
        <w:tc>
          <w:tcPr>
            <w:tcW w:w="2263" w:type="pct"/>
            <w:tcMar>
              <w:top w:w="0" w:type="dxa"/>
              <w:left w:w="108" w:type="dxa"/>
              <w:bottom w:w="0" w:type="dxa"/>
              <w:right w:w="108" w:type="dxa"/>
            </w:tcMar>
            <w:vAlign w:val="center"/>
          </w:tcPr>
          <w:p w14:paraId="46DB1E6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技术先进性与具体表征</w:t>
            </w:r>
          </w:p>
        </w:tc>
        <w:tc>
          <w:tcPr>
            <w:tcW w:w="406" w:type="pct"/>
            <w:tcMar>
              <w:top w:w="0" w:type="dxa"/>
              <w:left w:w="108" w:type="dxa"/>
              <w:bottom w:w="0" w:type="dxa"/>
              <w:right w:w="108" w:type="dxa"/>
            </w:tcMar>
            <w:vAlign w:val="center"/>
          </w:tcPr>
          <w:p w14:paraId="5F2B0DC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技术来源</w:t>
            </w:r>
          </w:p>
        </w:tc>
        <w:tc>
          <w:tcPr>
            <w:tcW w:w="728" w:type="pct"/>
            <w:tcMar>
              <w:top w:w="0" w:type="dxa"/>
              <w:left w:w="108" w:type="dxa"/>
              <w:bottom w:w="0" w:type="dxa"/>
              <w:right w:w="108" w:type="dxa"/>
            </w:tcMar>
            <w:vAlign w:val="center"/>
          </w:tcPr>
          <w:p w14:paraId="11BD088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是否应用于主要产品和服务</w:t>
            </w:r>
          </w:p>
        </w:tc>
        <w:tc>
          <w:tcPr>
            <w:tcW w:w="746" w:type="pct"/>
            <w:vAlign w:val="center"/>
          </w:tcPr>
          <w:p w14:paraId="1BFDE0F7"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主要产品生产技术所处的阶段</w:t>
            </w:r>
          </w:p>
        </w:tc>
      </w:tr>
      <w:tr w:rsidR="005B5437" w:rsidRPr="00DA3766" w14:paraId="3F193221" w14:textId="77777777" w:rsidTr="00BF5BFE">
        <w:trPr>
          <w:trHeight w:val="397"/>
          <w:jc w:val="center"/>
        </w:trPr>
        <w:tc>
          <w:tcPr>
            <w:tcW w:w="331" w:type="pct"/>
            <w:vMerge w:val="restart"/>
            <w:tcMar>
              <w:top w:w="0" w:type="dxa"/>
              <w:left w:w="108" w:type="dxa"/>
              <w:bottom w:w="0" w:type="dxa"/>
              <w:right w:w="108" w:type="dxa"/>
            </w:tcMar>
            <w:vAlign w:val="center"/>
          </w:tcPr>
          <w:p w14:paraId="6A0B0F7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1</w:t>
            </w:r>
          </w:p>
        </w:tc>
        <w:tc>
          <w:tcPr>
            <w:tcW w:w="526" w:type="pct"/>
            <w:vMerge w:val="restart"/>
            <w:tcMar>
              <w:top w:w="0" w:type="dxa"/>
              <w:left w:w="108" w:type="dxa"/>
              <w:bottom w:w="0" w:type="dxa"/>
              <w:right w:w="108" w:type="dxa"/>
            </w:tcMar>
            <w:vAlign w:val="center"/>
          </w:tcPr>
          <w:p w14:paraId="455E654F"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智能通讯硬件设计</w:t>
            </w:r>
          </w:p>
        </w:tc>
        <w:tc>
          <w:tcPr>
            <w:tcW w:w="2263" w:type="pct"/>
            <w:tcMar>
              <w:top w:w="0" w:type="dxa"/>
              <w:left w:w="108" w:type="dxa"/>
              <w:bottom w:w="0" w:type="dxa"/>
              <w:right w:w="108" w:type="dxa"/>
            </w:tcMar>
            <w:vAlign w:val="center"/>
          </w:tcPr>
          <w:p w14:paraId="5161704C"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传统设备互联依赖私有协议，导致跨平台兼容性差。本技术通过标准化设计，突破了设备生态壁垒，显著降低系统集成复杂度</w:t>
            </w:r>
          </w:p>
        </w:tc>
        <w:tc>
          <w:tcPr>
            <w:tcW w:w="406" w:type="pct"/>
            <w:vMerge w:val="restart"/>
            <w:tcMar>
              <w:top w:w="0" w:type="dxa"/>
              <w:left w:w="108" w:type="dxa"/>
              <w:bottom w:w="0" w:type="dxa"/>
              <w:right w:w="108" w:type="dxa"/>
            </w:tcMar>
            <w:vAlign w:val="center"/>
          </w:tcPr>
          <w:p w14:paraId="221E035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747280A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67BFAB3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68C700EC" w14:textId="77777777" w:rsidTr="00BF5BFE">
        <w:trPr>
          <w:trHeight w:val="397"/>
          <w:jc w:val="center"/>
        </w:trPr>
        <w:tc>
          <w:tcPr>
            <w:tcW w:w="331" w:type="pct"/>
            <w:vMerge/>
            <w:tcMar>
              <w:top w:w="0" w:type="dxa"/>
              <w:left w:w="108" w:type="dxa"/>
              <w:bottom w:w="0" w:type="dxa"/>
              <w:right w:w="108" w:type="dxa"/>
            </w:tcMar>
            <w:vAlign w:val="center"/>
          </w:tcPr>
          <w:p w14:paraId="38A3246A"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65B8BBD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B0A1B7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D0D0D"/>
                <w:kern w:val="2"/>
                <w:sz w:val="21"/>
                <w:szCs w:val="21"/>
                <w14:ligatures w14:val="standardContextual"/>
              </w:rPr>
              <w:t>传统硬件方案需外置独立模块并手动配置，导致体积大、成本高。本技术通过大幅简化硬件部署流程，降低终端设备设计门槛</w:t>
            </w:r>
          </w:p>
        </w:tc>
        <w:tc>
          <w:tcPr>
            <w:tcW w:w="406" w:type="pct"/>
            <w:vMerge/>
            <w:tcMar>
              <w:top w:w="0" w:type="dxa"/>
              <w:left w:w="108" w:type="dxa"/>
              <w:bottom w:w="0" w:type="dxa"/>
              <w:right w:w="108" w:type="dxa"/>
            </w:tcMar>
            <w:vAlign w:val="center"/>
          </w:tcPr>
          <w:p w14:paraId="4DCB81B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33BFDD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7F86931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274A7353" w14:textId="77777777" w:rsidTr="00BF5BFE">
        <w:trPr>
          <w:trHeight w:val="397"/>
          <w:jc w:val="center"/>
        </w:trPr>
        <w:tc>
          <w:tcPr>
            <w:tcW w:w="331" w:type="pct"/>
            <w:vMerge w:val="restart"/>
            <w:tcMar>
              <w:top w:w="0" w:type="dxa"/>
              <w:left w:w="108" w:type="dxa"/>
              <w:bottom w:w="0" w:type="dxa"/>
              <w:right w:w="108" w:type="dxa"/>
            </w:tcMar>
            <w:vAlign w:val="center"/>
          </w:tcPr>
          <w:p w14:paraId="357B56E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2</w:t>
            </w:r>
          </w:p>
        </w:tc>
        <w:tc>
          <w:tcPr>
            <w:tcW w:w="526" w:type="pct"/>
            <w:vMerge w:val="restart"/>
            <w:tcMar>
              <w:top w:w="0" w:type="dxa"/>
              <w:left w:w="108" w:type="dxa"/>
              <w:bottom w:w="0" w:type="dxa"/>
              <w:right w:w="108" w:type="dxa"/>
            </w:tcMar>
            <w:vAlign w:val="center"/>
          </w:tcPr>
          <w:p w14:paraId="57C15E04"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物联网平台</w:t>
            </w:r>
          </w:p>
        </w:tc>
        <w:tc>
          <w:tcPr>
            <w:tcW w:w="2263" w:type="pct"/>
            <w:tcMar>
              <w:top w:w="0" w:type="dxa"/>
              <w:left w:w="108" w:type="dxa"/>
              <w:bottom w:w="0" w:type="dxa"/>
              <w:right w:w="108" w:type="dxa"/>
            </w:tcMar>
            <w:vAlign w:val="center"/>
          </w:tcPr>
          <w:p w14:paraId="30409C9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1</w:t>
            </w:r>
            <w:r w:rsidRPr="00DA3766">
              <w:rPr>
                <w:rFonts w:ascii="Times New Roman" w:hAnsi="Times New Roman" w:cs="Times New Roman"/>
                <w:color w:val="000000"/>
                <w:kern w:val="2"/>
                <w:sz w:val="21"/>
                <w:szCs w:val="21"/>
                <w14:ligatures w14:val="standardContextual"/>
              </w:rPr>
              <w:t>）多协议兼容：突破传统平台协议局限，覆盖主流物联网通讯协议及定制化协议适配，可快速接入不同设备，提升平台通用性与拓展性；</w:t>
            </w:r>
          </w:p>
          <w:p w14:paraId="39C41E3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2</w:t>
            </w:r>
            <w:r w:rsidRPr="00DA3766">
              <w:rPr>
                <w:rFonts w:ascii="Times New Roman" w:hAnsi="Times New Roman" w:cs="Times New Roman"/>
                <w:color w:val="000000"/>
                <w:kern w:val="2"/>
                <w:sz w:val="21"/>
                <w:szCs w:val="21"/>
                <w14:ligatures w14:val="standardContextual"/>
              </w:rPr>
              <w:t>）配置化解析：反向协议配置化设计，无需深度编码开发，大幅缩短对接周期。相比传统硬编码解析方式，可灵活应对第三方协议变更，降低适配成本</w:t>
            </w:r>
          </w:p>
        </w:tc>
        <w:tc>
          <w:tcPr>
            <w:tcW w:w="406" w:type="pct"/>
            <w:vMerge w:val="restart"/>
            <w:tcMar>
              <w:top w:w="0" w:type="dxa"/>
              <w:left w:w="108" w:type="dxa"/>
              <w:bottom w:w="0" w:type="dxa"/>
              <w:right w:w="108" w:type="dxa"/>
            </w:tcMar>
            <w:vAlign w:val="center"/>
          </w:tcPr>
          <w:p w14:paraId="33C87AF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2D219AF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7D43A62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7EAA8B45" w14:textId="77777777" w:rsidTr="00BF5BFE">
        <w:trPr>
          <w:trHeight w:val="397"/>
          <w:jc w:val="center"/>
        </w:trPr>
        <w:tc>
          <w:tcPr>
            <w:tcW w:w="331" w:type="pct"/>
            <w:vMerge/>
            <w:tcMar>
              <w:top w:w="0" w:type="dxa"/>
              <w:left w:w="108" w:type="dxa"/>
              <w:bottom w:w="0" w:type="dxa"/>
              <w:right w:w="108" w:type="dxa"/>
            </w:tcMar>
            <w:vAlign w:val="center"/>
          </w:tcPr>
          <w:p w14:paraId="6E36F78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4DC25DE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3499C7A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高并发与高可用：分布式部署保障平台在海量设备并发连接与稳定运行，单个业务节点故障不影响整体服务，支持动态扩容，根据设备接入量、数据处理压力，灵活增加服务节点，应对业务峰值</w:t>
            </w:r>
          </w:p>
        </w:tc>
        <w:tc>
          <w:tcPr>
            <w:tcW w:w="406" w:type="pct"/>
            <w:vMerge/>
            <w:tcMar>
              <w:top w:w="0" w:type="dxa"/>
              <w:left w:w="108" w:type="dxa"/>
              <w:bottom w:w="0" w:type="dxa"/>
              <w:right w:w="108" w:type="dxa"/>
            </w:tcMar>
            <w:vAlign w:val="center"/>
          </w:tcPr>
          <w:p w14:paraId="0A8C3B5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40CE2A6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403CFC5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8ECA5AC" w14:textId="77777777" w:rsidTr="00BF5BFE">
        <w:trPr>
          <w:trHeight w:val="397"/>
          <w:jc w:val="center"/>
        </w:trPr>
        <w:tc>
          <w:tcPr>
            <w:tcW w:w="331" w:type="pct"/>
            <w:vMerge/>
            <w:tcMar>
              <w:top w:w="0" w:type="dxa"/>
              <w:left w:w="108" w:type="dxa"/>
              <w:bottom w:w="0" w:type="dxa"/>
              <w:right w:w="108" w:type="dxa"/>
            </w:tcMar>
            <w:vAlign w:val="center"/>
          </w:tcPr>
          <w:p w14:paraId="6FADD03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A19115C"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2EBBF8B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高效读写：</w:t>
            </w:r>
            <w:r w:rsidRPr="00DA3766">
              <w:rPr>
                <w:rFonts w:ascii="Times New Roman" w:hAnsi="Times New Roman" w:cs="Times New Roman"/>
                <w:color w:val="000000"/>
                <w:kern w:val="2"/>
                <w:sz w:val="21"/>
                <w:szCs w:val="21"/>
                <w14:ligatures w14:val="standardContextual"/>
              </w:rPr>
              <w:t>Redis</w:t>
            </w:r>
            <w:r w:rsidRPr="00DA3766">
              <w:rPr>
                <w:rFonts w:ascii="Times New Roman" w:hAnsi="Times New Roman" w:cs="Times New Roman"/>
                <w:color w:val="000000"/>
                <w:kern w:val="2"/>
                <w:sz w:val="21"/>
                <w:szCs w:val="21"/>
                <w14:ligatures w14:val="standardContextual"/>
              </w:rPr>
              <w:t>缓存加速高频数据访问，设备数据查询等操作响应时间；时序数据库针对物联网时序数据优化存储与查询，写入吞吐量高、按时间范围查询效率优，支撑历史数据长期存储与快速分析</w:t>
            </w:r>
          </w:p>
        </w:tc>
        <w:tc>
          <w:tcPr>
            <w:tcW w:w="406" w:type="pct"/>
            <w:vMerge/>
            <w:tcMar>
              <w:top w:w="0" w:type="dxa"/>
              <w:left w:w="108" w:type="dxa"/>
              <w:bottom w:w="0" w:type="dxa"/>
              <w:right w:w="108" w:type="dxa"/>
            </w:tcMar>
            <w:vAlign w:val="center"/>
          </w:tcPr>
          <w:p w14:paraId="7C41A63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7D93C54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29053C7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7B020EE1" w14:textId="77777777" w:rsidTr="00BF5BFE">
        <w:trPr>
          <w:trHeight w:val="397"/>
          <w:jc w:val="center"/>
        </w:trPr>
        <w:tc>
          <w:tcPr>
            <w:tcW w:w="331" w:type="pct"/>
            <w:vMerge w:val="restart"/>
            <w:tcMar>
              <w:top w:w="0" w:type="dxa"/>
              <w:left w:w="108" w:type="dxa"/>
              <w:bottom w:w="0" w:type="dxa"/>
              <w:right w:w="108" w:type="dxa"/>
            </w:tcMar>
            <w:vAlign w:val="center"/>
          </w:tcPr>
          <w:p w14:paraId="399CA38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3</w:t>
            </w:r>
          </w:p>
        </w:tc>
        <w:tc>
          <w:tcPr>
            <w:tcW w:w="526" w:type="pct"/>
            <w:vMerge w:val="restart"/>
            <w:tcMar>
              <w:top w:w="0" w:type="dxa"/>
              <w:left w:w="108" w:type="dxa"/>
              <w:bottom w:w="0" w:type="dxa"/>
              <w:right w:w="108" w:type="dxa"/>
            </w:tcMar>
            <w:vAlign w:val="center"/>
          </w:tcPr>
          <w:p w14:paraId="493A6F66"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高可用支付服务</w:t>
            </w:r>
          </w:p>
        </w:tc>
        <w:tc>
          <w:tcPr>
            <w:tcW w:w="2263" w:type="pct"/>
            <w:tcMar>
              <w:top w:w="0" w:type="dxa"/>
              <w:left w:w="108" w:type="dxa"/>
              <w:bottom w:w="0" w:type="dxa"/>
              <w:right w:w="108" w:type="dxa"/>
            </w:tcMar>
            <w:vAlign w:val="center"/>
          </w:tcPr>
          <w:p w14:paraId="61D0717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秒级故障切换：突破传统静态配置模式，采用实时检测</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切换机制，在商户渠道异常发生时即可触发路由调整</w:t>
            </w:r>
          </w:p>
        </w:tc>
        <w:tc>
          <w:tcPr>
            <w:tcW w:w="406" w:type="pct"/>
            <w:vMerge w:val="restart"/>
            <w:tcMar>
              <w:top w:w="0" w:type="dxa"/>
              <w:left w:w="108" w:type="dxa"/>
              <w:bottom w:w="0" w:type="dxa"/>
              <w:right w:w="108" w:type="dxa"/>
            </w:tcMar>
            <w:vAlign w:val="center"/>
          </w:tcPr>
          <w:p w14:paraId="149E0B7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0E2BC72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4082F51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3325F21E" w14:textId="77777777" w:rsidTr="00BF5BFE">
        <w:trPr>
          <w:trHeight w:val="397"/>
          <w:jc w:val="center"/>
        </w:trPr>
        <w:tc>
          <w:tcPr>
            <w:tcW w:w="331" w:type="pct"/>
            <w:vMerge/>
            <w:tcMar>
              <w:top w:w="0" w:type="dxa"/>
              <w:left w:w="108" w:type="dxa"/>
              <w:bottom w:w="0" w:type="dxa"/>
              <w:right w:w="108" w:type="dxa"/>
            </w:tcMar>
            <w:vAlign w:val="center"/>
          </w:tcPr>
          <w:p w14:paraId="1901DA8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729529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751899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全链路可追溯：将日志数据与业务指标关联分析，实现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异常订单</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渠道交互</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系统节点</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的穿透式溯源，定位问题环节</w:t>
            </w:r>
          </w:p>
        </w:tc>
        <w:tc>
          <w:tcPr>
            <w:tcW w:w="406" w:type="pct"/>
            <w:vMerge/>
            <w:tcMar>
              <w:top w:w="0" w:type="dxa"/>
              <w:left w:w="108" w:type="dxa"/>
              <w:bottom w:w="0" w:type="dxa"/>
              <w:right w:w="108" w:type="dxa"/>
            </w:tcMar>
            <w:vAlign w:val="center"/>
          </w:tcPr>
          <w:p w14:paraId="5E18956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7028CD6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85C2C8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0140CCDF" w14:textId="77777777" w:rsidTr="00BF5BFE">
        <w:trPr>
          <w:trHeight w:val="397"/>
          <w:jc w:val="center"/>
        </w:trPr>
        <w:tc>
          <w:tcPr>
            <w:tcW w:w="331" w:type="pct"/>
            <w:vMerge/>
            <w:tcMar>
              <w:top w:w="0" w:type="dxa"/>
              <w:left w:w="108" w:type="dxa"/>
              <w:bottom w:w="0" w:type="dxa"/>
              <w:right w:w="108" w:type="dxa"/>
            </w:tcMar>
            <w:vAlign w:val="center"/>
          </w:tcPr>
          <w:p w14:paraId="51C63B0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3CD30BA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772E18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开放能力的标准化与扩展性：通过</w:t>
            </w:r>
            <w:r w:rsidRPr="00DA3766">
              <w:rPr>
                <w:rFonts w:ascii="Times New Roman" w:hAnsi="Times New Roman" w:cs="Times New Roman"/>
                <w:color w:val="000000"/>
                <w:kern w:val="2"/>
                <w:sz w:val="21"/>
                <w:szCs w:val="21"/>
                <w14:ligatures w14:val="standardContextual"/>
              </w:rPr>
              <w:t>API</w:t>
            </w:r>
            <w:r w:rsidRPr="00DA3766">
              <w:rPr>
                <w:rFonts w:ascii="Times New Roman" w:hAnsi="Times New Roman" w:cs="Times New Roman"/>
                <w:color w:val="000000"/>
                <w:kern w:val="2"/>
                <w:sz w:val="21"/>
                <w:szCs w:val="21"/>
                <w14:ligatures w14:val="standardContextual"/>
              </w:rPr>
              <w:t>网关屏蔽渠道底层差异，子平台无需关注各渠道接口细节，实现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一次接入，全渠道可用</w:t>
            </w:r>
            <w:r w:rsidRPr="00DA3766">
              <w:rPr>
                <w:rFonts w:cs="Times New Roman"/>
                <w:color w:val="000000"/>
                <w:kern w:val="2"/>
                <w:sz w:val="21"/>
                <w:szCs w:val="21"/>
                <w14:ligatures w14:val="standardContextual"/>
              </w:rPr>
              <w:t>”</w:t>
            </w:r>
          </w:p>
        </w:tc>
        <w:tc>
          <w:tcPr>
            <w:tcW w:w="406" w:type="pct"/>
            <w:vMerge/>
            <w:tcMar>
              <w:top w:w="0" w:type="dxa"/>
              <w:left w:w="108" w:type="dxa"/>
              <w:bottom w:w="0" w:type="dxa"/>
              <w:right w:w="108" w:type="dxa"/>
            </w:tcMar>
            <w:vAlign w:val="center"/>
          </w:tcPr>
          <w:p w14:paraId="5D42EC6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6B742EF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33B9E9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6E50A2AB" w14:textId="77777777" w:rsidTr="00BF5BFE">
        <w:trPr>
          <w:trHeight w:val="397"/>
          <w:jc w:val="center"/>
        </w:trPr>
        <w:tc>
          <w:tcPr>
            <w:tcW w:w="331" w:type="pct"/>
            <w:vMerge/>
            <w:tcMar>
              <w:top w:w="0" w:type="dxa"/>
              <w:left w:w="108" w:type="dxa"/>
              <w:bottom w:w="0" w:type="dxa"/>
              <w:right w:w="108" w:type="dxa"/>
            </w:tcMar>
            <w:vAlign w:val="center"/>
          </w:tcPr>
          <w:p w14:paraId="2E0046B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5BA52A0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6A4939B2"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订单处理的自动化与准确性：采用订单自动回查，解决订单状态同步问题，通过文件解析引擎</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规则引擎实现对账自动化</w:t>
            </w:r>
          </w:p>
        </w:tc>
        <w:tc>
          <w:tcPr>
            <w:tcW w:w="406" w:type="pct"/>
            <w:vMerge/>
            <w:tcMar>
              <w:top w:w="0" w:type="dxa"/>
              <w:left w:w="108" w:type="dxa"/>
              <w:bottom w:w="0" w:type="dxa"/>
              <w:right w:w="108" w:type="dxa"/>
            </w:tcMar>
            <w:vAlign w:val="center"/>
          </w:tcPr>
          <w:p w14:paraId="1637553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63CC892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38B762A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08F6ECBF" w14:textId="77777777" w:rsidTr="00BF5BFE">
        <w:trPr>
          <w:trHeight w:val="397"/>
          <w:jc w:val="center"/>
        </w:trPr>
        <w:tc>
          <w:tcPr>
            <w:tcW w:w="331" w:type="pct"/>
            <w:vMerge w:val="restart"/>
            <w:tcMar>
              <w:top w:w="0" w:type="dxa"/>
              <w:left w:w="108" w:type="dxa"/>
              <w:bottom w:w="0" w:type="dxa"/>
              <w:right w:w="108" w:type="dxa"/>
            </w:tcMar>
            <w:vAlign w:val="center"/>
          </w:tcPr>
          <w:p w14:paraId="267D599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4</w:t>
            </w:r>
          </w:p>
        </w:tc>
        <w:tc>
          <w:tcPr>
            <w:tcW w:w="526" w:type="pct"/>
            <w:vMerge w:val="restart"/>
            <w:tcMar>
              <w:top w:w="0" w:type="dxa"/>
              <w:left w:w="108" w:type="dxa"/>
              <w:bottom w:w="0" w:type="dxa"/>
              <w:right w:w="108" w:type="dxa"/>
            </w:tcMar>
            <w:vAlign w:val="center"/>
          </w:tcPr>
          <w:p w14:paraId="31E26C7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低代码平台</w:t>
            </w:r>
          </w:p>
        </w:tc>
        <w:tc>
          <w:tcPr>
            <w:tcW w:w="2263" w:type="pct"/>
            <w:tcMar>
              <w:top w:w="0" w:type="dxa"/>
              <w:left w:w="108" w:type="dxa"/>
              <w:bottom w:w="0" w:type="dxa"/>
              <w:right w:w="108" w:type="dxa"/>
            </w:tcMar>
            <w:vAlign w:val="center"/>
          </w:tcPr>
          <w:p w14:paraId="5668DC9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多端适配的高效性：突破传统开发需为</w:t>
            </w:r>
            <w:r w:rsidRPr="00DA3766">
              <w:rPr>
                <w:rFonts w:ascii="Times New Roman" w:hAnsi="Times New Roman" w:cs="Times New Roman"/>
                <w:color w:val="000000"/>
                <w:kern w:val="2"/>
                <w:sz w:val="21"/>
                <w:szCs w:val="21"/>
                <w14:ligatures w14:val="standardContextual"/>
              </w:rPr>
              <w:t>PC</w:t>
            </w:r>
            <w:r w:rsidRPr="00DA3766">
              <w:rPr>
                <w:rFonts w:ascii="Times New Roman" w:hAnsi="Times New Roman" w:cs="Times New Roman"/>
                <w:color w:val="000000"/>
                <w:kern w:val="2"/>
                <w:sz w:val="21"/>
                <w:szCs w:val="21"/>
                <w14:ligatures w14:val="standardContextual"/>
              </w:rPr>
              <w:t>、移动端分别编码的模式，通过跨端组件体系与自适应渲染技术，实现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一次搭建，多端运行</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，大幅减少开发人力与时间投入</w:t>
            </w:r>
          </w:p>
        </w:tc>
        <w:tc>
          <w:tcPr>
            <w:tcW w:w="406" w:type="pct"/>
            <w:vMerge w:val="restart"/>
            <w:tcMar>
              <w:top w:w="0" w:type="dxa"/>
              <w:left w:w="108" w:type="dxa"/>
              <w:bottom w:w="0" w:type="dxa"/>
              <w:right w:w="108" w:type="dxa"/>
            </w:tcMar>
            <w:vAlign w:val="center"/>
          </w:tcPr>
          <w:p w14:paraId="0FE2626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7AE58D9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5376A07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359B9F53" w14:textId="77777777" w:rsidTr="00BF5BFE">
        <w:trPr>
          <w:trHeight w:val="397"/>
          <w:jc w:val="center"/>
        </w:trPr>
        <w:tc>
          <w:tcPr>
            <w:tcW w:w="331" w:type="pct"/>
            <w:vMerge/>
            <w:tcMar>
              <w:top w:w="0" w:type="dxa"/>
              <w:left w:w="108" w:type="dxa"/>
              <w:bottom w:w="0" w:type="dxa"/>
              <w:right w:w="108" w:type="dxa"/>
            </w:tcMar>
            <w:vAlign w:val="center"/>
          </w:tcPr>
          <w:p w14:paraId="03E5040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03D738B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2A7673F"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业务逻辑编排的灵活性：将复杂业务逻辑转化为可视化、配置化的流程节点，降低开发门槛，让非前端人员也能参与应用逻辑搭建，提高开发效率</w:t>
            </w:r>
          </w:p>
        </w:tc>
        <w:tc>
          <w:tcPr>
            <w:tcW w:w="406" w:type="pct"/>
            <w:vMerge/>
            <w:tcMar>
              <w:top w:w="0" w:type="dxa"/>
              <w:left w:w="108" w:type="dxa"/>
              <w:bottom w:w="0" w:type="dxa"/>
              <w:right w:w="108" w:type="dxa"/>
            </w:tcMar>
            <w:vAlign w:val="center"/>
          </w:tcPr>
          <w:p w14:paraId="1B30C08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38565FB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4A1FE0A"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D4B3F7C" w14:textId="77777777" w:rsidTr="00BF5BFE">
        <w:trPr>
          <w:trHeight w:val="397"/>
          <w:jc w:val="center"/>
        </w:trPr>
        <w:tc>
          <w:tcPr>
            <w:tcW w:w="331" w:type="pct"/>
            <w:vMerge/>
            <w:tcMar>
              <w:top w:w="0" w:type="dxa"/>
              <w:left w:w="108" w:type="dxa"/>
              <w:bottom w:w="0" w:type="dxa"/>
              <w:right w:w="108" w:type="dxa"/>
            </w:tcMar>
            <w:vAlign w:val="center"/>
          </w:tcPr>
          <w:p w14:paraId="2E3BF6E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4D7B441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CF0409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开发全流程的便捷性：覆盖应用从创建到发布的完整生命周期，实现低代码开发闭环，减少开发过程中跨工具切换成本，提升团队协作效率</w:t>
            </w:r>
          </w:p>
        </w:tc>
        <w:tc>
          <w:tcPr>
            <w:tcW w:w="406" w:type="pct"/>
            <w:vMerge/>
            <w:tcMar>
              <w:top w:w="0" w:type="dxa"/>
              <w:left w:w="108" w:type="dxa"/>
              <w:bottom w:w="0" w:type="dxa"/>
              <w:right w:w="108" w:type="dxa"/>
            </w:tcMar>
            <w:vAlign w:val="center"/>
          </w:tcPr>
          <w:p w14:paraId="77E980B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53FCEE3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294B6AC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34F5BFC4" w14:textId="77777777" w:rsidTr="00BF5BFE">
        <w:trPr>
          <w:trHeight w:val="397"/>
          <w:jc w:val="center"/>
        </w:trPr>
        <w:tc>
          <w:tcPr>
            <w:tcW w:w="331" w:type="pct"/>
            <w:vMerge w:val="restart"/>
            <w:tcMar>
              <w:top w:w="0" w:type="dxa"/>
              <w:left w:w="108" w:type="dxa"/>
              <w:bottom w:w="0" w:type="dxa"/>
              <w:right w:w="108" w:type="dxa"/>
            </w:tcMar>
            <w:vAlign w:val="center"/>
          </w:tcPr>
          <w:p w14:paraId="5ACF5BE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5</w:t>
            </w:r>
          </w:p>
        </w:tc>
        <w:tc>
          <w:tcPr>
            <w:tcW w:w="526" w:type="pct"/>
            <w:vMerge w:val="restart"/>
            <w:tcMar>
              <w:top w:w="0" w:type="dxa"/>
              <w:left w:w="108" w:type="dxa"/>
              <w:bottom w:w="0" w:type="dxa"/>
              <w:right w:w="108" w:type="dxa"/>
            </w:tcMar>
            <w:vAlign w:val="center"/>
          </w:tcPr>
          <w:p w14:paraId="600671C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云原生架构</w:t>
            </w:r>
          </w:p>
        </w:tc>
        <w:tc>
          <w:tcPr>
            <w:tcW w:w="2263" w:type="pct"/>
            <w:tcMar>
              <w:top w:w="0" w:type="dxa"/>
              <w:left w:w="108" w:type="dxa"/>
              <w:bottom w:w="0" w:type="dxa"/>
              <w:right w:w="108" w:type="dxa"/>
            </w:tcMar>
            <w:vAlign w:val="center"/>
          </w:tcPr>
          <w:p w14:paraId="7248DC73"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微服务治理的高效性：突破单体架构耦合瓶颈，微服务化让业务模块独立演进；服务网格解耦服务治理与业务代码，治理逻辑可灵活配置、全局生效</w:t>
            </w:r>
          </w:p>
        </w:tc>
        <w:tc>
          <w:tcPr>
            <w:tcW w:w="406" w:type="pct"/>
            <w:vMerge w:val="restart"/>
            <w:tcMar>
              <w:top w:w="0" w:type="dxa"/>
              <w:left w:w="108" w:type="dxa"/>
              <w:bottom w:w="0" w:type="dxa"/>
              <w:right w:w="108" w:type="dxa"/>
            </w:tcMar>
            <w:vAlign w:val="center"/>
          </w:tcPr>
          <w:p w14:paraId="703E283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1B99399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60443D6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42584F56" w14:textId="77777777" w:rsidTr="00BF5BFE">
        <w:trPr>
          <w:trHeight w:val="397"/>
          <w:jc w:val="center"/>
        </w:trPr>
        <w:tc>
          <w:tcPr>
            <w:tcW w:w="331" w:type="pct"/>
            <w:vMerge/>
            <w:tcMar>
              <w:top w:w="0" w:type="dxa"/>
              <w:left w:w="108" w:type="dxa"/>
              <w:bottom w:w="0" w:type="dxa"/>
              <w:right w:w="108" w:type="dxa"/>
            </w:tcMar>
            <w:vAlign w:val="center"/>
          </w:tcPr>
          <w:p w14:paraId="52CA800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3D9E140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4737D66"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K8s</w:t>
            </w:r>
            <w:r w:rsidRPr="00DA3766">
              <w:rPr>
                <w:rFonts w:ascii="Times New Roman" w:hAnsi="Times New Roman" w:cs="Times New Roman"/>
                <w:color w:val="000000"/>
                <w:kern w:val="2"/>
                <w:sz w:val="21"/>
                <w:szCs w:val="21"/>
                <w14:ligatures w14:val="standardContextual"/>
              </w:rPr>
              <w:t>容器编排的智能化：</w:t>
            </w:r>
            <w:r w:rsidRPr="00DA3766">
              <w:rPr>
                <w:rFonts w:ascii="Times New Roman" w:hAnsi="Times New Roman" w:cs="Times New Roman"/>
                <w:color w:val="000000"/>
                <w:kern w:val="2"/>
                <w:sz w:val="21"/>
                <w:szCs w:val="21"/>
                <w14:ligatures w14:val="standardContextual"/>
              </w:rPr>
              <w:t>K8s</w:t>
            </w:r>
            <w:r w:rsidRPr="00DA3766">
              <w:rPr>
                <w:rFonts w:ascii="Times New Roman" w:hAnsi="Times New Roman" w:cs="Times New Roman"/>
                <w:color w:val="000000"/>
                <w:kern w:val="2"/>
                <w:sz w:val="21"/>
                <w:szCs w:val="21"/>
                <w14:ligatures w14:val="standardContextual"/>
              </w:rPr>
              <w:t>实现容器全生命周期管理，自动调度、伸缩能力适配业务流量波动，相比传统物理机</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虚拟机部署，资源利用率提升数倍</w:t>
            </w:r>
          </w:p>
        </w:tc>
        <w:tc>
          <w:tcPr>
            <w:tcW w:w="406" w:type="pct"/>
            <w:vMerge/>
            <w:tcMar>
              <w:top w:w="0" w:type="dxa"/>
              <w:left w:w="108" w:type="dxa"/>
              <w:bottom w:w="0" w:type="dxa"/>
              <w:right w:w="108" w:type="dxa"/>
            </w:tcMar>
            <w:vAlign w:val="center"/>
          </w:tcPr>
          <w:p w14:paraId="0D9EB3F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C6B7CD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2A07FE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6F0C4667" w14:textId="77777777" w:rsidTr="00BF5BFE">
        <w:trPr>
          <w:trHeight w:val="397"/>
          <w:jc w:val="center"/>
        </w:trPr>
        <w:tc>
          <w:tcPr>
            <w:tcW w:w="331" w:type="pct"/>
            <w:vMerge/>
            <w:tcMar>
              <w:top w:w="0" w:type="dxa"/>
              <w:left w:w="108" w:type="dxa"/>
              <w:bottom w:w="0" w:type="dxa"/>
              <w:right w:w="108" w:type="dxa"/>
            </w:tcMar>
            <w:vAlign w:val="center"/>
          </w:tcPr>
          <w:p w14:paraId="50E85E7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D7D25B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451BDA0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可观测性的精准性：整合日志、链路追踪数据，构建全链路可观测体系，从宏观系统状态到微观请求细节，实现故障</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可发</w:t>
            </w:r>
            <w:r w:rsidRPr="00DA3766">
              <w:rPr>
                <w:rFonts w:ascii="Times New Roman" w:hAnsi="Times New Roman" w:cs="Times New Roman"/>
                <w:color w:val="000000"/>
                <w:kern w:val="2"/>
                <w:sz w:val="21"/>
                <w:szCs w:val="21"/>
                <w14:ligatures w14:val="standardContextual"/>
              </w:rPr>
              <w:lastRenderedPageBreak/>
              <w:t>现、可定位、可解决</w:t>
            </w:r>
            <w:r w:rsidRPr="00DA3766">
              <w:rPr>
                <w:rFonts w:cs="Times New Roman"/>
                <w:color w:val="000000"/>
                <w:kern w:val="2"/>
                <w:sz w:val="21"/>
                <w:szCs w:val="21"/>
                <w14:ligatures w14:val="standardContextual"/>
              </w:rPr>
              <w:t>”</w:t>
            </w:r>
          </w:p>
        </w:tc>
        <w:tc>
          <w:tcPr>
            <w:tcW w:w="406" w:type="pct"/>
            <w:vMerge/>
            <w:tcMar>
              <w:top w:w="0" w:type="dxa"/>
              <w:left w:w="108" w:type="dxa"/>
              <w:bottom w:w="0" w:type="dxa"/>
              <w:right w:w="108" w:type="dxa"/>
            </w:tcMar>
            <w:vAlign w:val="center"/>
          </w:tcPr>
          <w:p w14:paraId="5889348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22B04ED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0CE8D3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54C6FB3A" w14:textId="77777777" w:rsidTr="00BF5BFE">
        <w:trPr>
          <w:trHeight w:val="397"/>
          <w:jc w:val="center"/>
        </w:trPr>
        <w:tc>
          <w:tcPr>
            <w:tcW w:w="331" w:type="pct"/>
            <w:vMerge/>
            <w:tcMar>
              <w:top w:w="0" w:type="dxa"/>
              <w:left w:w="108" w:type="dxa"/>
              <w:bottom w:w="0" w:type="dxa"/>
              <w:right w:w="108" w:type="dxa"/>
            </w:tcMar>
            <w:vAlign w:val="center"/>
          </w:tcPr>
          <w:p w14:paraId="44F5CBF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249D8D08"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4B383363"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spacing w:val="-6"/>
                <w:kern w:val="2"/>
                <w:sz w:val="21"/>
                <w:szCs w:val="21"/>
                <w14:ligatures w14:val="standardContextual"/>
              </w:rPr>
            </w:pPr>
            <w:r w:rsidRPr="00DA3766">
              <w:rPr>
                <w:rFonts w:ascii="Times New Roman" w:hAnsi="Times New Roman" w:cs="Times New Roman"/>
                <w:color w:val="000000"/>
                <w:spacing w:val="-6"/>
                <w:kern w:val="2"/>
                <w:sz w:val="21"/>
                <w:szCs w:val="21"/>
                <w14:ligatures w14:val="standardContextual"/>
              </w:rPr>
              <w:t>持续集成落地的高效性：通过自研的发版系统，结合</w:t>
            </w:r>
            <w:r w:rsidRPr="00DA3766">
              <w:rPr>
                <w:rFonts w:ascii="Times New Roman" w:hAnsi="Times New Roman" w:cs="Times New Roman"/>
                <w:color w:val="000000"/>
                <w:spacing w:val="-6"/>
                <w:kern w:val="2"/>
                <w:sz w:val="21"/>
                <w:szCs w:val="21"/>
                <w14:ligatures w14:val="standardContextual"/>
              </w:rPr>
              <w:t>Jenkins</w:t>
            </w:r>
            <w:r w:rsidRPr="00DA3766">
              <w:rPr>
                <w:rFonts w:ascii="Times New Roman" w:hAnsi="Times New Roman" w:cs="Times New Roman"/>
                <w:color w:val="000000"/>
                <w:spacing w:val="-6"/>
                <w:kern w:val="2"/>
                <w:sz w:val="21"/>
                <w:szCs w:val="21"/>
                <w14:ligatures w14:val="standardContextual"/>
              </w:rPr>
              <w:t>自动化覆盖开发到部署全流程</w:t>
            </w:r>
          </w:p>
        </w:tc>
        <w:tc>
          <w:tcPr>
            <w:tcW w:w="406" w:type="pct"/>
            <w:vMerge/>
            <w:tcMar>
              <w:top w:w="0" w:type="dxa"/>
              <w:left w:w="108" w:type="dxa"/>
              <w:bottom w:w="0" w:type="dxa"/>
              <w:right w:w="108" w:type="dxa"/>
            </w:tcMar>
            <w:vAlign w:val="center"/>
          </w:tcPr>
          <w:p w14:paraId="461841B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2B9EFBA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0D280EA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030123A" w14:textId="77777777" w:rsidTr="00BF5BFE">
        <w:trPr>
          <w:trHeight w:val="397"/>
          <w:jc w:val="center"/>
        </w:trPr>
        <w:tc>
          <w:tcPr>
            <w:tcW w:w="331" w:type="pct"/>
            <w:vMerge w:val="restart"/>
            <w:tcMar>
              <w:top w:w="0" w:type="dxa"/>
              <w:left w:w="108" w:type="dxa"/>
              <w:bottom w:w="0" w:type="dxa"/>
              <w:right w:w="108" w:type="dxa"/>
            </w:tcMar>
            <w:vAlign w:val="center"/>
          </w:tcPr>
          <w:p w14:paraId="70A0C2C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6</w:t>
            </w:r>
          </w:p>
        </w:tc>
        <w:tc>
          <w:tcPr>
            <w:tcW w:w="526" w:type="pct"/>
            <w:vMerge w:val="restart"/>
            <w:tcMar>
              <w:top w:w="0" w:type="dxa"/>
              <w:left w:w="108" w:type="dxa"/>
              <w:bottom w:w="0" w:type="dxa"/>
              <w:right w:w="108" w:type="dxa"/>
            </w:tcMar>
            <w:vAlign w:val="center"/>
          </w:tcPr>
          <w:p w14:paraId="625C220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大数据架构</w:t>
            </w:r>
          </w:p>
        </w:tc>
        <w:tc>
          <w:tcPr>
            <w:tcW w:w="2263" w:type="pct"/>
            <w:tcMar>
              <w:top w:w="0" w:type="dxa"/>
              <w:left w:w="108" w:type="dxa"/>
              <w:bottom w:w="0" w:type="dxa"/>
              <w:right w:w="108" w:type="dxa"/>
            </w:tcMar>
            <w:vAlign w:val="center"/>
          </w:tcPr>
          <w:p w14:paraId="039358EB"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混合数仓协同效能：突破单一数仓模式局限，离线数仓承载历史数据沉淀与复杂分析，实时数仓聚焦实时业务响应，两者协同覆盖全业务场景，平衡数据时效性与分析深度需求数据治理的精细化与可靠性：从元数据梳理到质量管控，构建全流程数据治理体系，保障数据资产清晰、数据质量可信，为数据分析与业务应用筑牢基础</w:t>
            </w:r>
          </w:p>
        </w:tc>
        <w:tc>
          <w:tcPr>
            <w:tcW w:w="406" w:type="pct"/>
            <w:vMerge w:val="restart"/>
            <w:tcMar>
              <w:top w:w="0" w:type="dxa"/>
              <w:left w:w="108" w:type="dxa"/>
              <w:bottom w:w="0" w:type="dxa"/>
              <w:right w:w="108" w:type="dxa"/>
            </w:tcMar>
            <w:vAlign w:val="center"/>
          </w:tcPr>
          <w:p w14:paraId="46C6DD1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561C1A7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0F3004A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2136F543" w14:textId="77777777" w:rsidTr="00BF5BFE">
        <w:trPr>
          <w:trHeight w:val="397"/>
          <w:jc w:val="center"/>
        </w:trPr>
        <w:tc>
          <w:tcPr>
            <w:tcW w:w="331" w:type="pct"/>
            <w:vMerge/>
            <w:tcMar>
              <w:top w:w="0" w:type="dxa"/>
              <w:left w:w="108" w:type="dxa"/>
              <w:bottom w:w="0" w:type="dxa"/>
              <w:right w:w="108" w:type="dxa"/>
            </w:tcMar>
            <w:vAlign w:val="center"/>
          </w:tcPr>
          <w:p w14:paraId="0F38097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3CF341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6F0EB38B"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数据集成的全面性与高效性：兼容多类型数据源，支持灵活同步策略，打破数据孤岛，保障离线、实时数仓数据持续更新，为数据分析提供完整、及时的数据基础</w:t>
            </w:r>
          </w:p>
        </w:tc>
        <w:tc>
          <w:tcPr>
            <w:tcW w:w="406" w:type="pct"/>
            <w:vMerge/>
            <w:tcMar>
              <w:top w:w="0" w:type="dxa"/>
              <w:left w:w="108" w:type="dxa"/>
              <w:bottom w:w="0" w:type="dxa"/>
              <w:right w:w="108" w:type="dxa"/>
            </w:tcMar>
            <w:vAlign w:val="center"/>
          </w:tcPr>
          <w:p w14:paraId="220ABD2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106688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3DE54FE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eastAsia="楷体" w:hAnsi="Times New Roman" w:cs="Times New Roman"/>
                <w:b/>
                <w:kern w:val="2"/>
                <w:sz w:val="21"/>
                <w:szCs w:val="21"/>
                <w14:ligatures w14:val="standardContextual"/>
              </w:rPr>
            </w:pPr>
          </w:p>
        </w:tc>
      </w:tr>
    </w:tbl>
    <w:p w14:paraId="6BCC3069" w14:textId="77777777" w:rsidR="00FD17C1" w:rsidRPr="00DA3766" w:rsidRDefault="00FD17C1" w:rsidP="00FD17C1">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（十）核心技术情况</w:t>
      </w:r>
      <w:r w:rsidRPr="00DA3766">
        <w:rPr>
          <w:rFonts w:ascii="宋体" w:hAnsi="宋体"/>
        </w:rPr>
        <w:t>”</w:t>
      </w:r>
      <w:r w:rsidRPr="00DA3766">
        <w:t>部分进行了补充披露。</w:t>
      </w:r>
    </w:p>
    <w:p w14:paraId="136A1340" w14:textId="77777777" w:rsidR="00FD17C1" w:rsidRPr="00DA3766" w:rsidRDefault="00FD17C1" w:rsidP="00FD17C1">
      <w:pPr>
        <w:pStyle w:val="002"/>
        <w:spacing w:before="120" w:after="120"/>
        <w:ind w:firstLine="482"/>
      </w:pPr>
      <w:bookmarkStart w:id="300" w:name="_Hlk219820396"/>
      <w:r w:rsidRPr="00DA3766">
        <w:t>四、报告期核心技术人员特定分析及变动情况，核心技术人员占员工总数的比例，核心技术人员的学历背景构成、取得的专业资质及重要科研成果和获得奖项情况、对标的资产研发的具体贡献，标的资产对核心技术人员实施的约束激励措施等</w:t>
      </w:r>
    </w:p>
    <w:p w14:paraId="67712F53" w14:textId="77777777" w:rsidR="00FD17C1" w:rsidRPr="00DA3766" w:rsidRDefault="00FD17C1" w:rsidP="00FD17C1">
      <w:pPr>
        <w:pStyle w:val="005"/>
        <w:spacing w:before="120" w:after="120"/>
        <w:ind w:firstLine="480"/>
      </w:pPr>
      <w:bookmarkStart w:id="301" w:name="_Hlk219303349"/>
      <w:r w:rsidRPr="00DA3766">
        <w:t>截至</w:t>
      </w:r>
      <w:r w:rsidRPr="00DA3766">
        <w:t>2025</w:t>
      </w:r>
      <w:r w:rsidRPr="00DA3766">
        <w:t>年</w:t>
      </w:r>
      <w:r w:rsidRPr="00DA3766">
        <w:t>6</w:t>
      </w:r>
      <w:r w:rsidRPr="00DA3766">
        <w:t>月</w:t>
      </w:r>
      <w:r w:rsidRPr="00DA3766">
        <w:t>30</w:t>
      </w:r>
      <w:r w:rsidRPr="00DA3766">
        <w:t>日，标的公司共有</w:t>
      </w:r>
      <w:r w:rsidRPr="00DA3766">
        <w:t>3</w:t>
      </w:r>
      <w:r w:rsidRPr="00DA3766">
        <w:t>名核心技术人员，占员工总数的</w:t>
      </w:r>
      <w:r w:rsidRPr="00DA3766">
        <w:t>0.45%</w:t>
      </w:r>
      <w:r w:rsidRPr="00DA3766">
        <w:t>，具体情况如下：</w:t>
      </w:r>
    </w:p>
    <w:tbl>
      <w:tblPr>
        <w:tblStyle w:val="161"/>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953"/>
        <w:gridCol w:w="1046"/>
        <w:gridCol w:w="882"/>
        <w:gridCol w:w="701"/>
        <w:gridCol w:w="2546"/>
        <w:gridCol w:w="1967"/>
      </w:tblGrid>
      <w:tr w:rsidR="00FA40DB" w:rsidRPr="00DA3766" w14:paraId="0AA383DB" w14:textId="77777777" w:rsidTr="00FA40DB">
        <w:trPr>
          <w:trHeight w:val="397"/>
          <w:tblHeader/>
          <w:jc w:val="center"/>
        </w:trPr>
        <w:tc>
          <w:tcPr>
            <w:tcW w:w="254" w:type="pct"/>
            <w:tcMar>
              <w:top w:w="0" w:type="dxa"/>
              <w:left w:w="108" w:type="dxa"/>
              <w:bottom w:w="0" w:type="dxa"/>
              <w:right w:w="108" w:type="dxa"/>
            </w:tcMar>
            <w:vAlign w:val="center"/>
          </w:tcPr>
          <w:p w14:paraId="7C318261"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序号</w:t>
            </w:r>
          </w:p>
        </w:tc>
        <w:tc>
          <w:tcPr>
            <w:tcW w:w="559" w:type="pct"/>
            <w:tcMar>
              <w:top w:w="0" w:type="dxa"/>
              <w:bottom w:w="0" w:type="dxa"/>
            </w:tcMar>
            <w:vAlign w:val="center"/>
          </w:tcPr>
          <w:p w14:paraId="1263AD6A"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姓名</w:t>
            </w:r>
          </w:p>
        </w:tc>
        <w:tc>
          <w:tcPr>
            <w:tcW w:w="613" w:type="pct"/>
            <w:tcMar>
              <w:top w:w="0" w:type="dxa"/>
              <w:left w:w="108" w:type="dxa"/>
              <w:bottom w:w="0" w:type="dxa"/>
              <w:right w:w="108" w:type="dxa"/>
            </w:tcMar>
            <w:vAlign w:val="center"/>
          </w:tcPr>
          <w:p w14:paraId="15007DD3"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职务</w:t>
            </w:r>
          </w:p>
        </w:tc>
        <w:tc>
          <w:tcPr>
            <w:tcW w:w="517" w:type="pct"/>
            <w:tcMar>
              <w:top w:w="0" w:type="dxa"/>
              <w:left w:w="108" w:type="dxa"/>
              <w:bottom w:w="0" w:type="dxa"/>
              <w:right w:w="108" w:type="dxa"/>
            </w:tcMar>
            <w:vAlign w:val="center"/>
          </w:tcPr>
          <w:p w14:paraId="4A5D8D3D" w14:textId="77777777" w:rsidR="00FA40DB"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入职</w:t>
            </w:r>
          </w:p>
          <w:p w14:paraId="4EE7B19D" w14:textId="02003EF2"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时间</w:t>
            </w:r>
          </w:p>
        </w:tc>
        <w:tc>
          <w:tcPr>
            <w:tcW w:w="411" w:type="pct"/>
            <w:tcMar>
              <w:top w:w="0" w:type="dxa"/>
              <w:left w:w="108" w:type="dxa"/>
              <w:bottom w:w="0" w:type="dxa"/>
              <w:right w:w="108" w:type="dxa"/>
            </w:tcMar>
            <w:vAlign w:val="center"/>
          </w:tcPr>
          <w:p w14:paraId="2995A316"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学历背景</w:t>
            </w:r>
          </w:p>
        </w:tc>
        <w:tc>
          <w:tcPr>
            <w:tcW w:w="1493" w:type="pct"/>
            <w:tcMar>
              <w:top w:w="0" w:type="dxa"/>
              <w:bottom w:w="0" w:type="dxa"/>
            </w:tcMar>
            <w:vAlign w:val="center"/>
          </w:tcPr>
          <w:p w14:paraId="6C9E4EAB"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取得的专业资质及重要科研成果和获得奖项等情况</w:t>
            </w:r>
          </w:p>
        </w:tc>
        <w:tc>
          <w:tcPr>
            <w:tcW w:w="1153" w:type="pct"/>
            <w:tcMar>
              <w:top w:w="0" w:type="dxa"/>
              <w:bottom w:w="0" w:type="dxa"/>
            </w:tcMar>
            <w:vAlign w:val="center"/>
          </w:tcPr>
          <w:p w14:paraId="103CE17F"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对标的资产研发的具体贡献</w:t>
            </w:r>
          </w:p>
        </w:tc>
      </w:tr>
      <w:tr w:rsidR="00FA40DB" w:rsidRPr="00DA3766" w14:paraId="1279F7E4" w14:textId="77777777" w:rsidTr="00FA40DB">
        <w:trPr>
          <w:trHeight w:val="397"/>
          <w:jc w:val="center"/>
        </w:trPr>
        <w:tc>
          <w:tcPr>
            <w:tcW w:w="254" w:type="pct"/>
            <w:tcMar>
              <w:top w:w="0" w:type="dxa"/>
              <w:left w:w="108" w:type="dxa"/>
              <w:bottom w:w="0" w:type="dxa"/>
              <w:right w:w="108" w:type="dxa"/>
            </w:tcMar>
            <w:vAlign w:val="center"/>
          </w:tcPr>
          <w:p w14:paraId="3E061D4F"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1</w:t>
            </w:r>
          </w:p>
        </w:tc>
        <w:tc>
          <w:tcPr>
            <w:tcW w:w="559" w:type="pct"/>
            <w:tcMar>
              <w:top w:w="0" w:type="dxa"/>
              <w:bottom w:w="0" w:type="dxa"/>
            </w:tcMar>
            <w:vAlign w:val="center"/>
          </w:tcPr>
          <w:p w14:paraId="0B9F34BF"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杨凯然</w:t>
            </w:r>
          </w:p>
        </w:tc>
        <w:tc>
          <w:tcPr>
            <w:tcW w:w="613" w:type="pct"/>
            <w:tcMar>
              <w:top w:w="0" w:type="dxa"/>
              <w:left w:w="108" w:type="dxa"/>
              <w:bottom w:w="0" w:type="dxa"/>
              <w:right w:w="108" w:type="dxa"/>
            </w:tcMar>
            <w:vAlign w:val="center"/>
          </w:tcPr>
          <w:p w14:paraId="75B73D14"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首席技术官</w:t>
            </w:r>
          </w:p>
        </w:tc>
        <w:tc>
          <w:tcPr>
            <w:tcW w:w="517" w:type="pct"/>
            <w:tcMar>
              <w:top w:w="0" w:type="dxa"/>
              <w:left w:w="108" w:type="dxa"/>
              <w:bottom w:w="0" w:type="dxa"/>
              <w:right w:w="108" w:type="dxa"/>
            </w:tcMar>
            <w:vAlign w:val="center"/>
          </w:tcPr>
          <w:p w14:paraId="11AF233A"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2016</w:t>
            </w:r>
            <w:r w:rsidRPr="00DA3766">
              <w:rPr>
                <w:rFonts w:ascii="Times New Roman" w:eastAsia="宋体" w:hAnsi="Times New Roman" w:cs="Times New Roman"/>
                <w:sz w:val="21"/>
                <w:szCs w:val="21"/>
                <w:lang w:bidi="ar"/>
              </w:rPr>
              <w:t>年</w:t>
            </w:r>
          </w:p>
        </w:tc>
        <w:tc>
          <w:tcPr>
            <w:tcW w:w="411" w:type="pct"/>
            <w:tcMar>
              <w:top w:w="0" w:type="dxa"/>
              <w:left w:w="108" w:type="dxa"/>
              <w:bottom w:w="0" w:type="dxa"/>
              <w:right w:w="108" w:type="dxa"/>
            </w:tcMar>
            <w:vAlign w:val="center"/>
          </w:tcPr>
          <w:p w14:paraId="06E71E66"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6B85D69D" w14:textId="77777777"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标的公司研发领军人物，拥有超过</w:t>
            </w:r>
            <w:r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年的信息技术行业工作经验，曾任职于印度塔塔集团、甲骨文软件系统有限公司等大型企业，历任高级工程师、架构师等核心技术岗位。</w:t>
            </w:r>
          </w:p>
        </w:tc>
        <w:tc>
          <w:tcPr>
            <w:tcW w:w="1153" w:type="pct"/>
            <w:tcMar>
              <w:top w:w="0" w:type="dxa"/>
              <w:bottom w:w="0" w:type="dxa"/>
            </w:tcMar>
            <w:vAlign w:val="center"/>
          </w:tcPr>
          <w:p w14:paraId="47EE0D1D" w14:textId="0E9EF930"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现任标的公司首席技术官，全面执掌研发中心的管理与统筹工作，主导核心技术战略规划、产品研发落地及技术团队建设与管理等。</w:t>
            </w:r>
          </w:p>
        </w:tc>
      </w:tr>
      <w:tr w:rsidR="00FA40DB" w:rsidRPr="00DA3766" w14:paraId="444AB409" w14:textId="77777777" w:rsidTr="00FA40DB">
        <w:trPr>
          <w:trHeight w:val="397"/>
          <w:jc w:val="center"/>
        </w:trPr>
        <w:tc>
          <w:tcPr>
            <w:tcW w:w="254" w:type="pct"/>
            <w:tcMar>
              <w:top w:w="0" w:type="dxa"/>
              <w:left w:w="108" w:type="dxa"/>
              <w:bottom w:w="0" w:type="dxa"/>
              <w:right w:w="108" w:type="dxa"/>
            </w:tcMar>
            <w:vAlign w:val="center"/>
          </w:tcPr>
          <w:p w14:paraId="6C279DF2"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w:t>
            </w:r>
          </w:p>
        </w:tc>
        <w:tc>
          <w:tcPr>
            <w:tcW w:w="559" w:type="pct"/>
            <w:tcMar>
              <w:top w:w="0" w:type="dxa"/>
              <w:bottom w:w="0" w:type="dxa"/>
            </w:tcMar>
            <w:vAlign w:val="center"/>
          </w:tcPr>
          <w:p w14:paraId="46E34EFD"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谢岳生</w:t>
            </w:r>
          </w:p>
        </w:tc>
        <w:tc>
          <w:tcPr>
            <w:tcW w:w="613" w:type="pct"/>
            <w:tcMar>
              <w:top w:w="0" w:type="dxa"/>
              <w:left w:w="108" w:type="dxa"/>
              <w:bottom w:w="0" w:type="dxa"/>
              <w:right w:w="108" w:type="dxa"/>
            </w:tcMar>
            <w:vAlign w:val="center"/>
          </w:tcPr>
          <w:p w14:paraId="1F484788" w14:textId="77777777" w:rsidR="00635015"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技术</w:t>
            </w:r>
          </w:p>
          <w:p w14:paraId="195A2657" w14:textId="32ECDC5D"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总监</w:t>
            </w:r>
          </w:p>
        </w:tc>
        <w:tc>
          <w:tcPr>
            <w:tcW w:w="517" w:type="pct"/>
            <w:tcMar>
              <w:top w:w="0" w:type="dxa"/>
              <w:left w:w="108" w:type="dxa"/>
              <w:bottom w:w="0" w:type="dxa"/>
              <w:right w:w="108" w:type="dxa"/>
            </w:tcMar>
            <w:vAlign w:val="center"/>
          </w:tcPr>
          <w:p w14:paraId="327D96B2"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2020</w:t>
            </w:r>
            <w:r w:rsidRPr="00DA3766">
              <w:rPr>
                <w:rFonts w:ascii="Times New Roman" w:eastAsia="宋体" w:hAnsi="Times New Roman" w:cs="Times New Roman"/>
                <w:bCs/>
                <w:sz w:val="21"/>
                <w:szCs w:val="21"/>
              </w:rPr>
              <w:t>年</w:t>
            </w:r>
          </w:p>
        </w:tc>
        <w:tc>
          <w:tcPr>
            <w:tcW w:w="411" w:type="pct"/>
            <w:tcMar>
              <w:top w:w="0" w:type="dxa"/>
              <w:left w:w="108" w:type="dxa"/>
              <w:bottom w:w="0" w:type="dxa"/>
              <w:right w:w="108" w:type="dxa"/>
            </w:tcMar>
            <w:vAlign w:val="center"/>
          </w:tcPr>
          <w:p w14:paraId="170B0242"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1C625E6B" w14:textId="47DAD2F2"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lang w:bidi="ar"/>
              </w:rPr>
              <w:t>标的公司研发</w:t>
            </w:r>
            <w:r w:rsidR="00BC369E" w:rsidRPr="00DA3766">
              <w:rPr>
                <w:rFonts w:ascii="Times New Roman" w:eastAsia="宋体" w:hAnsi="Times New Roman" w:cs="Times New Roman"/>
                <w:sz w:val="21"/>
                <w:szCs w:val="21"/>
                <w:lang w:bidi="ar"/>
              </w:rPr>
              <w:t>重要</w:t>
            </w:r>
            <w:r w:rsidRPr="00DA3766">
              <w:rPr>
                <w:rFonts w:ascii="Times New Roman" w:eastAsia="宋体" w:hAnsi="Times New Roman" w:cs="Times New Roman"/>
                <w:sz w:val="21"/>
                <w:szCs w:val="21"/>
                <w:lang w:bidi="ar"/>
              </w:rPr>
              <w:t>人物，从事物联网</w:t>
            </w:r>
            <w:r w:rsidR="007A44DA" w:rsidRPr="00DA3766">
              <w:rPr>
                <w:rFonts w:ascii="Times New Roman" w:eastAsia="宋体" w:hAnsi="Times New Roman" w:cs="Times New Roman"/>
                <w:sz w:val="21"/>
                <w:szCs w:val="21"/>
                <w:lang w:bidi="ar"/>
              </w:rPr>
              <w:t>SaaS</w:t>
            </w:r>
            <w:r w:rsidRPr="00DA3766">
              <w:rPr>
                <w:rFonts w:ascii="Times New Roman" w:eastAsia="宋体" w:hAnsi="Times New Roman" w:cs="Times New Roman"/>
                <w:sz w:val="21"/>
                <w:szCs w:val="21"/>
                <w:lang w:bidi="ar"/>
              </w:rPr>
              <w:t>平台的研发及管理等相关工作</w:t>
            </w:r>
            <w:r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年，曾任职于亚信科</w:t>
            </w:r>
            <w:r w:rsidRPr="00DA3766">
              <w:rPr>
                <w:rFonts w:ascii="Times New Roman" w:eastAsia="宋体" w:hAnsi="Times New Roman" w:cs="Times New Roman"/>
                <w:sz w:val="21"/>
                <w:szCs w:val="21"/>
                <w:lang w:bidi="ar"/>
              </w:rPr>
              <w:lastRenderedPageBreak/>
              <w:t>技、新炬网络等知名企业，历任架构师、技术经理等核心技术岗位。</w:t>
            </w:r>
          </w:p>
        </w:tc>
        <w:tc>
          <w:tcPr>
            <w:tcW w:w="1153" w:type="pct"/>
            <w:tcMar>
              <w:top w:w="0" w:type="dxa"/>
              <w:bottom w:w="0" w:type="dxa"/>
            </w:tcMar>
            <w:vAlign w:val="center"/>
          </w:tcPr>
          <w:p w14:paraId="04CCEA71" w14:textId="6E0CAC54"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lastRenderedPageBreak/>
              <w:t>现任</w:t>
            </w:r>
            <w:r w:rsidRPr="00DA3766">
              <w:rPr>
                <w:rFonts w:ascii="Times New Roman" w:eastAsia="宋体" w:hAnsi="Times New Roman" w:cs="Times New Roman"/>
                <w:sz w:val="21"/>
                <w:szCs w:val="21"/>
                <w:lang w:bidi="ar"/>
              </w:rPr>
              <w:t>标的</w:t>
            </w:r>
            <w:r w:rsidRPr="00DA3766">
              <w:rPr>
                <w:rFonts w:ascii="Times New Roman" w:eastAsia="宋体" w:hAnsi="Times New Roman" w:cs="Times New Roman"/>
                <w:bCs/>
                <w:sz w:val="21"/>
                <w:szCs w:val="21"/>
              </w:rPr>
              <w:t>公司技术总监，自加入公司以来，致力于打造并持续演进行业领</w:t>
            </w:r>
            <w:r w:rsidRPr="00DA3766">
              <w:rPr>
                <w:rFonts w:ascii="Times New Roman" w:eastAsia="宋体" w:hAnsi="Times New Roman" w:cs="Times New Roman"/>
                <w:bCs/>
                <w:sz w:val="21"/>
                <w:szCs w:val="21"/>
              </w:rPr>
              <w:lastRenderedPageBreak/>
              <w:t>先的业务与技术中台，保障标的公司</w:t>
            </w:r>
            <w:r w:rsidR="007A44DA" w:rsidRPr="00DA3766">
              <w:rPr>
                <w:rFonts w:ascii="Times New Roman" w:eastAsia="宋体" w:hAnsi="Times New Roman" w:cs="Times New Roman"/>
                <w:sz w:val="21"/>
                <w:szCs w:val="21"/>
                <w:lang w:bidi="ar"/>
              </w:rPr>
              <w:t>SaaS</w:t>
            </w:r>
            <w:r w:rsidRPr="00DA3766">
              <w:rPr>
                <w:rFonts w:ascii="Times New Roman" w:eastAsia="宋体" w:hAnsi="Times New Roman" w:cs="Times New Roman"/>
                <w:bCs/>
                <w:sz w:val="21"/>
                <w:szCs w:val="21"/>
              </w:rPr>
              <w:t>平台长期安全、稳定和高效运行。</w:t>
            </w:r>
          </w:p>
        </w:tc>
      </w:tr>
      <w:tr w:rsidR="00FA40DB" w:rsidRPr="00DA3766" w14:paraId="4B6F4D90" w14:textId="77777777" w:rsidTr="00FA40DB">
        <w:trPr>
          <w:trHeight w:val="397"/>
          <w:jc w:val="center"/>
        </w:trPr>
        <w:tc>
          <w:tcPr>
            <w:tcW w:w="254" w:type="pct"/>
            <w:tcMar>
              <w:top w:w="0" w:type="dxa"/>
              <w:left w:w="108" w:type="dxa"/>
              <w:bottom w:w="0" w:type="dxa"/>
              <w:right w:w="108" w:type="dxa"/>
            </w:tcMar>
            <w:vAlign w:val="center"/>
          </w:tcPr>
          <w:p w14:paraId="00E9A5F3"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lastRenderedPageBreak/>
              <w:t>3</w:t>
            </w:r>
          </w:p>
        </w:tc>
        <w:tc>
          <w:tcPr>
            <w:tcW w:w="559" w:type="pct"/>
            <w:tcMar>
              <w:top w:w="0" w:type="dxa"/>
              <w:bottom w:w="0" w:type="dxa"/>
            </w:tcMar>
            <w:vAlign w:val="center"/>
          </w:tcPr>
          <w:p w14:paraId="1E90053D"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刘天雄</w:t>
            </w:r>
          </w:p>
        </w:tc>
        <w:tc>
          <w:tcPr>
            <w:tcW w:w="613" w:type="pct"/>
            <w:tcMar>
              <w:top w:w="0" w:type="dxa"/>
              <w:left w:w="108" w:type="dxa"/>
              <w:bottom w:w="0" w:type="dxa"/>
              <w:right w:w="108" w:type="dxa"/>
            </w:tcMar>
            <w:vAlign w:val="center"/>
          </w:tcPr>
          <w:p w14:paraId="1625C437"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技术副总监</w:t>
            </w:r>
          </w:p>
        </w:tc>
        <w:tc>
          <w:tcPr>
            <w:tcW w:w="517" w:type="pct"/>
            <w:tcMar>
              <w:top w:w="0" w:type="dxa"/>
              <w:left w:w="108" w:type="dxa"/>
              <w:bottom w:w="0" w:type="dxa"/>
              <w:right w:w="108" w:type="dxa"/>
            </w:tcMar>
            <w:vAlign w:val="center"/>
          </w:tcPr>
          <w:p w14:paraId="41E522CC"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2017</w:t>
            </w:r>
            <w:r w:rsidRPr="00DA3766">
              <w:rPr>
                <w:rFonts w:ascii="Times New Roman" w:eastAsia="宋体" w:hAnsi="Times New Roman" w:cs="Times New Roman"/>
                <w:bCs/>
                <w:sz w:val="21"/>
                <w:szCs w:val="21"/>
              </w:rPr>
              <w:t>年</w:t>
            </w:r>
          </w:p>
        </w:tc>
        <w:tc>
          <w:tcPr>
            <w:tcW w:w="411" w:type="pct"/>
            <w:tcMar>
              <w:top w:w="0" w:type="dxa"/>
              <w:left w:w="108" w:type="dxa"/>
              <w:bottom w:w="0" w:type="dxa"/>
              <w:right w:w="108" w:type="dxa"/>
            </w:tcMar>
            <w:vAlign w:val="center"/>
          </w:tcPr>
          <w:p w14:paraId="0E74BFC5"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2FEDA7A8" w14:textId="57FF3B4F"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标的公司研发</w:t>
            </w:r>
            <w:r w:rsidR="00BC369E" w:rsidRPr="00DA3766">
              <w:rPr>
                <w:rFonts w:ascii="Times New Roman" w:eastAsia="宋体" w:hAnsi="Times New Roman" w:cs="Times New Roman"/>
                <w:sz w:val="21"/>
                <w:szCs w:val="21"/>
                <w:lang w:bidi="ar"/>
              </w:rPr>
              <w:t>重要</w:t>
            </w:r>
            <w:r w:rsidRPr="00DA3766">
              <w:rPr>
                <w:rFonts w:ascii="Times New Roman" w:eastAsia="宋体" w:hAnsi="Times New Roman" w:cs="Times New Roman"/>
                <w:sz w:val="21"/>
                <w:szCs w:val="21"/>
                <w:lang w:bidi="ar"/>
              </w:rPr>
              <w:t>人物，从事智能硬件产品设计开发工作</w:t>
            </w:r>
            <w:r w:rsidR="00D81B55" w:rsidRPr="00DA3766">
              <w:rPr>
                <w:rFonts w:ascii="Times New Roman" w:eastAsia="宋体" w:hAnsi="Times New Roman" w:cs="Times New Roman"/>
                <w:sz w:val="21"/>
                <w:szCs w:val="21"/>
                <w:lang w:bidi="ar"/>
              </w:rPr>
              <w:t>超过</w:t>
            </w:r>
            <w:r w:rsidR="00D81B55"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年，曾任职于广州天誉创高电子科技有限公司，历任硬件工程师、项目经理等岗位。</w:t>
            </w:r>
          </w:p>
        </w:tc>
        <w:tc>
          <w:tcPr>
            <w:tcW w:w="1153" w:type="pct"/>
            <w:tcMar>
              <w:top w:w="0" w:type="dxa"/>
              <w:bottom w:w="0" w:type="dxa"/>
            </w:tcMar>
            <w:vAlign w:val="center"/>
          </w:tcPr>
          <w:p w14:paraId="4B45AF9F" w14:textId="03FC02DC"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现任</w:t>
            </w:r>
            <w:r w:rsidRPr="00DA3766">
              <w:rPr>
                <w:rFonts w:ascii="Times New Roman" w:eastAsia="宋体" w:hAnsi="Times New Roman" w:cs="Times New Roman"/>
                <w:sz w:val="21"/>
                <w:szCs w:val="21"/>
                <w:lang w:bidi="ar"/>
              </w:rPr>
              <w:t>标的</w:t>
            </w:r>
            <w:r w:rsidRPr="00DA3766">
              <w:rPr>
                <w:rFonts w:ascii="Times New Roman" w:eastAsia="宋体" w:hAnsi="Times New Roman" w:cs="Times New Roman"/>
                <w:bCs/>
                <w:sz w:val="21"/>
                <w:szCs w:val="21"/>
              </w:rPr>
              <w:t>公司技术副总监，主导</w:t>
            </w:r>
            <w:r w:rsidRPr="00DA3766">
              <w:rPr>
                <w:rFonts w:ascii="Times New Roman" w:eastAsia="宋体" w:hAnsi="Times New Roman" w:cs="Times New Roman"/>
                <w:bCs/>
                <w:sz w:val="21"/>
                <w:szCs w:val="21"/>
              </w:rPr>
              <w:t>IoT</w:t>
            </w:r>
            <w:r w:rsidRPr="00DA3766">
              <w:rPr>
                <w:rFonts w:ascii="Times New Roman" w:eastAsia="宋体" w:hAnsi="Times New Roman" w:cs="Times New Roman"/>
                <w:bCs/>
                <w:sz w:val="21"/>
                <w:szCs w:val="21"/>
              </w:rPr>
              <w:t>智能硬件技术研发工作，带领硬件团队研发的各系列产品已经广泛应用于实际业务场景。</w:t>
            </w:r>
          </w:p>
        </w:tc>
      </w:tr>
    </w:tbl>
    <w:p w14:paraId="07FF6F3F" w14:textId="77777777" w:rsidR="00FD17C1" w:rsidRPr="00DA3766" w:rsidRDefault="00FD17C1" w:rsidP="008A1B9E">
      <w:pPr>
        <w:pStyle w:val="005"/>
        <w:spacing w:before="120" w:after="120"/>
        <w:ind w:firstLine="480"/>
      </w:pPr>
      <w:bookmarkStart w:id="302" w:name="_Hlk218515590"/>
      <w:r w:rsidRPr="00DA3766">
        <w:t>报告期内，标的公司核心技术人员未发生变动。为加强核心技术人员管理，标的公司已与上述人员签订了含保密条款和竞业限制条款的相关协议，对其任职期间及离职以后的保密义务和竞业限制义务进行了明确约定。同时，标的公司还制定了股权激励管理办法，通过有计划的实施股权激励，以提高核心技术人员的积极性与创造性，实现员工与公司共同发展</w:t>
      </w:r>
      <w:bookmarkEnd w:id="302"/>
      <w:r w:rsidRPr="00DA3766">
        <w:t>。</w:t>
      </w:r>
    </w:p>
    <w:bookmarkEnd w:id="300"/>
    <w:bookmarkEnd w:id="301"/>
    <w:p w14:paraId="796DF1CC" w14:textId="6A66C104" w:rsidR="00FD17C1" w:rsidRPr="00DA3766" w:rsidRDefault="00FD17C1" w:rsidP="008A1B9E">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（十）核心技术情况</w:t>
      </w:r>
      <w:r w:rsidRPr="00DA3766">
        <w:rPr>
          <w:rFonts w:ascii="宋体" w:hAnsi="宋体"/>
        </w:rPr>
        <w:t>”</w:t>
      </w:r>
      <w:r w:rsidRPr="00DA3766">
        <w:t>部分进行了补充披露。</w:t>
      </w:r>
    </w:p>
    <w:p w14:paraId="00A0B7F4" w14:textId="418F37CE" w:rsidR="00D41D7A" w:rsidRPr="00DA3766" w:rsidRDefault="00D41D7A" w:rsidP="00D41D7A">
      <w:pPr>
        <w:pStyle w:val="002"/>
        <w:spacing w:before="120" w:after="120"/>
        <w:ind w:firstLine="482"/>
      </w:pPr>
      <w:r w:rsidRPr="00DA3766">
        <w:t>五、标的资产是否存在涉及许可他人使用自己所有的资产或作为被许可人使用他人资产的情况</w:t>
      </w:r>
    </w:p>
    <w:p w14:paraId="6CCAF864" w14:textId="77777777" w:rsidR="00C51D92" w:rsidRPr="00DA3766" w:rsidRDefault="00C51D92" w:rsidP="008A1B9E">
      <w:pPr>
        <w:pStyle w:val="005"/>
        <w:spacing w:before="120" w:after="120"/>
        <w:ind w:firstLine="480"/>
      </w:pPr>
      <w:bookmarkStart w:id="303" w:name="_Hlk219318390"/>
      <w:r w:rsidRPr="00DA3766">
        <w:t>截至报告期末，标的公司不存在许可他人使用自己所有的资产，或者作为被许可方使用他人资产的情况</w:t>
      </w:r>
      <w:bookmarkEnd w:id="303"/>
      <w:r w:rsidRPr="00DA3766">
        <w:t>。</w:t>
      </w:r>
    </w:p>
    <w:p w14:paraId="6A8DF10F" w14:textId="5EB6E17F" w:rsidR="00D41D7A" w:rsidRPr="00DA3766" w:rsidRDefault="00C51D92" w:rsidP="00C51D92">
      <w:pPr>
        <w:pStyle w:val="005"/>
        <w:spacing w:before="120" w:after="120"/>
        <w:ind w:firstLine="480"/>
      </w:pPr>
      <w:r w:rsidRPr="00DA3766">
        <w:t>上市公司已在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四、标的公司主要资产权属状况、对外担保状况及主要负债、或有负债情况</w:t>
      </w:r>
      <w:r w:rsidRPr="00DA3766">
        <w:rPr>
          <w:rFonts w:ascii="宋体" w:hAnsi="宋体"/>
        </w:rPr>
        <w:t>”</w:t>
      </w:r>
      <w:r w:rsidR="004501C6" w:rsidRPr="00DA3766">
        <w:t>之</w:t>
      </w:r>
      <w:r w:rsidR="004501C6" w:rsidRPr="00DA3766">
        <w:rPr>
          <w:rFonts w:ascii="宋体" w:hAnsi="宋体"/>
        </w:rPr>
        <w:t>“</w:t>
      </w:r>
      <w:r w:rsidR="004501C6" w:rsidRPr="00DA3766">
        <w:t>（六）涉及许可他人使用自己所有的资产，或者作为被许可方使用他人资产的情况</w:t>
      </w:r>
      <w:r w:rsidR="004501C6" w:rsidRPr="00DA3766">
        <w:rPr>
          <w:rFonts w:ascii="宋体" w:hAnsi="宋体"/>
        </w:rPr>
        <w:t>”</w:t>
      </w:r>
      <w:r w:rsidRPr="00DA3766">
        <w:t>补充披露。</w:t>
      </w:r>
    </w:p>
    <w:p w14:paraId="12A29290" w14:textId="04F72F24" w:rsidR="00D41D7A" w:rsidRPr="00DA3766" w:rsidRDefault="00D41D7A" w:rsidP="00D41D7A">
      <w:pPr>
        <w:pStyle w:val="002"/>
        <w:spacing w:before="120" w:after="120"/>
        <w:ind w:firstLine="482"/>
      </w:pPr>
      <w:r w:rsidRPr="00DA3766">
        <w:t>六、明确具体披露相关法律法规所要求的其他可能涉及必要的批准、核准、备案或许可的具体情况</w:t>
      </w:r>
    </w:p>
    <w:p w14:paraId="737BFB1E" w14:textId="77777777" w:rsidR="00C51D92" w:rsidRPr="00DA3766" w:rsidRDefault="00C51D92" w:rsidP="00C51D92">
      <w:pPr>
        <w:pStyle w:val="003"/>
        <w:spacing w:before="120" w:after="120"/>
        <w:ind w:firstLine="482"/>
      </w:pPr>
      <w:r w:rsidRPr="00DA3766">
        <w:t>（一）本次交易已取得的批准与授权</w:t>
      </w:r>
    </w:p>
    <w:p w14:paraId="765D94C6" w14:textId="77777777" w:rsidR="00C51D92" w:rsidRPr="00DA3766" w:rsidRDefault="00C51D92" w:rsidP="008A1B9E">
      <w:pPr>
        <w:pStyle w:val="005"/>
        <w:spacing w:before="120" w:after="120"/>
        <w:ind w:firstLine="480"/>
      </w:pPr>
      <w:r w:rsidRPr="00DA3766">
        <w:t>根据《重组管理办法》《发行管理办法》，本次交易已获得的批准授权情况</w:t>
      </w:r>
      <w:r w:rsidRPr="00DA3766">
        <w:lastRenderedPageBreak/>
        <w:t>如下：</w:t>
      </w:r>
    </w:p>
    <w:p w14:paraId="7F2158E7" w14:textId="77777777" w:rsidR="00C51D92" w:rsidRPr="00DA3766" w:rsidRDefault="00C51D92" w:rsidP="008A1B9E">
      <w:pPr>
        <w:pStyle w:val="005"/>
        <w:spacing w:before="120" w:after="120"/>
        <w:ind w:firstLine="480"/>
      </w:pPr>
      <w:r w:rsidRPr="00DA3766">
        <w:t>1</w:t>
      </w:r>
      <w:r w:rsidRPr="00DA3766">
        <w:t>、本次交易已取得上市公司控股股东、实际控制人的原则性同意；</w:t>
      </w:r>
    </w:p>
    <w:p w14:paraId="3D5C8231" w14:textId="77777777" w:rsidR="00C51D92" w:rsidRPr="00DA3766" w:rsidRDefault="00C51D92" w:rsidP="008A1B9E">
      <w:pPr>
        <w:pStyle w:val="005"/>
        <w:spacing w:before="120" w:after="120"/>
        <w:ind w:firstLine="480"/>
      </w:pPr>
      <w:r w:rsidRPr="00DA3766">
        <w:t>2</w:t>
      </w:r>
      <w:r w:rsidRPr="00DA3766">
        <w:t>、本次交易的正式方案已经各交易对方履行完毕内部审批程序；</w:t>
      </w:r>
    </w:p>
    <w:p w14:paraId="20FB5769" w14:textId="77777777" w:rsidR="00C51D92" w:rsidRPr="00DA3766" w:rsidRDefault="00C51D92" w:rsidP="008A1B9E">
      <w:pPr>
        <w:pStyle w:val="005"/>
        <w:spacing w:before="120" w:after="120"/>
        <w:ind w:firstLine="480"/>
      </w:pPr>
      <w:r w:rsidRPr="00DA3766">
        <w:t>3</w:t>
      </w:r>
      <w:r w:rsidRPr="00DA3766">
        <w:t>、本次交易重组预案及相关议案已经上市公司第三届董事会第三十二次会议审议通过；</w:t>
      </w:r>
    </w:p>
    <w:p w14:paraId="6555272A" w14:textId="77777777" w:rsidR="00C51D92" w:rsidRPr="00DA3766" w:rsidRDefault="00C51D92" w:rsidP="008A1B9E">
      <w:pPr>
        <w:pStyle w:val="005"/>
        <w:spacing w:before="120" w:after="120"/>
        <w:ind w:firstLine="480"/>
      </w:pPr>
      <w:r w:rsidRPr="00DA3766">
        <w:t>4</w:t>
      </w:r>
      <w:r w:rsidRPr="00DA3766">
        <w:t>、本次交易重组报告书及相关议案已经上市公司第四届董事会第三次会议审议通过；</w:t>
      </w:r>
    </w:p>
    <w:p w14:paraId="0ECC762A" w14:textId="77777777" w:rsidR="00C51D92" w:rsidRPr="00DA3766" w:rsidRDefault="00C51D92" w:rsidP="008A1B9E">
      <w:pPr>
        <w:pStyle w:val="005"/>
        <w:spacing w:before="120" w:after="120"/>
        <w:ind w:firstLine="480"/>
      </w:pPr>
      <w:r w:rsidRPr="00DA3766">
        <w:t>5</w:t>
      </w:r>
      <w:r w:rsidRPr="00DA3766">
        <w:t>、本次交易的正式方案已经标的公司股东大会审议通过；</w:t>
      </w:r>
    </w:p>
    <w:p w14:paraId="54DDDF0E" w14:textId="77777777" w:rsidR="00C51D92" w:rsidRPr="00DA3766" w:rsidRDefault="00C51D92" w:rsidP="00C51D92">
      <w:pPr>
        <w:pStyle w:val="005"/>
        <w:spacing w:before="120" w:after="120"/>
        <w:ind w:firstLine="480"/>
      </w:pPr>
      <w:r w:rsidRPr="00DA3766">
        <w:t>6</w:t>
      </w:r>
      <w:r w:rsidRPr="00DA3766">
        <w:t>、本次交易的正式方案已经上市公司</w:t>
      </w:r>
      <w:r w:rsidRPr="00DA3766">
        <w:t>2025</w:t>
      </w:r>
      <w:r w:rsidRPr="00DA3766">
        <w:t>年第三次临时股东会审议通过。</w:t>
      </w:r>
    </w:p>
    <w:p w14:paraId="5EC305F5" w14:textId="77777777" w:rsidR="00C51D92" w:rsidRPr="00DA3766" w:rsidRDefault="00C51D92" w:rsidP="00C51D92">
      <w:pPr>
        <w:pStyle w:val="003"/>
        <w:spacing w:before="120" w:after="120"/>
        <w:ind w:firstLine="482"/>
      </w:pPr>
      <w:r w:rsidRPr="00DA3766">
        <w:t>（二）本次交易尚需履行的程序</w:t>
      </w:r>
    </w:p>
    <w:p w14:paraId="7AC87B17" w14:textId="77777777" w:rsidR="00C51D92" w:rsidRPr="00DA3766" w:rsidRDefault="00C51D92" w:rsidP="008A1B9E">
      <w:pPr>
        <w:pStyle w:val="005"/>
        <w:spacing w:before="120" w:after="120"/>
        <w:ind w:firstLine="480"/>
      </w:pPr>
      <w:r w:rsidRPr="00DA3766">
        <w:t>1</w:t>
      </w:r>
      <w:r w:rsidRPr="00DA3766">
        <w:t>、标的公司完成公司形式由股份有限公司变更为有限责任公司的相关工商变更手续；</w:t>
      </w:r>
    </w:p>
    <w:p w14:paraId="7827218E" w14:textId="28F5AB7E" w:rsidR="00C51D92" w:rsidRPr="00DA3766" w:rsidRDefault="00C51D92" w:rsidP="008A1B9E">
      <w:pPr>
        <w:pStyle w:val="005"/>
        <w:spacing w:before="120" w:after="120"/>
        <w:ind w:firstLine="480"/>
      </w:pPr>
      <w:r w:rsidRPr="00DA3766">
        <w:t>2</w:t>
      </w:r>
      <w:r w:rsidRPr="00DA3766">
        <w:t>、本次交易经深交所审核通过并经中国证监会予以注册</w:t>
      </w:r>
      <w:r w:rsidR="000D663C" w:rsidRPr="00DA3766">
        <w:t>。</w:t>
      </w:r>
    </w:p>
    <w:p w14:paraId="103F3CB3" w14:textId="77777777" w:rsidR="00C51D92" w:rsidRPr="00DA3766" w:rsidRDefault="00C51D92" w:rsidP="00C51D92">
      <w:pPr>
        <w:pStyle w:val="003"/>
        <w:spacing w:before="120" w:after="120"/>
        <w:ind w:firstLine="482"/>
      </w:pPr>
      <w:r w:rsidRPr="00DA3766">
        <w:t>（三）本次交易不涉及其他主管部门的批准或核准</w:t>
      </w:r>
    </w:p>
    <w:p w14:paraId="309D66F8" w14:textId="65085918" w:rsidR="00494545" w:rsidRPr="00DA3766" w:rsidRDefault="00C51D92" w:rsidP="008A1B9E">
      <w:pPr>
        <w:pStyle w:val="005"/>
        <w:spacing w:before="120" w:after="120"/>
        <w:ind w:firstLine="480"/>
      </w:pPr>
      <w:r w:rsidRPr="00DA3766">
        <w:t>根据本次交易方案，本次交易不涉及外国投资者、外商投资性公司或国有企业，无需其他批准或核准程序。</w:t>
      </w:r>
    </w:p>
    <w:p w14:paraId="170EB42E" w14:textId="73C0B8E4"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重大事项提示</w:t>
      </w:r>
      <w:r w:rsidRPr="00DA3766">
        <w:rPr>
          <w:rFonts w:ascii="宋体" w:hAnsi="宋体"/>
        </w:rPr>
        <w:t>”</w:t>
      </w:r>
      <w:r w:rsidRPr="00DA3766">
        <w:t>之</w:t>
      </w:r>
      <w:r w:rsidRPr="00DA3766">
        <w:rPr>
          <w:rFonts w:ascii="宋体" w:hAnsi="宋体"/>
        </w:rPr>
        <w:t>“</w:t>
      </w:r>
      <w:r w:rsidRPr="00DA3766">
        <w:t>四、本次交易已履行的及尚需履行的决策和审批程序</w:t>
      </w:r>
      <w:r w:rsidRPr="00DA3766">
        <w:rPr>
          <w:rFonts w:ascii="宋体" w:hAnsi="宋体"/>
        </w:rPr>
        <w:t>”</w:t>
      </w:r>
      <w:r w:rsidRPr="00DA3766">
        <w:t>补充披露。</w:t>
      </w:r>
    </w:p>
    <w:p w14:paraId="3B4F2D8E" w14:textId="724ABBC6" w:rsidR="00E30288" w:rsidRPr="00DA3766" w:rsidRDefault="009D619E">
      <w:pPr>
        <w:pStyle w:val="001"/>
        <w:spacing w:before="120" w:after="120"/>
        <w:ind w:firstLine="480"/>
      </w:pPr>
      <w:bookmarkStart w:id="304" w:name="_Toc220344127"/>
      <w:r w:rsidRPr="00DA3766">
        <w:lastRenderedPageBreak/>
        <w:t>问题</w:t>
      </w:r>
      <w:r w:rsidRPr="00DA3766">
        <w:t>1</w:t>
      </w:r>
      <w:r w:rsidR="00494545" w:rsidRPr="00DA3766">
        <w:t>2</w:t>
      </w:r>
      <w:r w:rsidRPr="00DA3766">
        <w:t>、其他</w:t>
      </w:r>
      <w:bookmarkEnd w:id="304"/>
    </w:p>
    <w:p w14:paraId="7408BD9D" w14:textId="77777777" w:rsidR="00494545" w:rsidRPr="00DA3766" w:rsidRDefault="00494545" w:rsidP="00494545">
      <w:pPr>
        <w:pStyle w:val="0050"/>
        <w:spacing w:before="120" w:after="120"/>
        <w:ind w:firstLine="480"/>
      </w:pPr>
      <w:r w:rsidRPr="00DA3766">
        <w:t>请上市公司全面梳理</w:t>
      </w:r>
      <w:r w:rsidRPr="00DA3766">
        <w:rPr>
          <w:rFonts w:ascii="宋体" w:eastAsia="宋体" w:hAnsi="宋体"/>
        </w:rPr>
        <w:t>“</w:t>
      </w:r>
      <w:r w:rsidRPr="00DA3766">
        <w:t>重大风险提示</w:t>
      </w:r>
      <w:r w:rsidRPr="00DA3766">
        <w:rPr>
          <w:rFonts w:ascii="宋体" w:eastAsia="宋体" w:hAnsi="宋体"/>
        </w:rPr>
        <w:t>”</w:t>
      </w:r>
      <w:r w:rsidRPr="00DA3766">
        <w:t>各项内容，突出重大性，增强针对性，强化风险导向，按照重要性进行排序。</w:t>
      </w:r>
    </w:p>
    <w:p w14:paraId="1DBB9111" w14:textId="0E5F29F2" w:rsidR="00E30288" w:rsidRPr="00DA3766" w:rsidRDefault="00494545" w:rsidP="00494545">
      <w:pPr>
        <w:pStyle w:val="0050"/>
        <w:spacing w:before="120" w:after="120"/>
        <w:ind w:firstLine="480"/>
      </w:pPr>
      <w:r w:rsidRPr="00DA3766">
        <w:t>同时，请上市公司关注重组申请受理以来有关该项目的重大舆情等情况，请独立财务顾问对上述情况中涉及该项目信息披露的真实性、准确性、完整性等事项进行核查，并于答复本审核问询函时一并提交。若无重大舆情情况，也请予以书面说明。</w:t>
      </w:r>
    </w:p>
    <w:p w14:paraId="3FB90993" w14:textId="77777777" w:rsidR="00E30288" w:rsidRPr="00DA3766" w:rsidRDefault="009D619E">
      <w:pPr>
        <w:pStyle w:val="002"/>
        <w:spacing w:before="120" w:after="120"/>
        <w:ind w:firstLine="482"/>
      </w:pPr>
      <w:r w:rsidRPr="00DA3766">
        <w:t>一、请上市公司全面梳理</w:t>
      </w:r>
      <w:r w:rsidRPr="00DA3766">
        <w:rPr>
          <w:rFonts w:ascii="宋体" w:hAnsi="宋体"/>
        </w:rPr>
        <w:t>“</w:t>
      </w:r>
      <w:r w:rsidRPr="00DA3766">
        <w:t>重大风险提示</w:t>
      </w:r>
      <w:r w:rsidRPr="00DA3766">
        <w:rPr>
          <w:rFonts w:ascii="宋体" w:hAnsi="宋体"/>
        </w:rPr>
        <w:t>”</w:t>
      </w:r>
      <w:r w:rsidRPr="00DA3766">
        <w:t>各项内容，突出重大性，增强针对性，强化风险导向，按照重要性进行排序</w:t>
      </w:r>
    </w:p>
    <w:p w14:paraId="38B1226C" w14:textId="77777777" w:rsidR="00E30288" w:rsidRPr="00DA3766" w:rsidRDefault="009D619E" w:rsidP="008A1B9E">
      <w:pPr>
        <w:pStyle w:val="005"/>
        <w:spacing w:before="120" w:after="120"/>
        <w:ind w:firstLine="480"/>
      </w:pPr>
      <w:r w:rsidRPr="00DA3766">
        <w:t>上市公司已对重组报告书中</w:t>
      </w:r>
      <w:r w:rsidRPr="00DA3766">
        <w:rPr>
          <w:rFonts w:ascii="宋体" w:hAnsi="宋体"/>
        </w:rPr>
        <w:t>“</w:t>
      </w:r>
      <w:r w:rsidRPr="00DA3766">
        <w:t>重大风险提示</w:t>
      </w:r>
      <w:r w:rsidRPr="00DA3766">
        <w:rPr>
          <w:rFonts w:ascii="宋体" w:hAnsi="宋体"/>
        </w:rPr>
        <w:t>”</w:t>
      </w:r>
      <w:r w:rsidRPr="00DA3766">
        <w:t>及</w:t>
      </w:r>
      <w:r w:rsidRPr="00DA3766">
        <w:rPr>
          <w:rFonts w:ascii="宋体" w:hAnsi="宋体"/>
        </w:rPr>
        <w:t>“</w:t>
      </w:r>
      <w:r w:rsidRPr="00DA3766">
        <w:t>第十二节</w:t>
      </w:r>
      <w:r w:rsidRPr="00DA3766">
        <w:t xml:space="preserve"> </w:t>
      </w:r>
      <w:r w:rsidRPr="00DA3766">
        <w:t>风险因素</w:t>
      </w:r>
      <w:r w:rsidRPr="00DA3766">
        <w:rPr>
          <w:rFonts w:ascii="宋体" w:hAnsi="宋体"/>
        </w:rPr>
        <w:t>”</w:t>
      </w:r>
      <w:r w:rsidRPr="00DA3766">
        <w:t>各项内容进行全面梳理，并对风险揭示内容作进一步完善，以突出重大性，增强针对性，强化风险导向，并将各项风险因素按照重要性的原则重新排序。</w:t>
      </w:r>
    </w:p>
    <w:p w14:paraId="7E8250CA" w14:textId="77777777" w:rsidR="00E30288" w:rsidRPr="00DA3766" w:rsidRDefault="009D619E">
      <w:pPr>
        <w:pStyle w:val="002"/>
        <w:spacing w:before="120" w:after="120"/>
        <w:ind w:firstLine="482"/>
      </w:pPr>
      <w:r w:rsidRPr="00DA3766">
        <w:t>二、请上市公司关注重组申请受理以来有关该项目的重大舆情等情况，请独立财务顾问对上述情况中涉及该项目信息披露的真实性、准确性、完整性等事项进行核查，并于答复本审核问询函时一并提交。若无重大舆情情况，也请予以书面说明</w:t>
      </w:r>
    </w:p>
    <w:p w14:paraId="68624121" w14:textId="77777777" w:rsidR="00E30288" w:rsidRPr="00DA3766" w:rsidRDefault="009D619E">
      <w:pPr>
        <w:pStyle w:val="003"/>
        <w:spacing w:before="120" w:after="120"/>
        <w:ind w:firstLine="482"/>
      </w:pPr>
      <w:r w:rsidRPr="00DA3766">
        <w:t>（一）重大舆情情况</w:t>
      </w:r>
    </w:p>
    <w:p w14:paraId="1C69709F" w14:textId="00306459" w:rsidR="00E30288" w:rsidRPr="00DA3766" w:rsidRDefault="009D619E" w:rsidP="008A1B9E">
      <w:pPr>
        <w:pStyle w:val="005"/>
        <w:spacing w:before="120" w:after="120"/>
        <w:ind w:firstLine="480"/>
      </w:pPr>
      <w:r w:rsidRPr="00DA3766">
        <w:t>自本次重组申请获得深圳证券交易所受理至</w:t>
      </w:r>
      <w:r w:rsidR="00657AF5" w:rsidRPr="00DA3766">
        <w:t>本回复出具之日</w:t>
      </w:r>
      <w:r w:rsidRPr="00DA3766">
        <w:t>，上市公司及独立财务顾问持续关注媒体报道，并通过网络检索等方式对本次重组相关的舆情进行了核查。经自查，相关媒体报道不存在对项目信息披露真实性、准确性、完整性提出质疑的情况，不存在重大舆情情况。</w:t>
      </w:r>
    </w:p>
    <w:p w14:paraId="1412513E" w14:textId="77777777" w:rsidR="00E30288" w:rsidRPr="00DA3766" w:rsidRDefault="009D619E">
      <w:pPr>
        <w:pStyle w:val="003"/>
        <w:spacing w:before="120" w:after="120"/>
        <w:ind w:firstLine="482"/>
      </w:pPr>
      <w:r w:rsidRPr="00DA3766">
        <w:t>（二）独立财务顾问核查意见</w:t>
      </w:r>
    </w:p>
    <w:p w14:paraId="1DC363F5" w14:textId="77777777" w:rsidR="00E30288" w:rsidRPr="00DA3766" w:rsidRDefault="009D619E">
      <w:pPr>
        <w:pStyle w:val="004"/>
        <w:spacing w:before="120" w:after="120"/>
        <w:ind w:firstLine="482"/>
      </w:pPr>
      <w:r w:rsidRPr="00DA3766">
        <w:t>1</w:t>
      </w:r>
      <w:r w:rsidRPr="00DA3766">
        <w:t>、核查程序</w:t>
      </w:r>
    </w:p>
    <w:p w14:paraId="6BDE7CD3" w14:textId="4B766F22" w:rsidR="00E30288" w:rsidRPr="00DA3766" w:rsidRDefault="009D619E" w:rsidP="008A1B9E">
      <w:pPr>
        <w:pStyle w:val="005"/>
        <w:spacing w:before="120" w:after="120"/>
        <w:ind w:firstLine="480"/>
      </w:pPr>
      <w:r w:rsidRPr="00DA3766">
        <w:t>通过网络检索等方式对自上市公司本次重组申请受理日至</w:t>
      </w:r>
      <w:r w:rsidR="00657AF5" w:rsidRPr="00DA3766">
        <w:t>本回复出具之日</w:t>
      </w:r>
      <w:r w:rsidRPr="00DA3766">
        <w:t>相关媒体报道的情况进行检索核查，对检索获得的媒体报道内容进行阅读和分析，并对比了本次交易申请相关文件。</w:t>
      </w:r>
    </w:p>
    <w:p w14:paraId="5167AE27" w14:textId="77777777" w:rsidR="00E30288" w:rsidRPr="00DA3766" w:rsidRDefault="009D619E">
      <w:pPr>
        <w:pStyle w:val="004"/>
        <w:spacing w:before="120" w:after="120"/>
        <w:ind w:firstLine="482"/>
      </w:pPr>
      <w:r w:rsidRPr="00DA3766">
        <w:lastRenderedPageBreak/>
        <w:t>2</w:t>
      </w:r>
      <w:r w:rsidRPr="00DA3766">
        <w:t>、核查意见</w:t>
      </w:r>
    </w:p>
    <w:p w14:paraId="1190DF9E" w14:textId="77777777" w:rsidR="00E30288" w:rsidRPr="00DA3766" w:rsidRDefault="009D619E" w:rsidP="008A1B9E">
      <w:pPr>
        <w:pStyle w:val="005"/>
        <w:spacing w:before="120" w:after="120"/>
        <w:ind w:firstLine="480"/>
      </w:pPr>
      <w:r w:rsidRPr="00DA3766">
        <w:t>经核查，独立财务顾问认为：</w:t>
      </w:r>
    </w:p>
    <w:p w14:paraId="7DDF74E1" w14:textId="1BAEB7E3" w:rsidR="00E30288" w:rsidRPr="00DA3766" w:rsidRDefault="009D619E" w:rsidP="008A1B9E">
      <w:pPr>
        <w:pStyle w:val="005"/>
        <w:spacing w:before="120" w:after="120"/>
        <w:ind w:firstLine="480"/>
      </w:pPr>
      <w:r w:rsidRPr="00DA3766">
        <w:t>自本次重组申请受理日至</w:t>
      </w:r>
      <w:r w:rsidR="00657AF5" w:rsidRPr="00DA3766">
        <w:t>本回复出具之日</w:t>
      </w:r>
      <w:r w:rsidRPr="00DA3766">
        <w:t>，不存在有关本次交易的重大舆情或媒体质疑，未出现与本次交易相关信息披露存在重大差异或者所涉事项可能对本次交易产生重大影响的重大媒体报道或市场传闻，亦未出现媒体等对公司本次交易信息披露的真实性、准确性、完整性提出质疑的情况。</w:t>
      </w:r>
    </w:p>
    <w:p w14:paraId="0093DCB2" w14:textId="77777777" w:rsidR="00E30288" w:rsidRPr="00DA3766" w:rsidRDefault="009D619E" w:rsidP="008A1B9E">
      <w:pPr>
        <w:pStyle w:val="005"/>
        <w:spacing w:before="120" w:after="120"/>
        <w:ind w:firstLine="480"/>
      </w:pPr>
      <w:r w:rsidRPr="00DA3766">
        <w:t>（以下无正文）</w:t>
      </w:r>
    </w:p>
    <w:p w14:paraId="43863D01" w14:textId="77777777" w:rsidR="00E30288" w:rsidRPr="00DA3766" w:rsidRDefault="00E30288">
      <w:pPr>
        <w:pStyle w:val="005"/>
        <w:spacing w:before="120" w:after="120"/>
        <w:ind w:firstLine="480"/>
        <w:sectPr w:rsidR="00E30288" w:rsidRPr="00DA3766">
          <w:pgSz w:w="11906" w:h="16838"/>
          <w:pgMar w:top="1440" w:right="1797" w:bottom="1440" w:left="1797" w:header="851" w:footer="992" w:gutter="0"/>
          <w:cols w:space="425"/>
          <w:docGrid w:linePitch="312"/>
        </w:sectPr>
      </w:pPr>
    </w:p>
    <w:p w14:paraId="0FDF2CE1" w14:textId="03983BE1" w:rsidR="00E30288" w:rsidRPr="00DA3766" w:rsidRDefault="00766F43">
      <w:pPr>
        <w:pageBreakBefore/>
        <w:spacing w:before="120" w:after="120"/>
        <w:ind w:firstLineChars="0" w:firstLine="0"/>
        <w:jc w:val="both"/>
        <w:rPr>
          <w:rFonts w:ascii="Times New Roman" w:hAnsi="Times New Roman" w:cs="Times New Roman"/>
        </w:rPr>
      </w:pPr>
      <w:r>
        <w:rPr>
          <w:rFonts w:ascii="Times New Roman" w:hAnsi="Times New Roman" w:cs="Times New Roman"/>
          <w:noProof/>
          <w:szCs w:val="22"/>
          <w:lang w:val="zh-CN"/>
        </w:rPr>
        <w:lastRenderedPageBreak/>
        <w:drawing>
          <wp:anchor distT="0" distB="0" distL="114300" distR="114300" simplePos="0" relativeHeight="251659776" behindDoc="0" locked="0" layoutInCell="1" allowOverlap="1" wp14:anchorId="4D7850E9" wp14:editId="23ECAC56">
            <wp:simplePos x="0" y="0"/>
            <wp:positionH relativeFrom="column">
              <wp:posOffset>-1141095</wp:posOffset>
            </wp:positionH>
            <wp:positionV relativeFrom="paragraph">
              <wp:posOffset>-913765</wp:posOffset>
            </wp:positionV>
            <wp:extent cx="7559621" cy="9410700"/>
            <wp:effectExtent l="0" t="0" r="3810" b="0"/>
            <wp:wrapNone/>
            <wp:docPr id="19819056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905629" name="图片 1981905629"/>
                    <pic:cNvPicPr/>
                  </pic:nvPicPr>
                  <pic:blipFill rotWithShape="1">
                    <a:blip r:embed="rId91" cstate="print">
                      <a:extLst>
                        <a:ext uri="{28A0092B-C50C-407E-A947-70E740481C1C}">
                          <a14:useLocalDpi xmlns:a14="http://schemas.microsoft.com/office/drawing/2010/main" val="0"/>
                        </a:ext>
                      </a:extLst>
                    </a:blip>
                    <a:srcRect b="16558"/>
                    <a:stretch>
                      <a:fillRect/>
                    </a:stretch>
                  </pic:blipFill>
                  <pic:spPr bwMode="auto">
                    <a:xfrm>
                      <a:off x="0" y="0"/>
                      <a:ext cx="7559621" cy="9410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19E" w:rsidRPr="00DA3766">
        <w:rPr>
          <w:rFonts w:ascii="Times New Roman" w:hAnsi="Times New Roman" w:cs="Times New Roman"/>
          <w:szCs w:val="22"/>
        </w:rPr>
        <w:t>（</w:t>
      </w:r>
      <w:r w:rsidR="00E74C2F" w:rsidRPr="00E74C2F">
        <w:rPr>
          <w:rFonts w:ascii="Times New Roman" w:hAnsi="Times New Roman" w:cs="Times New Roman"/>
          <w:szCs w:val="22"/>
        </w:rPr>
        <w:t>本页无正文，为《广东天亿马信息产业股份有限公司关于深圳证券交易所</w:t>
      </w:r>
      <w:r w:rsidR="00E74C2F" w:rsidRPr="00E74C2F">
        <w:rPr>
          <w:rFonts w:ascii="Times New Roman" w:hAnsi="Times New Roman" w:cs="Times New Roman"/>
          <w:szCs w:val="22"/>
        </w:rPr>
        <w:t>&lt;</w:t>
      </w:r>
      <w:r w:rsidR="00E74C2F" w:rsidRPr="00E74C2F">
        <w:rPr>
          <w:rFonts w:ascii="Times New Roman" w:hAnsi="Times New Roman" w:cs="Times New Roman"/>
          <w:szCs w:val="22"/>
        </w:rPr>
        <w:t>关于广东天亿马信息产业股份有限公司发行股份及支付现金购买资产并募集配套资金申请的审核问询函</w:t>
      </w:r>
      <w:r w:rsidR="00E74C2F" w:rsidRPr="00E74C2F">
        <w:rPr>
          <w:rFonts w:ascii="Times New Roman" w:hAnsi="Times New Roman" w:cs="Times New Roman"/>
          <w:szCs w:val="22"/>
        </w:rPr>
        <w:t>&gt;</w:t>
      </w:r>
      <w:r w:rsidR="00E74C2F" w:rsidRPr="00E74C2F">
        <w:rPr>
          <w:rFonts w:ascii="Times New Roman" w:hAnsi="Times New Roman" w:cs="Times New Roman"/>
          <w:szCs w:val="22"/>
        </w:rPr>
        <w:t>之回复》之签字盖章页</w:t>
      </w:r>
      <w:r w:rsidR="009D619E" w:rsidRPr="00DA3766">
        <w:rPr>
          <w:rFonts w:ascii="Times New Roman" w:hAnsi="Times New Roman" w:cs="Times New Roman"/>
          <w:szCs w:val="22"/>
        </w:rPr>
        <w:t>）</w:t>
      </w:r>
    </w:p>
    <w:p w14:paraId="29F2F294" w14:textId="50456E5E"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6850ED55" w14:textId="2460F306"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03ADC05B"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3BB91ACE" w14:textId="29E9A629"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47463012"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6AAEF735"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554E8FD5"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41F0C794"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4D255381"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2C01546E"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4A10CE43"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01C5B311"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187334AC"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16B86562"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3B16223D"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5B2C5C7E"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4FE541E9"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291E7651" w14:textId="77777777" w:rsidR="00E74C2F" w:rsidRPr="00E74C2F" w:rsidRDefault="00E74C2F" w:rsidP="00E74C2F">
      <w:pPr>
        <w:widowControl w:val="0"/>
        <w:spacing w:beforeLines="0" w:before="0" w:afterLines="0" w:after="0" w:line="240" w:lineRule="auto"/>
        <w:ind w:firstLineChars="0" w:firstLine="0"/>
        <w:jc w:val="center"/>
        <w:rPr>
          <w:rFonts w:ascii="Times New Roman" w:hAnsi="Times New Roman" w:cs="Times New Roman"/>
          <w:kern w:val="2"/>
          <w:szCs w:val="22"/>
        </w:rPr>
      </w:pPr>
    </w:p>
    <w:p w14:paraId="10ADBFC5" w14:textId="77777777" w:rsidR="00E74C2F" w:rsidRPr="00E74C2F" w:rsidRDefault="00E74C2F" w:rsidP="00E74C2F">
      <w:pPr>
        <w:widowControl w:val="0"/>
        <w:adjustRightInd w:val="0"/>
        <w:snapToGrid w:val="0"/>
        <w:spacing w:before="120" w:afterLines="0" w:after="160"/>
        <w:ind w:firstLine="480"/>
        <w:jc w:val="right"/>
        <w:rPr>
          <w:rFonts w:ascii="Times New Roman" w:hAnsi="Times New Roman" w:cs="Times New Roman"/>
          <w:color w:val="000000"/>
          <w:kern w:val="2"/>
        </w:rPr>
      </w:pPr>
      <w:r w:rsidRPr="00E74C2F">
        <w:rPr>
          <w:rFonts w:ascii="Times New Roman" w:hAnsi="Times New Roman" w:cs="Times New Roman"/>
          <w:color w:val="000000"/>
          <w:kern w:val="2"/>
        </w:rPr>
        <w:t>广东天亿马信息产业股份有限公司</w:t>
      </w:r>
    </w:p>
    <w:p w14:paraId="74A2A0D6" w14:textId="77777777" w:rsidR="00E74C2F" w:rsidRPr="00E74C2F" w:rsidRDefault="00E74C2F" w:rsidP="00E74C2F">
      <w:pPr>
        <w:widowControl w:val="0"/>
        <w:adjustRightInd w:val="0"/>
        <w:snapToGrid w:val="0"/>
        <w:spacing w:before="120" w:afterLines="0" w:after="160"/>
        <w:ind w:firstLine="480"/>
        <w:jc w:val="right"/>
        <w:rPr>
          <w:rFonts w:ascii="Times New Roman" w:hAnsi="Times New Roman" w:cs="Times New Roman"/>
          <w:color w:val="000000"/>
          <w:kern w:val="2"/>
        </w:rPr>
      </w:pPr>
    </w:p>
    <w:p w14:paraId="1E011B65" w14:textId="77777777" w:rsidR="00E74C2F" w:rsidRPr="00E74C2F" w:rsidRDefault="00E74C2F" w:rsidP="00E74C2F">
      <w:pPr>
        <w:widowControl w:val="0"/>
        <w:adjustRightInd w:val="0"/>
        <w:snapToGrid w:val="0"/>
        <w:spacing w:before="120" w:afterLines="0" w:after="160"/>
        <w:ind w:firstLine="480"/>
        <w:jc w:val="right"/>
        <w:rPr>
          <w:rFonts w:ascii="Times New Roman" w:hAnsi="Times New Roman" w:cs="Times New Roman"/>
          <w:color w:val="000000"/>
          <w:kern w:val="2"/>
        </w:rPr>
      </w:pPr>
      <w:r w:rsidRPr="00E74C2F">
        <w:rPr>
          <w:rFonts w:ascii="Times New Roman" w:hAnsi="Times New Roman" w:cs="Times New Roman"/>
          <w:color w:val="000000"/>
          <w:kern w:val="2"/>
        </w:rPr>
        <w:t>法定代表人：</w:t>
      </w:r>
      <w:r w:rsidRPr="00E74C2F">
        <w:rPr>
          <w:rFonts w:ascii="Times New Roman" w:hAnsi="Times New Roman" w:cs="Times New Roman"/>
          <w:color w:val="000000"/>
          <w:kern w:val="2"/>
        </w:rPr>
        <w:t>________________</w:t>
      </w:r>
    </w:p>
    <w:p w14:paraId="2B84A9AA" w14:textId="77777777" w:rsidR="00E74C2F" w:rsidRPr="00E74C2F" w:rsidRDefault="00E74C2F" w:rsidP="00E74C2F">
      <w:pPr>
        <w:widowControl w:val="0"/>
        <w:adjustRightInd w:val="0"/>
        <w:snapToGrid w:val="0"/>
        <w:spacing w:before="120" w:afterLines="0" w:after="160"/>
        <w:ind w:firstLineChars="2933" w:firstLine="7039"/>
        <w:rPr>
          <w:rFonts w:ascii="Times New Roman" w:hAnsi="Times New Roman" w:cs="Times New Roman"/>
          <w:color w:val="000000"/>
          <w:kern w:val="2"/>
        </w:rPr>
      </w:pPr>
      <w:r w:rsidRPr="00E74C2F">
        <w:rPr>
          <w:rFonts w:ascii="Times New Roman" w:hAnsi="Times New Roman" w:cs="Times New Roman"/>
          <w:color w:val="000000"/>
          <w:kern w:val="2"/>
        </w:rPr>
        <w:t>林明玲</w:t>
      </w:r>
    </w:p>
    <w:p w14:paraId="1B6DAC89" w14:textId="77777777" w:rsidR="00E74C2F" w:rsidRPr="00E74C2F" w:rsidRDefault="00E74C2F" w:rsidP="00E74C2F">
      <w:pPr>
        <w:widowControl w:val="0"/>
        <w:adjustRightInd w:val="0"/>
        <w:snapToGrid w:val="0"/>
        <w:spacing w:before="120" w:afterLines="0" w:after="160"/>
        <w:ind w:firstLine="480"/>
        <w:jc w:val="right"/>
        <w:rPr>
          <w:rFonts w:ascii="Times New Roman" w:hAnsi="Times New Roman" w:cs="Times New Roman"/>
          <w:color w:val="000000"/>
          <w:kern w:val="2"/>
        </w:rPr>
      </w:pPr>
    </w:p>
    <w:p w14:paraId="7E59848B" w14:textId="1F6876BF" w:rsidR="00E30288" w:rsidRPr="00E74C2F" w:rsidRDefault="00E74C2F" w:rsidP="00E74C2F">
      <w:pPr>
        <w:widowControl w:val="0"/>
        <w:adjustRightInd w:val="0"/>
        <w:snapToGrid w:val="0"/>
        <w:spacing w:before="120" w:afterLines="0" w:after="160"/>
        <w:ind w:firstLine="480"/>
        <w:jc w:val="right"/>
        <w:rPr>
          <w:rFonts w:ascii="Times New Roman" w:hAnsi="Times New Roman" w:cs="Times New Roman"/>
          <w:color w:val="000000"/>
          <w:kern w:val="2"/>
        </w:rPr>
      </w:pPr>
      <w:r w:rsidRPr="00E74C2F">
        <w:rPr>
          <w:rFonts w:ascii="Times New Roman" w:hAnsi="Times New Roman" w:cs="Times New Roman"/>
          <w:color w:val="000000"/>
          <w:kern w:val="2"/>
        </w:rPr>
        <w:t>年</w:t>
      </w:r>
      <w:r w:rsidRPr="00E74C2F">
        <w:rPr>
          <w:rFonts w:ascii="Times New Roman" w:hAnsi="Times New Roman" w:cs="Times New Roman"/>
          <w:color w:val="000000"/>
          <w:kern w:val="2"/>
        </w:rPr>
        <w:t xml:space="preserve">      </w:t>
      </w:r>
      <w:r w:rsidRPr="00E74C2F">
        <w:rPr>
          <w:rFonts w:ascii="Times New Roman" w:hAnsi="Times New Roman" w:cs="Times New Roman"/>
          <w:color w:val="000000"/>
          <w:kern w:val="2"/>
        </w:rPr>
        <w:t>月</w:t>
      </w:r>
      <w:r w:rsidRPr="00E74C2F">
        <w:rPr>
          <w:rFonts w:ascii="Times New Roman" w:hAnsi="Times New Roman" w:cs="Times New Roman"/>
          <w:color w:val="000000"/>
          <w:kern w:val="2"/>
        </w:rPr>
        <w:t xml:space="preserve">      </w:t>
      </w:r>
      <w:r w:rsidRPr="00E74C2F">
        <w:rPr>
          <w:rFonts w:ascii="Times New Roman" w:hAnsi="Times New Roman" w:cs="Times New Roman"/>
          <w:color w:val="000000"/>
          <w:kern w:val="2"/>
        </w:rPr>
        <w:t>日</w:t>
      </w:r>
    </w:p>
    <w:sectPr w:rsidR="00E30288" w:rsidRPr="00E74C2F">
      <w:pgSz w:w="11910" w:h="16840"/>
      <w:pgMar w:top="1440" w:right="1797" w:bottom="1440" w:left="1797" w:header="851" w:footer="992" w:gutter="0"/>
      <w:cols w:space="720"/>
      <w:docGrid w:linePitch="299"/>
    </w:sectPr>
  </w:body>
</w:document>
</file>

<file path=word/customizations.xml><?xml version="1.0" encoding="utf-8"?>
<wne:tcg xmlns:r="http://schemas.openxmlformats.org/officeDocument/2006/relationships" xmlns:wne="http://schemas.microsoft.com/office/word/2006/wordml">
  <wne:keymaps>
    <wne:keymap wne:kcmPrimary="0231">
      <wne:macro wne:macroName="NORMAL.NEWMACROS.标题1"/>
    </wne:keymap>
    <wne:keymap wne:kcmPrimary="0232">
      <wne:macro wne:macroName="NORMAL.NEWMACROS.标题2"/>
    </wne:keymap>
    <wne:keymap wne:kcmPrimary="0233">
      <wne:macro wne:macroName="NORMAL.NEWMACROS.标题3"/>
    </wne:keymap>
    <wne:keymap wne:kcmPrimary="0234">
      <wne:macro wne:macroName="NORMAL.NEWMACROS.标题4"/>
    </wne:keymap>
    <wne:keymap wne:kcmPrimary="0235">
      <wne:macro wne:macroName="NORMAL.NEWMACROS.标题5"/>
    </wne:keymap>
    <wne:keymap wne:kcmPrimary="0236">
      <wne:macro wne:macroName="NORMAL.NEWMACROS.标题6"/>
    </wne:keymap>
    <wne:keymap wne:kcmPrimary="0237">
      <wne:macro wne:macroName="NORMAL.NEWMACROS.表格前单位"/>
    </wne:keymap>
    <wne:keymap wne:kcmPrimary="0238">
      <wne:macro wne:macroName="NORMAL.NEWMACROS.表格后说明"/>
    </wne:keymap>
    <wne:keymap wne:kcmPrimary="02C0">
      <wne:macro wne:macroName="NORMAL.NEWMACROS.正文"/>
    </wne:keymap>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2A8CD" w14:textId="77777777" w:rsidR="00A54520" w:rsidRDefault="00A54520">
      <w:pPr>
        <w:spacing w:before="120" w:after="120" w:line="240" w:lineRule="auto"/>
        <w:ind w:firstLine="480"/>
        <w:rPr>
          <w:rFonts w:hint="eastAsia"/>
        </w:rPr>
      </w:pPr>
      <w:r>
        <w:separator/>
      </w:r>
    </w:p>
  </w:endnote>
  <w:endnote w:type="continuationSeparator" w:id="0">
    <w:p w14:paraId="0E237B31" w14:textId="77777777" w:rsidR="00A54520" w:rsidRDefault="00A54520">
      <w:pPr>
        <w:spacing w:before="120" w:after="120"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3D7A1" w14:textId="77777777" w:rsidR="00635015" w:rsidRDefault="00635015">
    <w:pPr>
      <w:pStyle w:val="af"/>
      <w:framePr w:wrap="around" w:vAnchor="text" w:hAnchor="margin" w:xAlign="center" w:y="1"/>
      <w:spacing w:before="120" w:after="120"/>
      <w:ind w:firstLine="360"/>
      <w:rPr>
        <w:rStyle w:val="afe"/>
        <w:rFonts w:hint="eastAsia"/>
      </w:rPr>
    </w:pPr>
    <w:r>
      <w:rPr>
        <w:rStyle w:val="afe"/>
      </w:rPr>
      <w:fldChar w:fldCharType="begin"/>
    </w:r>
    <w:r>
      <w:rPr>
        <w:rStyle w:val="afe"/>
      </w:rPr>
      <w:instrText xml:space="preserve">PAGE  </w:instrText>
    </w:r>
    <w:r>
      <w:rPr>
        <w:rStyle w:val="afe"/>
      </w:rPr>
      <w:fldChar w:fldCharType="separate"/>
    </w:r>
    <w:r>
      <w:rPr>
        <w:rStyle w:val="afe"/>
      </w:rPr>
      <w:t>2</w:t>
    </w:r>
    <w:r>
      <w:rPr>
        <w:rStyle w:val="afe"/>
      </w:rPr>
      <w:fldChar w:fldCharType="end"/>
    </w:r>
  </w:p>
  <w:p w14:paraId="5F743672" w14:textId="77777777" w:rsidR="00635015" w:rsidRDefault="00635015">
    <w:pPr>
      <w:pStyle w:val="af"/>
      <w:spacing w:before="120" w:after="12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7237F" w14:textId="77777777" w:rsidR="00635015" w:rsidRDefault="00635015" w:rsidP="004C2193">
    <w:pPr>
      <w:pStyle w:val="006"/>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1F580" w14:textId="77777777" w:rsidR="00635015" w:rsidRDefault="00635015">
    <w:pPr>
      <w:pStyle w:val="af"/>
      <w:spacing w:before="120" w:after="120"/>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E8B88" w14:textId="2B73FF5D" w:rsidR="00635015" w:rsidRPr="00766F43" w:rsidRDefault="00000000" w:rsidP="00A81CC2">
    <w:pPr>
      <w:pStyle w:val="af"/>
      <w:spacing w:beforeLines="0" w:before="0" w:afterLines="0" w:after="0"/>
      <w:ind w:firstLineChars="0" w:firstLine="0"/>
      <w:jc w:val="center"/>
      <w:rPr>
        <w:rFonts w:ascii="Times New Roman" w:hAnsi="Times New Roman" w:cs="Times New Roman"/>
        <w:sz w:val="21"/>
        <w:szCs w:val="21"/>
      </w:rPr>
    </w:pPr>
    <w:sdt>
      <w:sdtPr>
        <w:rPr>
          <w:rFonts w:ascii="Times New Roman" w:hAnsi="Times New Roman" w:cs="Times New Roman"/>
          <w:sz w:val="21"/>
          <w:szCs w:val="21"/>
        </w:rPr>
        <w:id w:val="-729068307"/>
        <w:docPartObj>
          <w:docPartGallery w:val="Page Numbers (Bottom of Page)"/>
          <w:docPartUnique/>
        </w:docPartObj>
      </w:sdtPr>
      <w:sdtContent>
        <w:r w:rsidR="00635015" w:rsidRPr="00766F43">
          <w:rPr>
            <w:rFonts w:ascii="Times New Roman" w:hAnsi="Times New Roman" w:cs="Times New Roman"/>
            <w:sz w:val="21"/>
            <w:szCs w:val="21"/>
          </w:rPr>
          <w:fldChar w:fldCharType="begin"/>
        </w:r>
        <w:r w:rsidR="00635015" w:rsidRPr="00766F43">
          <w:rPr>
            <w:rFonts w:ascii="Times New Roman" w:hAnsi="Times New Roman" w:cs="Times New Roman"/>
            <w:sz w:val="21"/>
            <w:szCs w:val="21"/>
          </w:rPr>
          <w:instrText>PAGE   \* MERGEFORMAT</w:instrText>
        </w:r>
        <w:r w:rsidR="00635015" w:rsidRPr="00766F43">
          <w:rPr>
            <w:rFonts w:ascii="Times New Roman" w:hAnsi="Times New Roman" w:cs="Times New Roman"/>
            <w:sz w:val="21"/>
            <w:szCs w:val="21"/>
          </w:rPr>
          <w:fldChar w:fldCharType="separate"/>
        </w:r>
        <w:r w:rsidR="00CE67C9" w:rsidRPr="00766F43">
          <w:rPr>
            <w:rFonts w:ascii="Times New Roman" w:hAnsi="Times New Roman" w:cs="Times New Roman"/>
            <w:noProof/>
            <w:sz w:val="21"/>
            <w:szCs w:val="21"/>
            <w:lang w:val="zh-CN"/>
          </w:rPr>
          <w:t>2</w:t>
        </w:r>
        <w:r w:rsidR="00635015" w:rsidRPr="00766F43">
          <w:rPr>
            <w:rFonts w:ascii="Times New Roman" w:hAnsi="Times New Roman" w:cs="Times New Roman"/>
            <w:sz w:val="21"/>
            <w:szCs w:val="21"/>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B7AB6" w14:textId="77777777" w:rsidR="00A54520" w:rsidRDefault="00A54520">
      <w:pPr>
        <w:spacing w:before="120" w:after="120"/>
        <w:ind w:firstLine="480"/>
        <w:rPr>
          <w:rFonts w:hint="eastAsia"/>
        </w:rPr>
      </w:pPr>
      <w:r>
        <w:separator/>
      </w:r>
    </w:p>
  </w:footnote>
  <w:footnote w:type="continuationSeparator" w:id="0">
    <w:p w14:paraId="71E52184" w14:textId="77777777" w:rsidR="00A54520" w:rsidRDefault="00A54520">
      <w:pPr>
        <w:spacing w:before="120" w:after="120"/>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F88F" w14:textId="77777777" w:rsidR="00635015" w:rsidRDefault="00635015">
    <w:pPr>
      <w:pStyle w:val="af1"/>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725F4" w14:textId="77777777" w:rsidR="00635015" w:rsidRDefault="00635015" w:rsidP="00A81CC2">
    <w:pPr>
      <w:pStyle w:val="af1"/>
      <w:spacing w:beforeLines="0" w:before="0" w:afterLines="0" w:after="0"/>
      <w:ind w:firstLineChars="0" w:firstLine="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25D85" w14:textId="77777777" w:rsidR="00635015" w:rsidRDefault="00635015">
    <w:pPr>
      <w:pStyle w:val="af1"/>
      <w:spacing w:before="120" w:after="120"/>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640107"/>
    <w:multiLevelType w:val="singleLevel"/>
    <w:tmpl w:val="98640107"/>
    <w:lvl w:ilvl="0">
      <w:start w:val="2"/>
      <w:numFmt w:val="decimal"/>
      <w:suff w:val="space"/>
      <w:lvlText w:val="%1."/>
      <w:lvlJc w:val="left"/>
      <w:pPr>
        <w:ind w:left="420" w:firstLine="0"/>
      </w:pPr>
    </w:lvl>
  </w:abstractNum>
  <w:abstractNum w:abstractNumId="1" w15:restartNumberingAfterBreak="0">
    <w:nsid w:val="B24218A5"/>
    <w:multiLevelType w:val="singleLevel"/>
    <w:tmpl w:val="B24218A5"/>
    <w:lvl w:ilvl="0">
      <w:start w:val="2"/>
      <w:numFmt w:val="decimal"/>
      <w:suff w:val="nothing"/>
      <w:lvlText w:val="%1、"/>
      <w:lvlJc w:val="left"/>
    </w:lvl>
  </w:abstractNum>
  <w:abstractNum w:abstractNumId="2" w15:restartNumberingAfterBreak="0">
    <w:nsid w:val="C72B4BA5"/>
    <w:multiLevelType w:val="singleLevel"/>
    <w:tmpl w:val="C72B4BA5"/>
    <w:lvl w:ilvl="0">
      <w:start w:val="1"/>
      <w:numFmt w:val="chineseCounting"/>
      <w:suff w:val="nothing"/>
      <w:lvlText w:val="（%1）"/>
      <w:lvlJc w:val="left"/>
      <w:rPr>
        <w:rFonts w:hint="eastAsia"/>
      </w:rPr>
    </w:lvl>
  </w:abstractNum>
  <w:abstractNum w:abstractNumId="3" w15:restartNumberingAfterBreak="0">
    <w:nsid w:val="CBEFB6DE"/>
    <w:multiLevelType w:val="singleLevel"/>
    <w:tmpl w:val="CBEFB6DE"/>
    <w:lvl w:ilvl="0">
      <w:start w:val="1"/>
      <w:numFmt w:val="decimal"/>
      <w:suff w:val="nothing"/>
      <w:lvlText w:val="%1、"/>
      <w:lvlJc w:val="left"/>
    </w:lvl>
  </w:abstractNum>
  <w:abstractNum w:abstractNumId="4" w15:restartNumberingAfterBreak="0">
    <w:nsid w:val="D88C0688"/>
    <w:multiLevelType w:val="singleLevel"/>
    <w:tmpl w:val="D88C0688"/>
    <w:lvl w:ilvl="0">
      <w:start w:val="1"/>
      <w:numFmt w:val="decimal"/>
      <w:suff w:val="nothing"/>
      <w:lvlText w:val="%1、"/>
      <w:lvlJc w:val="left"/>
    </w:lvl>
  </w:abstractNum>
  <w:abstractNum w:abstractNumId="5" w15:restartNumberingAfterBreak="0">
    <w:nsid w:val="F2D77DCC"/>
    <w:multiLevelType w:val="singleLevel"/>
    <w:tmpl w:val="F2D77DCC"/>
    <w:lvl w:ilvl="0">
      <w:start w:val="1"/>
      <w:numFmt w:val="decimal"/>
      <w:suff w:val="nothing"/>
      <w:lvlText w:val="%1、"/>
      <w:lvlJc w:val="left"/>
    </w:lvl>
  </w:abstractNum>
  <w:abstractNum w:abstractNumId="6" w15:restartNumberingAfterBreak="0">
    <w:nsid w:val="FDF6F827"/>
    <w:multiLevelType w:val="singleLevel"/>
    <w:tmpl w:val="FDF6F827"/>
    <w:lvl w:ilvl="0">
      <w:start w:val="1"/>
      <w:numFmt w:val="decimal"/>
      <w:suff w:val="nothing"/>
      <w:lvlText w:val="（%1）"/>
      <w:lvlJc w:val="left"/>
    </w:lvl>
  </w:abstractNum>
  <w:abstractNum w:abstractNumId="7" w15:restartNumberingAfterBreak="0">
    <w:nsid w:val="017D529B"/>
    <w:multiLevelType w:val="singleLevel"/>
    <w:tmpl w:val="017D529B"/>
    <w:lvl w:ilvl="0">
      <w:start w:val="1"/>
      <w:numFmt w:val="decimal"/>
      <w:suff w:val="nothing"/>
      <w:lvlText w:val="%1、"/>
      <w:lvlJc w:val="left"/>
    </w:lvl>
  </w:abstractNum>
  <w:abstractNum w:abstractNumId="8" w15:restartNumberingAfterBreak="0">
    <w:nsid w:val="08170B79"/>
    <w:multiLevelType w:val="multilevel"/>
    <w:tmpl w:val="2D2EA63A"/>
    <w:lvl w:ilvl="0">
      <w:start w:val="1"/>
      <w:numFmt w:val="chineseCountingThousand"/>
      <w:lvlText w:val="第%1部分  "/>
      <w:lvlJc w:val="left"/>
      <w:pPr>
        <w:tabs>
          <w:tab w:val="num" w:pos="2160"/>
        </w:tabs>
        <w:ind w:left="0" w:firstLine="0"/>
      </w:pPr>
      <w:rPr>
        <w:rFonts w:ascii="宋体" w:eastAsia="黑体" w:hAnsi="宋体" w:hint="eastAsia"/>
        <w:b w:val="0"/>
        <w:i w:val="0"/>
        <w:caps w:val="0"/>
        <w:strike w:val="0"/>
        <w:dstrike w:val="0"/>
        <w:vanish w:val="0"/>
        <w:color w:val="auto"/>
        <w:sz w:val="52"/>
        <w:u w:val="none"/>
        <w:vertAlign w:val="baseline"/>
        <w:lang w:val="en-US"/>
      </w:rPr>
    </w:lvl>
    <w:lvl w:ilvl="1">
      <w:start w:val="1"/>
      <w:numFmt w:val="chineseCountingThousand"/>
      <w:lvlText w:val="第%2章"/>
      <w:lvlJc w:val="left"/>
      <w:pPr>
        <w:tabs>
          <w:tab w:val="num" w:pos="360"/>
        </w:tabs>
        <w:ind w:left="0" w:firstLine="0"/>
      </w:pPr>
      <w:rPr>
        <w:rFonts w:ascii="宋体" w:eastAsia="黑体" w:hAnsi="宋体" w:hint="eastAsia"/>
        <w:b w:val="0"/>
        <w:i w:val="0"/>
        <w:caps w:val="0"/>
        <w:strike w:val="0"/>
        <w:dstrike w:val="0"/>
        <w:vanish w:val="0"/>
        <w:color w:val="auto"/>
        <w:sz w:val="36"/>
        <w:u w:val="none"/>
        <w:vertAlign w:val="baseline"/>
      </w:rPr>
    </w:lvl>
    <w:lvl w:ilvl="2">
      <w:start w:val="1"/>
      <w:numFmt w:val="chineseCountingThousand"/>
      <w:lvlText w:val="第%3节"/>
      <w:lvlJc w:val="left"/>
      <w:pPr>
        <w:tabs>
          <w:tab w:val="num" w:pos="360"/>
        </w:tabs>
        <w:ind w:left="0" w:firstLine="0"/>
      </w:pPr>
      <w:rPr>
        <w:rFonts w:ascii="宋体" w:eastAsia="黑体" w:hAnsi="宋体" w:hint="eastAsia"/>
        <w:b w:val="0"/>
        <w:i w:val="0"/>
        <w:caps w:val="0"/>
        <w:strike w:val="0"/>
        <w:dstrike w:val="0"/>
        <w:vanish w:val="0"/>
        <w:color w:val="auto"/>
        <w:sz w:val="30"/>
        <w:szCs w:val="28"/>
        <w:vertAlign w:val="baseline"/>
      </w:rPr>
    </w:lvl>
    <w:lvl w:ilvl="3">
      <w:start w:val="1"/>
      <w:numFmt w:val="chineseCountingThousand"/>
      <w:lvlText w:val="%4、"/>
      <w:lvlJc w:val="left"/>
      <w:pPr>
        <w:tabs>
          <w:tab w:val="num" w:pos="1637"/>
        </w:tabs>
        <w:ind w:left="1277" w:hanging="738"/>
      </w:pPr>
      <w:rPr>
        <w:rFonts w:ascii="宋体" w:eastAsia="宋体" w:hint="eastAsia"/>
        <w:b/>
        <w:i w:val="0"/>
        <w:sz w:val="28"/>
        <w:lang w:eastAsia="zh-CN"/>
      </w:rPr>
    </w:lvl>
    <w:lvl w:ilvl="4">
      <w:start w:val="1"/>
      <w:numFmt w:val="decimal"/>
      <w:lvlText w:val="%5."/>
      <w:lvlJc w:val="left"/>
      <w:pPr>
        <w:tabs>
          <w:tab w:val="num" w:pos="2062"/>
        </w:tabs>
        <w:ind w:left="1702" w:firstLine="0"/>
      </w:pPr>
      <w:rPr>
        <w:rFonts w:ascii="Times New Roman" w:hAnsi="Times New Roman" w:hint="default"/>
        <w:b/>
        <w:i w:val="0"/>
        <w:sz w:val="24"/>
      </w:rPr>
    </w:lvl>
    <w:lvl w:ilvl="5">
      <w:start w:val="1"/>
      <w:numFmt w:val="decimal"/>
      <w:lvlText w:val="%5.%6"/>
      <w:lvlJc w:val="left"/>
      <w:pPr>
        <w:tabs>
          <w:tab w:val="num" w:pos="1259"/>
        </w:tabs>
        <w:ind w:left="539" w:firstLine="0"/>
      </w:pPr>
      <w:rPr>
        <w:rFonts w:ascii="宋体" w:eastAsia="楷体_GB2312" w:hAnsi="宋体" w:hint="eastAsia"/>
        <w:b w:val="0"/>
        <w:i w:val="0"/>
        <w:sz w:val="24"/>
      </w:rPr>
    </w:lvl>
    <w:lvl w:ilvl="6">
      <w:start w:val="1"/>
      <w:numFmt w:val="decimal"/>
      <w:lvlText w:val="%5.%6.%7"/>
      <w:lvlJc w:val="left"/>
      <w:pPr>
        <w:tabs>
          <w:tab w:val="num" w:pos="1259"/>
        </w:tabs>
        <w:ind w:left="539" w:firstLine="0"/>
      </w:pPr>
      <w:rPr>
        <w:rFonts w:ascii="宋体" w:eastAsia="楷体_GB2312" w:hAnsi="宋体" w:hint="eastAsia"/>
        <w:b w:val="0"/>
        <w:i w:val="0"/>
        <w:sz w:val="24"/>
      </w:rPr>
    </w:lvl>
    <w:lvl w:ilvl="7">
      <w:start w:val="1"/>
      <w:numFmt w:val="decimal"/>
      <w:lvlText w:val="%5.%6.%7.%8"/>
      <w:lvlJc w:val="left"/>
      <w:pPr>
        <w:tabs>
          <w:tab w:val="num" w:pos="1619"/>
        </w:tabs>
        <w:ind w:left="539" w:firstLine="0"/>
      </w:pPr>
      <w:rPr>
        <w:rFonts w:ascii="宋体" w:eastAsia="楷体_GB2312" w:hAnsi="宋体" w:hint="eastAsia"/>
        <w:b w:val="0"/>
        <w:i w:val="0"/>
        <w:sz w:val="24"/>
      </w:rPr>
    </w:lvl>
    <w:lvl w:ilvl="8">
      <w:start w:val="1"/>
      <w:numFmt w:val="decimal"/>
      <w:lvlText w:val="%5.%6.%7.%8.%9"/>
      <w:lvlJc w:val="left"/>
      <w:pPr>
        <w:tabs>
          <w:tab w:val="num" w:pos="1619"/>
        </w:tabs>
        <w:ind w:left="539" w:firstLine="0"/>
      </w:pPr>
      <w:rPr>
        <w:rFonts w:ascii="宋体" w:eastAsia="楷体_GB2312" w:hAnsi="宋体" w:hint="eastAsia"/>
        <w:b w:val="0"/>
        <w:i w:val="0"/>
        <w:sz w:val="24"/>
      </w:rPr>
    </w:lvl>
  </w:abstractNum>
  <w:abstractNum w:abstractNumId="9" w15:restartNumberingAfterBreak="0">
    <w:nsid w:val="0DD71F32"/>
    <w:multiLevelType w:val="hybridMultilevel"/>
    <w:tmpl w:val="01FC7AC6"/>
    <w:lvl w:ilvl="0" w:tplc="FD7867DC">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0" w15:restartNumberingAfterBreak="0">
    <w:nsid w:val="13640993"/>
    <w:multiLevelType w:val="hybridMultilevel"/>
    <w:tmpl w:val="1EAAAED6"/>
    <w:lvl w:ilvl="0" w:tplc="5A980E48">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 w15:restartNumberingAfterBreak="0">
    <w:nsid w:val="139D2290"/>
    <w:multiLevelType w:val="hybridMultilevel"/>
    <w:tmpl w:val="6EC27282"/>
    <w:lvl w:ilvl="0" w:tplc="851ABE9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58C5DA0"/>
    <w:multiLevelType w:val="hybridMultilevel"/>
    <w:tmpl w:val="4FDE77D2"/>
    <w:lvl w:ilvl="0" w:tplc="CD721F48">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3" w15:restartNumberingAfterBreak="0">
    <w:nsid w:val="1B5C4F01"/>
    <w:multiLevelType w:val="multilevel"/>
    <w:tmpl w:val="1B5C4F01"/>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4" w15:restartNumberingAfterBreak="0">
    <w:nsid w:val="1DC82BEB"/>
    <w:multiLevelType w:val="multilevel"/>
    <w:tmpl w:val="36E44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5B0E4D"/>
    <w:multiLevelType w:val="hybridMultilevel"/>
    <w:tmpl w:val="12687798"/>
    <w:lvl w:ilvl="0" w:tplc="FFFFFFFF">
      <w:start w:val="1"/>
      <w:numFmt w:val="decimal"/>
      <w:lvlText w:val="%1、"/>
      <w:lvlJc w:val="left"/>
      <w:pPr>
        <w:ind w:left="848" w:hanging="366"/>
      </w:pPr>
      <w:rPr>
        <w:rFonts w:hint="default"/>
      </w:rPr>
    </w:lvl>
    <w:lvl w:ilvl="1" w:tplc="FFFFFFFF" w:tentative="1">
      <w:start w:val="1"/>
      <w:numFmt w:val="lowerLetter"/>
      <w:lvlText w:val="%2)"/>
      <w:lvlJc w:val="left"/>
      <w:pPr>
        <w:ind w:left="1362" w:hanging="440"/>
      </w:pPr>
    </w:lvl>
    <w:lvl w:ilvl="2" w:tplc="FFFFFFFF" w:tentative="1">
      <w:start w:val="1"/>
      <w:numFmt w:val="lowerRoman"/>
      <w:lvlText w:val="%3."/>
      <w:lvlJc w:val="right"/>
      <w:pPr>
        <w:ind w:left="1802" w:hanging="440"/>
      </w:pPr>
    </w:lvl>
    <w:lvl w:ilvl="3" w:tplc="FFFFFFFF" w:tentative="1">
      <w:start w:val="1"/>
      <w:numFmt w:val="decimal"/>
      <w:lvlText w:val="%4."/>
      <w:lvlJc w:val="left"/>
      <w:pPr>
        <w:ind w:left="2242" w:hanging="440"/>
      </w:pPr>
    </w:lvl>
    <w:lvl w:ilvl="4" w:tplc="FFFFFFFF" w:tentative="1">
      <w:start w:val="1"/>
      <w:numFmt w:val="lowerLetter"/>
      <w:lvlText w:val="%5)"/>
      <w:lvlJc w:val="left"/>
      <w:pPr>
        <w:ind w:left="2682" w:hanging="440"/>
      </w:pPr>
    </w:lvl>
    <w:lvl w:ilvl="5" w:tplc="FFFFFFFF" w:tentative="1">
      <w:start w:val="1"/>
      <w:numFmt w:val="lowerRoman"/>
      <w:lvlText w:val="%6."/>
      <w:lvlJc w:val="right"/>
      <w:pPr>
        <w:ind w:left="3122" w:hanging="440"/>
      </w:pPr>
    </w:lvl>
    <w:lvl w:ilvl="6" w:tplc="FFFFFFFF" w:tentative="1">
      <w:start w:val="1"/>
      <w:numFmt w:val="decimal"/>
      <w:lvlText w:val="%7."/>
      <w:lvlJc w:val="left"/>
      <w:pPr>
        <w:ind w:left="3562" w:hanging="440"/>
      </w:pPr>
    </w:lvl>
    <w:lvl w:ilvl="7" w:tplc="FFFFFFFF" w:tentative="1">
      <w:start w:val="1"/>
      <w:numFmt w:val="lowerLetter"/>
      <w:lvlText w:val="%8)"/>
      <w:lvlJc w:val="left"/>
      <w:pPr>
        <w:ind w:left="4002" w:hanging="440"/>
      </w:pPr>
    </w:lvl>
    <w:lvl w:ilvl="8" w:tplc="FFFFFFFF" w:tentative="1">
      <w:start w:val="1"/>
      <w:numFmt w:val="lowerRoman"/>
      <w:lvlText w:val="%9."/>
      <w:lvlJc w:val="right"/>
      <w:pPr>
        <w:ind w:left="4442" w:hanging="440"/>
      </w:pPr>
    </w:lvl>
  </w:abstractNum>
  <w:abstractNum w:abstractNumId="16" w15:restartNumberingAfterBreak="0">
    <w:nsid w:val="22060A5F"/>
    <w:multiLevelType w:val="hybridMultilevel"/>
    <w:tmpl w:val="CC708676"/>
    <w:lvl w:ilvl="0" w:tplc="79482BD4">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7" w15:restartNumberingAfterBreak="0">
    <w:nsid w:val="240B6A45"/>
    <w:multiLevelType w:val="hybridMultilevel"/>
    <w:tmpl w:val="9120F11E"/>
    <w:lvl w:ilvl="0" w:tplc="E1E47504">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8" w15:restartNumberingAfterBreak="0">
    <w:nsid w:val="265F387E"/>
    <w:multiLevelType w:val="hybridMultilevel"/>
    <w:tmpl w:val="12687798"/>
    <w:lvl w:ilvl="0" w:tplc="49CA5130">
      <w:start w:val="1"/>
      <w:numFmt w:val="decimal"/>
      <w:lvlText w:val="%1、"/>
      <w:lvlJc w:val="left"/>
      <w:pPr>
        <w:ind w:left="848" w:hanging="366"/>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19" w15:restartNumberingAfterBreak="0">
    <w:nsid w:val="288D681C"/>
    <w:multiLevelType w:val="hybridMultilevel"/>
    <w:tmpl w:val="5E8E03E0"/>
    <w:lvl w:ilvl="0" w:tplc="8F94A646">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0" w15:restartNumberingAfterBreak="0">
    <w:nsid w:val="296D7487"/>
    <w:multiLevelType w:val="hybridMultilevel"/>
    <w:tmpl w:val="BC908D6E"/>
    <w:lvl w:ilvl="0" w:tplc="D2EE8A80">
      <w:start w:val="1"/>
      <w:numFmt w:val="japaneseCounting"/>
      <w:lvlText w:val="%1、"/>
      <w:lvlJc w:val="left"/>
      <w:pPr>
        <w:ind w:left="972" w:hanging="49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1" w15:restartNumberingAfterBreak="0">
    <w:nsid w:val="30CE7F11"/>
    <w:multiLevelType w:val="hybridMultilevel"/>
    <w:tmpl w:val="16F64846"/>
    <w:lvl w:ilvl="0" w:tplc="9F0E7CB2">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2" w15:restartNumberingAfterBreak="0">
    <w:nsid w:val="34DB70CE"/>
    <w:multiLevelType w:val="hybridMultilevel"/>
    <w:tmpl w:val="F740E14E"/>
    <w:lvl w:ilvl="0" w:tplc="43102990">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3" w15:restartNumberingAfterBreak="0">
    <w:nsid w:val="385834F3"/>
    <w:multiLevelType w:val="hybridMultilevel"/>
    <w:tmpl w:val="6904527E"/>
    <w:lvl w:ilvl="0" w:tplc="017EBE2E">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4" w15:restartNumberingAfterBreak="0">
    <w:nsid w:val="3A191EBA"/>
    <w:multiLevelType w:val="multilevel"/>
    <w:tmpl w:val="EB3AA2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5B0640"/>
    <w:multiLevelType w:val="hybridMultilevel"/>
    <w:tmpl w:val="C31CAE30"/>
    <w:lvl w:ilvl="0" w:tplc="094614E4">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6" w15:restartNumberingAfterBreak="0">
    <w:nsid w:val="3AAA3BD6"/>
    <w:multiLevelType w:val="hybridMultilevel"/>
    <w:tmpl w:val="0F14ED72"/>
    <w:lvl w:ilvl="0" w:tplc="EA44E050">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7" w15:restartNumberingAfterBreak="0">
    <w:nsid w:val="3B310816"/>
    <w:multiLevelType w:val="hybridMultilevel"/>
    <w:tmpl w:val="462A1358"/>
    <w:lvl w:ilvl="0" w:tplc="30241EF8">
      <w:start w:val="1"/>
      <w:numFmt w:val="decimal"/>
      <w:lvlText w:val="（%1）"/>
      <w:lvlJc w:val="left"/>
      <w:pPr>
        <w:ind w:left="1202" w:hanging="720"/>
      </w:pPr>
      <w:rPr>
        <w:rFonts w:hint="default"/>
      </w:rPr>
    </w:lvl>
    <w:lvl w:ilvl="1" w:tplc="624C697A">
      <w:start w:val="2"/>
      <w:numFmt w:val="decimalEnclosedCircle"/>
      <w:lvlText w:val="%2"/>
      <w:lvlJc w:val="left"/>
      <w:pPr>
        <w:ind w:left="1282" w:hanging="360"/>
      </w:pPr>
      <w:rPr>
        <w:rFonts w:cs="Times New Roman" w:hint="default"/>
      </w:r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8" w15:restartNumberingAfterBreak="0">
    <w:nsid w:val="3C6D631B"/>
    <w:multiLevelType w:val="hybridMultilevel"/>
    <w:tmpl w:val="C61CD1D6"/>
    <w:lvl w:ilvl="0" w:tplc="2ABAA39A">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3DD3094D"/>
    <w:multiLevelType w:val="hybridMultilevel"/>
    <w:tmpl w:val="E5E290AC"/>
    <w:lvl w:ilvl="0" w:tplc="E0ACD6BE">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0" w15:restartNumberingAfterBreak="0">
    <w:nsid w:val="4079157B"/>
    <w:multiLevelType w:val="hybridMultilevel"/>
    <w:tmpl w:val="DE645C2A"/>
    <w:lvl w:ilvl="0" w:tplc="3574021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48DE27F9"/>
    <w:multiLevelType w:val="hybridMultilevel"/>
    <w:tmpl w:val="CBC86948"/>
    <w:lvl w:ilvl="0" w:tplc="3DE00CD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42D19D8"/>
    <w:multiLevelType w:val="hybridMultilevel"/>
    <w:tmpl w:val="FB20C53A"/>
    <w:lvl w:ilvl="0" w:tplc="83E8BEAA">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3" w15:restartNumberingAfterBreak="0">
    <w:nsid w:val="5460335F"/>
    <w:multiLevelType w:val="hybridMultilevel"/>
    <w:tmpl w:val="5C40963E"/>
    <w:lvl w:ilvl="0" w:tplc="4FB41314">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4" w15:restartNumberingAfterBreak="0">
    <w:nsid w:val="59D3374B"/>
    <w:multiLevelType w:val="hybridMultilevel"/>
    <w:tmpl w:val="10723348"/>
    <w:lvl w:ilvl="0" w:tplc="AF60A98C">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5" w15:restartNumberingAfterBreak="0">
    <w:nsid w:val="5CA155D0"/>
    <w:multiLevelType w:val="hybridMultilevel"/>
    <w:tmpl w:val="DAB6244C"/>
    <w:lvl w:ilvl="0" w:tplc="E014E4B6">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6" w15:restartNumberingAfterBreak="0">
    <w:nsid w:val="5F1914F4"/>
    <w:multiLevelType w:val="hybridMultilevel"/>
    <w:tmpl w:val="91BC4B7C"/>
    <w:lvl w:ilvl="0" w:tplc="65142152">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7" w15:restartNumberingAfterBreak="0">
    <w:nsid w:val="668E2077"/>
    <w:multiLevelType w:val="multilevel"/>
    <w:tmpl w:val="668E2077"/>
    <w:lvl w:ilvl="0">
      <w:start w:val="1"/>
      <w:numFmt w:val="decimal"/>
      <w:lvlText w:val="（%1）"/>
      <w:lvlJc w:val="left"/>
      <w:pPr>
        <w:ind w:left="1200" w:hanging="72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38" w15:restartNumberingAfterBreak="0">
    <w:nsid w:val="69994E9F"/>
    <w:multiLevelType w:val="hybridMultilevel"/>
    <w:tmpl w:val="FB6E3176"/>
    <w:lvl w:ilvl="0" w:tplc="0F1E52E8">
      <w:start w:val="1"/>
      <w:numFmt w:val="decimalEnclosedCircle"/>
      <w:lvlText w:val="%1"/>
      <w:lvlJc w:val="left"/>
      <w:pPr>
        <w:ind w:left="1200" w:hanging="360"/>
      </w:pPr>
      <w:rPr>
        <w:rFonts w:ascii="宋体" w:hAnsi="宋体" w:hint="default"/>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39" w15:restartNumberingAfterBreak="0">
    <w:nsid w:val="6D25033E"/>
    <w:multiLevelType w:val="hybridMultilevel"/>
    <w:tmpl w:val="27741018"/>
    <w:lvl w:ilvl="0" w:tplc="9C3C41F0">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0" w15:restartNumberingAfterBreak="0">
    <w:nsid w:val="6D297CE2"/>
    <w:multiLevelType w:val="hybridMultilevel"/>
    <w:tmpl w:val="7B3C45BC"/>
    <w:lvl w:ilvl="0" w:tplc="47BA0426">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1" w15:restartNumberingAfterBreak="0">
    <w:nsid w:val="6D7B4DD1"/>
    <w:multiLevelType w:val="multilevel"/>
    <w:tmpl w:val="10525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4E70C0"/>
    <w:multiLevelType w:val="hybridMultilevel"/>
    <w:tmpl w:val="1A267894"/>
    <w:lvl w:ilvl="0" w:tplc="7696F740">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513688362">
    <w:abstractNumId w:val="2"/>
  </w:num>
  <w:num w:numId="2" w16cid:durableId="847595703">
    <w:abstractNumId w:val="7"/>
  </w:num>
  <w:num w:numId="3" w16cid:durableId="1312753124">
    <w:abstractNumId w:val="13"/>
  </w:num>
  <w:num w:numId="4" w16cid:durableId="1972395962">
    <w:abstractNumId w:val="37"/>
  </w:num>
  <w:num w:numId="5" w16cid:durableId="1854801644">
    <w:abstractNumId w:val="8"/>
  </w:num>
  <w:num w:numId="6" w16cid:durableId="1097874049">
    <w:abstractNumId w:val="5"/>
  </w:num>
  <w:num w:numId="7" w16cid:durableId="1727485148">
    <w:abstractNumId w:val="20"/>
  </w:num>
  <w:num w:numId="8" w16cid:durableId="1763986866">
    <w:abstractNumId w:val="3"/>
  </w:num>
  <w:num w:numId="9" w16cid:durableId="2042588021">
    <w:abstractNumId w:val="39"/>
  </w:num>
  <w:num w:numId="10" w16cid:durableId="1200388825">
    <w:abstractNumId w:val="23"/>
  </w:num>
  <w:num w:numId="11" w16cid:durableId="1877885069">
    <w:abstractNumId w:val="22"/>
  </w:num>
  <w:num w:numId="12" w16cid:durableId="1723597229">
    <w:abstractNumId w:val="38"/>
  </w:num>
  <w:num w:numId="13" w16cid:durableId="2059619889">
    <w:abstractNumId w:val="35"/>
  </w:num>
  <w:num w:numId="14" w16cid:durableId="226570162">
    <w:abstractNumId w:val="24"/>
  </w:num>
  <w:num w:numId="15" w16cid:durableId="1377046442">
    <w:abstractNumId w:val="41"/>
  </w:num>
  <w:num w:numId="16" w16cid:durableId="666055914">
    <w:abstractNumId w:val="21"/>
  </w:num>
  <w:num w:numId="17" w16cid:durableId="967124826">
    <w:abstractNumId w:val="16"/>
  </w:num>
  <w:num w:numId="18" w16cid:durableId="1394936982">
    <w:abstractNumId w:val="14"/>
  </w:num>
  <w:num w:numId="19" w16cid:durableId="117527017">
    <w:abstractNumId w:val="26"/>
  </w:num>
  <w:num w:numId="20" w16cid:durableId="820660130">
    <w:abstractNumId w:val="1"/>
  </w:num>
  <w:num w:numId="21" w16cid:durableId="597445457">
    <w:abstractNumId w:val="4"/>
  </w:num>
  <w:num w:numId="22" w16cid:durableId="612445593">
    <w:abstractNumId w:val="18"/>
  </w:num>
  <w:num w:numId="23" w16cid:durableId="409545144">
    <w:abstractNumId w:val="34"/>
  </w:num>
  <w:num w:numId="24" w16cid:durableId="102726241">
    <w:abstractNumId w:val="9"/>
  </w:num>
  <w:num w:numId="25" w16cid:durableId="56785613">
    <w:abstractNumId w:val="32"/>
  </w:num>
  <w:num w:numId="26" w16cid:durableId="1515340735">
    <w:abstractNumId w:val="19"/>
  </w:num>
  <w:num w:numId="27" w16cid:durableId="476456753">
    <w:abstractNumId w:val="42"/>
  </w:num>
  <w:num w:numId="28" w16cid:durableId="1949896947">
    <w:abstractNumId w:val="29"/>
  </w:num>
  <w:num w:numId="29" w16cid:durableId="1866360159">
    <w:abstractNumId w:val="11"/>
  </w:num>
  <w:num w:numId="30" w16cid:durableId="81148877">
    <w:abstractNumId w:val="28"/>
  </w:num>
  <w:num w:numId="31" w16cid:durableId="293947920">
    <w:abstractNumId w:val="30"/>
  </w:num>
  <w:num w:numId="32" w16cid:durableId="1387604473">
    <w:abstractNumId w:val="31"/>
  </w:num>
  <w:num w:numId="33" w16cid:durableId="1606843489">
    <w:abstractNumId w:val="12"/>
  </w:num>
  <w:num w:numId="34" w16cid:durableId="679938330">
    <w:abstractNumId w:val="17"/>
  </w:num>
  <w:num w:numId="35" w16cid:durableId="1348827411">
    <w:abstractNumId w:val="40"/>
  </w:num>
  <w:num w:numId="36" w16cid:durableId="126096746">
    <w:abstractNumId w:val="33"/>
  </w:num>
  <w:num w:numId="37" w16cid:durableId="389770280">
    <w:abstractNumId w:val="27"/>
  </w:num>
  <w:num w:numId="38" w16cid:durableId="1960408627">
    <w:abstractNumId w:val="6"/>
  </w:num>
  <w:num w:numId="39" w16cid:durableId="822548991">
    <w:abstractNumId w:val="15"/>
  </w:num>
  <w:num w:numId="40" w16cid:durableId="657808243">
    <w:abstractNumId w:val="25"/>
  </w:num>
  <w:num w:numId="41" w16cid:durableId="1209144096">
    <w:abstractNumId w:val="10"/>
  </w:num>
  <w:num w:numId="42" w16cid:durableId="2085762729">
    <w:abstractNumId w:val="0"/>
  </w:num>
  <w:num w:numId="43" w16cid:durableId="11719875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documentProtection w:edit="readOnly" w:enforcement="0"/>
  <w:defaultTabStop w:val="420"/>
  <w:drawingGridHorizontalSpacing w:val="11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6E1B"/>
    <w:rsid w:val="00000887"/>
    <w:rsid w:val="00000AC2"/>
    <w:rsid w:val="0000367F"/>
    <w:rsid w:val="00003B4C"/>
    <w:rsid w:val="000040F4"/>
    <w:rsid w:val="000041E5"/>
    <w:rsid w:val="00004362"/>
    <w:rsid w:val="00004575"/>
    <w:rsid w:val="000046B5"/>
    <w:rsid w:val="00006151"/>
    <w:rsid w:val="0000683A"/>
    <w:rsid w:val="00006CF3"/>
    <w:rsid w:val="00007203"/>
    <w:rsid w:val="00007F3D"/>
    <w:rsid w:val="000116D3"/>
    <w:rsid w:val="00011892"/>
    <w:rsid w:val="000119CC"/>
    <w:rsid w:val="000119FC"/>
    <w:rsid w:val="00011EFD"/>
    <w:rsid w:val="00012035"/>
    <w:rsid w:val="000131C5"/>
    <w:rsid w:val="00013F86"/>
    <w:rsid w:val="00013FC0"/>
    <w:rsid w:val="000144C9"/>
    <w:rsid w:val="00015073"/>
    <w:rsid w:val="00015211"/>
    <w:rsid w:val="00015329"/>
    <w:rsid w:val="00015467"/>
    <w:rsid w:val="00016490"/>
    <w:rsid w:val="00016BD5"/>
    <w:rsid w:val="00017990"/>
    <w:rsid w:val="00020D5F"/>
    <w:rsid w:val="000222BE"/>
    <w:rsid w:val="00022381"/>
    <w:rsid w:val="0002271F"/>
    <w:rsid w:val="000231A9"/>
    <w:rsid w:val="00024D62"/>
    <w:rsid w:val="00024EF8"/>
    <w:rsid w:val="000261AD"/>
    <w:rsid w:val="0002678B"/>
    <w:rsid w:val="000306A5"/>
    <w:rsid w:val="0003145F"/>
    <w:rsid w:val="000320BE"/>
    <w:rsid w:val="0003237B"/>
    <w:rsid w:val="000330BE"/>
    <w:rsid w:val="00033134"/>
    <w:rsid w:val="0003379C"/>
    <w:rsid w:val="00034F2E"/>
    <w:rsid w:val="00035621"/>
    <w:rsid w:val="00035C8A"/>
    <w:rsid w:val="000371EF"/>
    <w:rsid w:val="00037AF8"/>
    <w:rsid w:val="00040B9A"/>
    <w:rsid w:val="00041B0E"/>
    <w:rsid w:val="00041D1E"/>
    <w:rsid w:val="00042B34"/>
    <w:rsid w:val="00042B9E"/>
    <w:rsid w:val="00042EF1"/>
    <w:rsid w:val="00043920"/>
    <w:rsid w:val="0004476C"/>
    <w:rsid w:val="00046096"/>
    <w:rsid w:val="00046167"/>
    <w:rsid w:val="00046FA3"/>
    <w:rsid w:val="0004789A"/>
    <w:rsid w:val="00047B6E"/>
    <w:rsid w:val="00051A5F"/>
    <w:rsid w:val="00051BB8"/>
    <w:rsid w:val="000529E4"/>
    <w:rsid w:val="00053E14"/>
    <w:rsid w:val="00053E62"/>
    <w:rsid w:val="0005588D"/>
    <w:rsid w:val="00055CB3"/>
    <w:rsid w:val="00055DD6"/>
    <w:rsid w:val="00056880"/>
    <w:rsid w:val="00056F53"/>
    <w:rsid w:val="00060ED9"/>
    <w:rsid w:val="00060EFE"/>
    <w:rsid w:val="00061F75"/>
    <w:rsid w:val="00062115"/>
    <w:rsid w:val="00063744"/>
    <w:rsid w:val="00064F2A"/>
    <w:rsid w:val="000660BE"/>
    <w:rsid w:val="00066789"/>
    <w:rsid w:val="000706BE"/>
    <w:rsid w:val="00070E4A"/>
    <w:rsid w:val="0007107D"/>
    <w:rsid w:val="00071E45"/>
    <w:rsid w:val="0007227F"/>
    <w:rsid w:val="00072431"/>
    <w:rsid w:val="000739C8"/>
    <w:rsid w:val="00074ED1"/>
    <w:rsid w:val="000763A6"/>
    <w:rsid w:val="000765E7"/>
    <w:rsid w:val="000769F2"/>
    <w:rsid w:val="00076FA3"/>
    <w:rsid w:val="00076FCA"/>
    <w:rsid w:val="000804D9"/>
    <w:rsid w:val="00081199"/>
    <w:rsid w:val="000823B1"/>
    <w:rsid w:val="00083CAF"/>
    <w:rsid w:val="000841C8"/>
    <w:rsid w:val="00085200"/>
    <w:rsid w:val="00085978"/>
    <w:rsid w:val="000862E6"/>
    <w:rsid w:val="00086302"/>
    <w:rsid w:val="0008691D"/>
    <w:rsid w:val="00086C9A"/>
    <w:rsid w:val="00087236"/>
    <w:rsid w:val="00087694"/>
    <w:rsid w:val="0008777F"/>
    <w:rsid w:val="00087790"/>
    <w:rsid w:val="00087DFD"/>
    <w:rsid w:val="00087FB8"/>
    <w:rsid w:val="0009182B"/>
    <w:rsid w:val="00091987"/>
    <w:rsid w:val="000924E3"/>
    <w:rsid w:val="00092585"/>
    <w:rsid w:val="00093E98"/>
    <w:rsid w:val="00094CDE"/>
    <w:rsid w:val="00095052"/>
    <w:rsid w:val="00095D9F"/>
    <w:rsid w:val="00096714"/>
    <w:rsid w:val="00096993"/>
    <w:rsid w:val="00097F45"/>
    <w:rsid w:val="000A085C"/>
    <w:rsid w:val="000A0C88"/>
    <w:rsid w:val="000A1ABB"/>
    <w:rsid w:val="000A1FCA"/>
    <w:rsid w:val="000A2611"/>
    <w:rsid w:val="000A2FCB"/>
    <w:rsid w:val="000A3F52"/>
    <w:rsid w:val="000A420F"/>
    <w:rsid w:val="000A49EF"/>
    <w:rsid w:val="000A4C33"/>
    <w:rsid w:val="000A4D69"/>
    <w:rsid w:val="000A53B4"/>
    <w:rsid w:val="000A715F"/>
    <w:rsid w:val="000B0EA8"/>
    <w:rsid w:val="000B0FAD"/>
    <w:rsid w:val="000B119D"/>
    <w:rsid w:val="000B190E"/>
    <w:rsid w:val="000B1DA4"/>
    <w:rsid w:val="000B1F6E"/>
    <w:rsid w:val="000B2852"/>
    <w:rsid w:val="000B4F51"/>
    <w:rsid w:val="000B509F"/>
    <w:rsid w:val="000B50C9"/>
    <w:rsid w:val="000B61B6"/>
    <w:rsid w:val="000B6CEA"/>
    <w:rsid w:val="000C085C"/>
    <w:rsid w:val="000C1739"/>
    <w:rsid w:val="000C1AEA"/>
    <w:rsid w:val="000C2016"/>
    <w:rsid w:val="000C3AF3"/>
    <w:rsid w:val="000C40C6"/>
    <w:rsid w:val="000C4294"/>
    <w:rsid w:val="000C5CAE"/>
    <w:rsid w:val="000C5E68"/>
    <w:rsid w:val="000C70A1"/>
    <w:rsid w:val="000D04DC"/>
    <w:rsid w:val="000D24EA"/>
    <w:rsid w:val="000D27AA"/>
    <w:rsid w:val="000D3F1E"/>
    <w:rsid w:val="000D49C4"/>
    <w:rsid w:val="000D4CF1"/>
    <w:rsid w:val="000D4D96"/>
    <w:rsid w:val="000D4E35"/>
    <w:rsid w:val="000D56D1"/>
    <w:rsid w:val="000D663C"/>
    <w:rsid w:val="000D68BA"/>
    <w:rsid w:val="000D6AE6"/>
    <w:rsid w:val="000D7447"/>
    <w:rsid w:val="000D78F6"/>
    <w:rsid w:val="000E0096"/>
    <w:rsid w:val="000E2C5B"/>
    <w:rsid w:val="000E389D"/>
    <w:rsid w:val="000E3E32"/>
    <w:rsid w:val="000E43E8"/>
    <w:rsid w:val="000E5368"/>
    <w:rsid w:val="000E5BF0"/>
    <w:rsid w:val="000E7AE3"/>
    <w:rsid w:val="000F0A9D"/>
    <w:rsid w:val="000F0AB7"/>
    <w:rsid w:val="000F0B1A"/>
    <w:rsid w:val="000F0D62"/>
    <w:rsid w:val="000F0F57"/>
    <w:rsid w:val="000F1A7B"/>
    <w:rsid w:val="000F3048"/>
    <w:rsid w:val="000F383B"/>
    <w:rsid w:val="000F3FE7"/>
    <w:rsid w:val="000F492F"/>
    <w:rsid w:val="000F4A3C"/>
    <w:rsid w:val="000F60F9"/>
    <w:rsid w:val="000F657C"/>
    <w:rsid w:val="001000D4"/>
    <w:rsid w:val="001016B1"/>
    <w:rsid w:val="00101802"/>
    <w:rsid w:val="00101A83"/>
    <w:rsid w:val="0010273E"/>
    <w:rsid w:val="00102E55"/>
    <w:rsid w:val="0010341A"/>
    <w:rsid w:val="00103DA9"/>
    <w:rsid w:val="001044FD"/>
    <w:rsid w:val="00104FF1"/>
    <w:rsid w:val="0010564F"/>
    <w:rsid w:val="0010589E"/>
    <w:rsid w:val="001076ED"/>
    <w:rsid w:val="00107723"/>
    <w:rsid w:val="00107811"/>
    <w:rsid w:val="00107DB6"/>
    <w:rsid w:val="00110EF5"/>
    <w:rsid w:val="00111232"/>
    <w:rsid w:val="00111366"/>
    <w:rsid w:val="00111D43"/>
    <w:rsid w:val="0011424A"/>
    <w:rsid w:val="00114528"/>
    <w:rsid w:val="001151DE"/>
    <w:rsid w:val="00115D97"/>
    <w:rsid w:val="0011667E"/>
    <w:rsid w:val="00116E36"/>
    <w:rsid w:val="00117B4A"/>
    <w:rsid w:val="001203CA"/>
    <w:rsid w:val="00121F0E"/>
    <w:rsid w:val="001226CA"/>
    <w:rsid w:val="0012358E"/>
    <w:rsid w:val="00123F7F"/>
    <w:rsid w:val="0012401B"/>
    <w:rsid w:val="00125ABF"/>
    <w:rsid w:val="001264C9"/>
    <w:rsid w:val="00127E90"/>
    <w:rsid w:val="0013078F"/>
    <w:rsid w:val="001307D4"/>
    <w:rsid w:val="0013223D"/>
    <w:rsid w:val="00132A18"/>
    <w:rsid w:val="00132C0C"/>
    <w:rsid w:val="0013407E"/>
    <w:rsid w:val="0013609B"/>
    <w:rsid w:val="00137774"/>
    <w:rsid w:val="001379AB"/>
    <w:rsid w:val="001404A6"/>
    <w:rsid w:val="001407A3"/>
    <w:rsid w:val="00141D89"/>
    <w:rsid w:val="00141DCC"/>
    <w:rsid w:val="00142915"/>
    <w:rsid w:val="001433F9"/>
    <w:rsid w:val="00143D80"/>
    <w:rsid w:val="00143DBA"/>
    <w:rsid w:val="001447DD"/>
    <w:rsid w:val="00144E46"/>
    <w:rsid w:val="00144EE7"/>
    <w:rsid w:val="001456F9"/>
    <w:rsid w:val="00146058"/>
    <w:rsid w:val="0014645F"/>
    <w:rsid w:val="0014671A"/>
    <w:rsid w:val="00147571"/>
    <w:rsid w:val="00151569"/>
    <w:rsid w:val="00151A26"/>
    <w:rsid w:val="00151BF8"/>
    <w:rsid w:val="00151F57"/>
    <w:rsid w:val="001546FA"/>
    <w:rsid w:val="00155DBC"/>
    <w:rsid w:val="0015727F"/>
    <w:rsid w:val="00161003"/>
    <w:rsid w:val="001613FC"/>
    <w:rsid w:val="001626E3"/>
    <w:rsid w:val="00162903"/>
    <w:rsid w:val="00162D2A"/>
    <w:rsid w:val="001643A6"/>
    <w:rsid w:val="00164A47"/>
    <w:rsid w:val="00164BCB"/>
    <w:rsid w:val="00165842"/>
    <w:rsid w:val="00165C61"/>
    <w:rsid w:val="00166302"/>
    <w:rsid w:val="001663AC"/>
    <w:rsid w:val="00166D47"/>
    <w:rsid w:val="0016756F"/>
    <w:rsid w:val="001675F8"/>
    <w:rsid w:val="0016781B"/>
    <w:rsid w:val="001710A8"/>
    <w:rsid w:val="00171456"/>
    <w:rsid w:val="00171996"/>
    <w:rsid w:val="00172662"/>
    <w:rsid w:val="00172844"/>
    <w:rsid w:val="00172D75"/>
    <w:rsid w:val="0017373C"/>
    <w:rsid w:val="0017403A"/>
    <w:rsid w:val="00175ECC"/>
    <w:rsid w:val="00176201"/>
    <w:rsid w:val="00176D50"/>
    <w:rsid w:val="00177177"/>
    <w:rsid w:val="001776FA"/>
    <w:rsid w:val="00180498"/>
    <w:rsid w:val="00180513"/>
    <w:rsid w:val="001805A8"/>
    <w:rsid w:val="001806A0"/>
    <w:rsid w:val="0018155D"/>
    <w:rsid w:val="00183460"/>
    <w:rsid w:val="001839BC"/>
    <w:rsid w:val="00183BDE"/>
    <w:rsid w:val="00183E5F"/>
    <w:rsid w:val="0018444E"/>
    <w:rsid w:val="00185203"/>
    <w:rsid w:val="00185C67"/>
    <w:rsid w:val="00186532"/>
    <w:rsid w:val="00186FE8"/>
    <w:rsid w:val="001878D7"/>
    <w:rsid w:val="00187F81"/>
    <w:rsid w:val="0019041A"/>
    <w:rsid w:val="00190489"/>
    <w:rsid w:val="00190ACE"/>
    <w:rsid w:val="001910C7"/>
    <w:rsid w:val="001914DE"/>
    <w:rsid w:val="00191E9B"/>
    <w:rsid w:val="0019239A"/>
    <w:rsid w:val="00192AE6"/>
    <w:rsid w:val="00192F35"/>
    <w:rsid w:val="001936A8"/>
    <w:rsid w:val="00193D04"/>
    <w:rsid w:val="00193E06"/>
    <w:rsid w:val="00194AB4"/>
    <w:rsid w:val="00194CD4"/>
    <w:rsid w:val="00195FD0"/>
    <w:rsid w:val="0019624C"/>
    <w:rsid w:val="001962CB"/>
    <w:rsid w:val="001973BA"/>
    <w:rsid w:val="001A0A5E"/>
    <w:rsid w:val="001A16FB"/>
    <w:rsid w:val="001A17AF"/>
    <w:rsid w:val="001A2B3D"/>
    <w:rsid w:val="001A3A23"/>
    <w:rsid w:val="001A58DA"/>
    <w:rsid w:val="001A63A9"/>
    <w:rsid w:val="001A78D0"/>
    <w:rsid w:val="001B0CD2"/>
    <w:rsid w:val="001B2B14"/>
    <w:rsid w:val="001B2C85"/>
    <w:rsid w:val="001B39AC"/>
    <w:rsid w:val="001B3D72"/>
    <w:rsid w:val="001B3FEE"/>
    <w:rsid w:val="001B46E4"/>
    <w:rsid w:val="001B5D4C"/>
    <w:rsid w:val="001B5E91"/>
    <w:rsid w:val="001B7B62"/>
    <w:rsid w:val="001C05C2"/>
    <w:rsid w:val="001C05F5"/>
    <w:rsid w:val="001C29DD"/>
    <w:rsid w:val="001C4F10"/>
    <w:rsid w:val="001C5901"/>
    <w:rsid w:val="001C5C3E"/>
    <w:rsid w:val="001C5F96"/>
    <w:rsid w:val="001C6370"/>
    <w:rsid w:val="001C7B4C"/>
    <w:rsid w:val="001C7ED0"/>
    <w:rsid w:val="001D076B"/>
    <w:rsid w:val="001D07AD"/>
    <w:rsid w:val="001D0EB9"/>
    <w:rsid w:val="001D145B"/>
    <w:rsid w:val="001D32D5"/>
    <w:rsid w:val="001D3EFE"/>
    <w:rsid w:val="001D5118"/>
    <w:rsid w:val="001D55E8"/>
    <w:rsid w:val="001D658E"/>
    <w:rsid w:val="001D6DC7"/>
    <w:rsid w:val="001D71B5"/>
    <w:rsid w:val="001E04F1"/>
    <w:rsid w:val="001E1CB4"/>
    <w:rsid w:val="001E288D"/>
    <w:rsid w:val="001E393D"/>
    <w:rsid w:val="001E3BC1"/>
    <w:rsid w:val="001E60AA"/>
    <w:rsid w:val="001E6B3E"/>
    <w:rsid w:val="001E6BDC"/>
    <w:rsid w:val="001E70F5"/>
    <w:rsid w:val="001E75F7"/>
    <w:rsid w:val="001E7D3D"/>
    <w:rsid w:val="001F038A"/>
    <w:rsid w:val="001F11ED"/>
    <w:rsid w:val="001F1BB5"/>
    <w:rsid w:val="001F1FAB"/>
    <w:rsid w:val="001F2272"/>
    <w:rsid w:val="001F2EE2"/>
    <w:rsid w:val="001F47DE"/>
    <w:rsid w:val="001F4EF7"/>
    <w:rsid w:val="00200D68"/>
    <w:rsid w:val="00201A42"/>
    <w:rsid w:val="00201EE5"/>
    <w:rsid w:val="00202CDE"/>
    <w:rsid w:val="00202E09"/>
    <w:rsid w:val="00202FD5"/>
    <w:rsid w:val="00203242"/>
    <w:rsid w:val="00203306"/>
    <w:rsid w:val="00203868"/>
    <w:rsid w:val="00204253"/>
    <w:rsid w:val="0020486B"/>
    <w:rsid w:val="0020525E"/>
    <w:rsid w:val="0020569D"/>
    <w:rsid w:val="00206BE2"/>
    <w:rsid w:val="00206CC7"/>
    <w:rsid w:val="00206DB9"/>
    <w:rsid w:val="00207316"/>
    <w:rsid w:val="00207BFB"/>
    <w:rsid w:val="00207FCC"/>
    <w:rsid w:val="00210356"/>
    <w:rsid w:val="0021077D"/>
    <w:rsid w:val="002117C9"/>
    <w:rsid w:val="00212B80"/>
    <w:rsid w:val="0021376F"/>
    <w:rsid w:val="0021491A"/>
    <w:rsid w:val="002150A3"/>
    <w:rsid w:val="00216ED9"/>
    <w:rsid w:val="00217670"/>
    <w:rsid w:val="00220122"/>
    <w:rsid w:val="00220B0C"/>
    <w:rsid w:val="002216F6"/>
    <w:rsid w:val="00221EA9"/>
    <w:rsid w:val="0022207E"/>
    <w:rsid w:val="00222A51"/>
    <w:rsid w:val="00222D42"/>
    <w:rsid w:val="00223AC6"/>
    <w:rsid w:val="00224D35"/>
    <w:rsid w:val="00225159"/>
    <w:rsid w:val="002251D8"/>
    <w:rsid w:val="002256EA"/>
    <w:rsid w:val="00226164"/>
    <w:rsid w:val="002270C7"/>
    <w:rsid w:val="0022761A"/>
    <w:rsid w:val="002278B9"/>
    <w:rsid w:val="00230791"/>
    <w:rsid w:val="0023180B"/>
    <w:rsid w:val="00231DBA"/>
    <w:rsid w:val="002333BF"/>
    <w:rsid w:val="00233836"/>
    <w:rsid w:val="00234101"/>
    <w:rsid w:val="00236F0F"/>
    <w:rsid w:val="00236FEE"/>
    <w:rsid w:val="002372DE"/>
    <w:rsid w:val="00237BDF"/>
    <w:rsid w:val="00237D0B"/>
    <w:rsid w:val="00237DB5"/>
    <w:rsid w:val="00241886"/>
    <w:rsid w:val="00242915"/>
    <w:rsid w:val="002475E4"/>
    <w:rsid w:val="00247637"/>
    <w:rsid w:val="0024792D"/>
    <w:rsid w:val="00247FC9"/>
    <w:rsid w:val="00250391"/>
    <w:rsid w:val="00250BEB"/>
    <w:rsid w:val="00251184"/>
    <w:rsid w:val="002511B5"/>
    <w:rsid w:val="00251CD9"/>
    <w:rsid w:val="00251D0C"/>
    <w:rsid w:val="002525C3"/>
    <w:rsid w:val="00252D85"/>
    <w:rsid w:val="002538C7"/>
    <w:rsid w:val="00253AAF"/>
    <w:rsid w:val="00253C19"/>
    <w:rsid w:val="00255DBF"/>
    <w:rsid w:val="00256CB2"/>
    <w:rsid w:val="0025724C"/>
    <w:rsid w:val="0026077D"/>
    <w:rsid w:val="002610AD"/>
    <w:rsid w:val="00261A5D"/>
    <w:rsid w:val="00262081"/>
    <w:rsid w:val="0026239A"/>
    <w:rsid w:val="00262A74"/>
    <w:rsid w:val="00262FA7"/>
    <w:rsid w:val="00263E7D"/>
    <w:rsid w:val="002642FE"/>
    <w:rsid w:val="002644AB"/>
    <w:rsid w:val="002646C2"/>
    <w:rsid w:val="00265D85"/>
    <w:rsid w:val="0026638B"/>
    <w:rsid w:val="0026686D"/>
    <w:rsid w:val="00266FA7"/>
    <w:rsid w:val="00270A10"/>
    <w:rsid w:val="00270BEF"/>
    <w:rsid w:val="00271340"/>
    <w:rsid w:val="0027438F"/>
    <w:rsid w:val="0027463C"/>
    <w:rsid w:val="002747B9"/>
    <w:rsid w:val="00274AE9"/>
    <w:rsid w:val="00274F99"/>
    <w:rsid w:val="0027631A"/>
    <w:rsid w:val="002766C8"/>
    <w:rsid w:val="00280C43"/>
    <w:rsid w:val="00281808"/>
    <w:rsid w:val="00282339"/>
    <w:rsid w:val="0028333B"/>
    <w:rsid w:val="002837B6"/>
    <w:rsid w:val="00284359"/>
    <w:rsid w:val="00285192"/>
    <w:rsid w:val="002854CA"/>
    <w:rsid w:val="0028578E"/>
    <w:rsid w:val="0028581B"/>
    <w:rsid w:val="00285CB6"/>
    <w:rsid w:val="002862E9"/>
    <w:rsid w:val="002864A1"/>
    <w:rsid w:val="00287E96"/>
    <w:rsid w:val="00290283"/>
    <w:rsid w:val="00291577"/>
    <w:rsid w:val="0029172B"/>
    <w:rsid w:val="002917C0"/>
    <w:rsid w:val="00291BAB"/>
    <w:rsid w:val="002924DA"/>
    <w:rsid w:val="00292619"/>
    <w:rsid w:val="00292A72"/>
    <w:rsid w:val="00293261"/>
    <w:rsid w:val="00294D09"/>
    <w:rsid w:val="002959D2"/>
    <w:rsid w:val="00296135"/>
    <w:rsid w:val="00296C64"/>
    <w:rsid w:val="00297F8D"/>
    <w:rsid w:val="002A05E6"/>
    <w:rsid w:val="002A0811"/>
    <w:rsid w:val="002A0BA7"/>
    <w:rsid w:val="002A257C"/>
    <w:rsid w:val="002A2865"/>
    <w:rsid w:val="002A2C54"/>
    <w:rsid w:val="002A32FA"/>
    <w:rsid w:val="002A3C8C"/>
    <w:rsid w:val="002A3D1D"/>
    <w:rsid w:val="002A4C3F"/>
    <w:rsid w:val="002A502F"/>
    <w:rsid w:val="002A5233"/>
    <w:rsid w:val="002A5350"/>
    <w:rsid w:val="002A652B"/>
    <w:rsid w:val="002A76F4"/>
    <w:rsid w:val="002B1BF4"/>
    <w:rsid w:val="002B1F4B"/>
    <w:rsid w:val="002B2EE0"/>
    <w:rsid w:val="002B3313"/>
    <w:rsid w:val="002B3586"/>
    <w:rsid w:val="002B419A"/>
    <w:rsid w:val="002B58E7"/>
    <w:rsid w:val="002B5A42"/>
    <w:rsid w:val="002B6F5B"/>
    <w:rsid w:val="002B78C4"/>
    <w:rsid w:val="002C3526"/>
    <w:rsid w:val="002C37B3"/>
    <w:rsid w:val="002C52B3"/>
    <w:rsid w:val="002C5B74"/>
    <w:rsid w:val="002C6A64"/>
    <w:rsid w:val="002D216D"/>
    <w:rsid w:val="002D36A3"/>
    <w:rsid w:val="002D3AAA"/>
    <w:rsid w:val="002D4054"/>
    <w:rsid w:val="002D765F"/>
    <w:rsid w:val="002D7E55"/>
    <w:rsid w:val="002E014C"/>
    <w:rsid w:val="002E0596"/>
    <w:rsid w:val="002E31CF"/>
    <w:rsid w:val="002E31DE"/>
    <w:rsid w:val="002E31ED"/>
    <w:rsid w:val="002E3AF6"/>
    <w:rsid w:val="002E43DF"/>
    <w:rsid w:val="002E54DD"/>
    <w:rsid w:val="002E583D"/>
    <w:rsid w:val="002E6444"/>
    <w:rsid w:val="002E66F2"/>
    <w:rsid w:val="002E7162"/>
    <w:rsid w:val="002E7A5A"/>
    <w:rsid w:val="002E7DAB"/>
    <w:rsid w:val="002E7F0A"/>
    <w:rsid w:val="002F0E7C"/>
    <w:rsid w:val="002F0F3E"/>
    <w:rsid w:val="002F1470"/>
    <w:rsid w:val="002F150F"/>
    <w:rsid w:val="002F1DBF"/>
    <w:rsid w:val="002F2929"/>
    <w:rsid w:val="002F2EB7"/>
    <w:rsid w:val="002F4401"/>
    <w:rsid w:val="002F4610"/>
    <w:rsid w:val="002F461C"/>
    <w:rsid w:val="002F4C00"/>
    <w:rsid w:val="002F5489"/>
    <w:rsid w:val="002F5CCB"/>
    <w:rsid w:val="002F5F6C"/>
    <w:rsid w:val="002F694D"/>
    <w:rsid w:val="002F69B9"/>
    <w:rsid w:val="002F69F7"/>
    <w:rsid w:val="002F7416"/>
    <w:rsid w:val="002F74D3"/>
    <w:rsid w:val="002F7534"/>
    <w:rsid w:val="00300A5D"/>
    <w:rsid w:val="00302DE3"/>
    <w:rsid w:val="00303179"/>
    <w:rsid w:val="00303537"/>
    <w:rsid w:val="0030416E"/>
    <w:rsid w:val="00304455"/>
    <w:rsid w:val="003049A8"/>
    <w:rsid w:val="00304DE1"/>
    <w:rsid w:val="003057D4"/>
    <w:rsid w:val="003059FB"/>
    <w:rsid w:val="00305E27"/>
    <w:rsid w:val="00306596"/>
    <w:rsid w:val="00306BC4"/>
    <w:rsid w:val="00307718"/>
    <w:rsid w:val="003101C1"/>
    <w:rsid w:val="00310748"/>
    <w:rsid w:val="00310A08"/>
    <w:rsid w:val="00311A9E"/>
    <w:rsid w:val="00312121"/>
    <w:rsid w:val="00313794"/>
    <w:rsid w:val="00313C50"/>
    <w:rsid w:val="0031447F"/>
    <w:rsid w:val="00314620"/>
    <w:rsid w:val="0031508E"/>
    <w:rsid w:val="00316BED"/>
    <w:rsid w:val="003178AC"/>
    <w:rsid w:val="00317ACC"/>
    <w:rsid w:val="00317C23"/>
    <w:rsid w:val="00320112"/>
    <w:rsid w:val="003205E5"/>
    <w:rsid w:val="003206F8"/>
    <w:rsid w:val="00323CD5"/>
    <w:rsid w:val="00325500"/>
    <w:rsid w:val="003259C1"/>
    <w:rsid w:val="0032646C"/>
    <w:rsid w:val="00326FE3"/>
    <w:rsid w:val="00327343"/>
    <w:rsid w:val="00331397"/>
    <w:rsid w:val="0033237F"/>
    <w:rsid w:val="003328C2"/>
    <w:rsid w:val="00332F65"/>
    <w:rsid w:val="00333A19"/>
    <w:rsid w:val="00333C11"/>
    <w:rsid w:val="00333D9A"/>
    <w:rsid w:val="00334458"/>
    <w:rsid w:val="003350FA"/>
    <w:rsid w:val="00335249"/>
    <w:rsid w:val="003355FF"/>
    <w:rsid w:val="00335B77"/>
    <w:rsid w:val="00336482"/>
    <w:rsid w:val="0033692B"/>
    <w:rsid w:val="0033699A"/>
    <w:rsid w:val="00337C7E"/>
    <w:rsid w:val="0034010F"/>
    <w:rsid w:val="0034037E"/>
    <w:rsid w:val="0034076B"/>
    <w:rsid w:val="003411C4"/>
    <w:rsid w:val="00342B1A"/>
    <w:rsid w:val="003432FA"/>
    <w:rsid w:val="00343CD0"/>
    <w:rsid w:val="00344354"/>
    <w:rsid w:val="003449ED"/>
    <w:rsid w:val="00344FD1"/>
    <w:rsid w:val="00345755"/>
    <w:rsid w:val="00345A1C"/>
    <w:rsid w:val="00345F66"/>
    <w:rsid w:val="00347AEF"/>
    <w:rsid w:val="00350D65"/>
    <w:rsid w:val="00351B60"/>
    <w:rsid w:val="0035223A"/>
    <w:rsid w:val="0035258B"/>
    <w:rsid w:val="00352BC1"/>
    <w:rsid w:val="00353E12"/>
    <w:rsid w:val="0035525A"/>
    <w:rsid w:val="00355D8E"/>
    <w:rsid w:val="0035647B"/>
    <w:rsid w:val="0035650C"/>
    <w:rsid w:val="0035698F"/>
    <w:rsid w:val="00356B0B"/>
    <w:rsid w:val="0035742B"/>
    <w:rsid w:val="003577DF"/>
    <w:rsid w:val="003602B4"/>
    <w:rsid w:val="003604A8"/>
    <w:rsid w:val="00363B35"/>
    <w:rsid w:val="00364E03"/>
    <w:rsid w:val="00364E4C"/>
    <w:rsid w:val="00366053"/>
    <w:rsid w:val="00366716"/>
    <w:rsid w:val="00366721"/>
    <w:rsid w:val="00370ECC"/>
    <w:rsid w:val="00371057"/>
    <w:rsid w:val="00371752"/>
    <w:rsid w:val="003736B9"/>
    <w:rsid w:val="00373C0E"/>
    <w:rsid w:val="00374765"/>
    <w:rsid w:val="00377A33"/>
    <w:rsid w:val="00380676"/>
    <w:rsid w:val="00381FE3"/>
    <w:rsid w:val="00382B7D"/>
    <w:rsid w:val="0038375A"/>
    <w:rsid w:val="00384D1C"/>
    <w:rsid w:val="00385100"/>
    <w:rsid w:val="00385891"/>
    <w:rsid w:val="003859DD"/>
    <w:rsid w:val="00385D62"/>
    <w:rsid w:val="00386B33"/>
    <w:rsid w:val="0038746F"/>
    <w:rsid w:val="00387766"/>
    <w:rsid w:val="003902F5"/>
    <w:rsid w:val="00390DC7"/>
    <w:rsid w:val="00391A4B"/>
    <w:rsid w:val="00391BF1"/>
    <w:rsid w:val="00391CA0"/>
    <w:rsid w:val="00393D75"/>
    <w:rsid w:val="00393F4D"/>
    <w:rsid w:val="00394C92"/>
    <w:rsid w:val="003964FA"/>
    <w:rsid w:val="00396A3E"/>
    <w:rsid w:val="00396F52"/>
    <w:rsid w:val="00397483"/>
    <w:rsid w:val="00397B5A"/>
    <w:rsid w:val="003A12C6"/>
    <w:rsid w:val="003A2240"/>
    <w:rsid w:val="003A24FC"/>
    <w:rsid w:val="003A4216"/>
    <w:rsid w:val="003A44F3"/>
    <w:rsid w:val="003A4518"/>
    <w:rsid w:val="003A46CC"/>
    <w:rsid w:val="003A4E50"/>
    <w:rsid w:val="003A5325"/>
    <w:rsid w:val="003A6973"/>
    <w:rsid w:val="003A71E5"/>
    <w:rsid w:val="003B04E1"/>
    <w:rsid w:val="003B2935"/>
    <w:rsid w:val="003B2ACF"/>
    <w:rsid w:val="003B3342"/>
    <w:rsid w:val="003B342E"/>
    <w:rsid w:val="003B3BE2"/>
    <w:rsid w:val="003B4289"/>
    <w:rsid w:val="003B447F"/>
    <w:rsid w:val="003B6363"/>
    <w:rsid w:val="003B6E1B"/>
    <w:rsid w:val="003B794F"/>
    <w:rsid w:val="003C160C"/>
    <w:rsid w:val="003C1A0A"/>
    <w:rsid w:val="003C222B"/>
    <w:rsid w:val="003C37CF"/>
    <w:rsid w:val="003C45BC"/>
    <w:rsid w:val="003C6C1C"/>
    <w:rsid w:val="003D2235"/>
    <w:rsid w:val="003D22E7"/>
    <w:rsid w:val="003D2E14"/>
    <w:rsid w:val="003D32C8"/>
    <w:rsid w:val="003D6EB6"/>
    <w:rsid w:val="003D7FBE"/>
    <w:rsid w:val="003E0B05"/>
    <w:rsid w:val="003E1A4E"/>
    <w:rsid w:val="003E1D6A"/>
    <w:rsid w:val="003E2AAB"/>
    <w:rsid w:val="003E4E8A"/>
    <w:rsid w:val="003E588E"/>
    <w:rsid w:val="003E6632"/>
    <w:rsid w:val="003E6B77"/>
    <w:rsid w:val="003E735A"/>
    <w:rsid w:val="003E7D24"/>
    <w:rsid w:val="003E7FC9"/>
    <w:rsid w:val="003F02D3"/>
    <w:rsid w:val="003F0FFF"/>
    <w:rsid w:val="003F1D77"/>
    <w:rsid w:val="003F2129"/>
    <w:rsid w:val="003F2656"/>
    <w:rsid w:val="003F2671"/>
    <w:rsid w:val="003F2EA6"/>
    <w:rsid w:val="003F365B"/>
    <w:rsid w:val="003F38A2"/>
    <w:rsid w:val="003F3CF1"/>
    <w:rsid w:val="003F3E87"/>
    <w:rsid w:val="003F41AF"/>
    <w:rsid w:val="003F4C4F"/>
    <w:rsid w:val="003F6151"/>
    <w:rsid w:val="003F618F"/>
    <w:rsid w:val="003F61E6"/>
    <w:rsid w:val="003F642A"/>
    <w:rsid w:val="003F6A70"/>
    <w:rsid w:val="003F6B96"/>
    <w:rsid w:val="003F6BC1"/>
    <w:rsid w:val="003F7F1F"/>
    <w:rsid w:val="0040033A"/>
    <w:rsid w:val="0040088E"/>
    <w:rsid w:val="004019AB"/>
    <w:rsid w:val="00401CAE"/>
    <w:rsid w:val="00402922"/>
    <w:rsid w:val="00402F4D"/>
    <w:rsid w:val="004043C0"/>
    <w:rsid w:val="00404494"/>
    <w:rsid w:val="00405446"/>
    <w:rsid w:val="00405A58"/>
    <w:rsid w:val="00407341"/>
    <w:rsid w:val="004107CB"/>
    <w:rsid w:val="004113CA"/>
    <w:rsid w:val="00412178"/>
    <w:rsid w:val="00413A6B"/>
    <w:rsid w:val="00413A75"/>
    <w:rsid w:val="00413CC3"/>
    <w:rsid w:val="004146EB"/>
    <w:rsid w:val="00416082"/>
    <w:rsid w:val="00416C8F"/>
    <w:rsid w:val="00420D50"/>
    <w:rsid w:val="00421A2A"/>
    <w:rsid w:val="00421D07"/>
    <w:rsid w:val="00422C56"/>
    <w:rsid w:val="0042310C"/>
    <w:rsid w:val="004235FA"/>
    <w:rsid w:val="0042424A"/>
    <w:rsid w:val="00424BA3"/>
    <w:rsid w:val="00425305"/>
    <w:rsid w:val="00425CED"/>
    <w:rsid w:val="00426A44"/>
    <w:rsid w:val="00426D00"/>
    <w:rsid w:val="00431BA0"/>
    <w:rsid w:val="0043206A"/>
    <w:rsid w:val="00433002"/>
    <w:rsid w:val="004337CB"/>
    <w:rsid w:val="004346F4"/>
    <w:rsid w:val="0043563A"/>
    <w:rsid w:val="00436D66"/>
    <w:rsid w:val="00436DD3"/>
    <w:rsid w:val="00436E22"/>
    <w:rsid w:val="004379D5"/>
    <w:rsid w:val="0044123C"/>
    <w:rsid w:val="0044163C"/>
    <w:rsid w:val="004418DA"/>
    <w:rsid w:val="004420A9"/>
    <w:rsid w:val="00442497"/>
    <w:rsid w:val="0044397D"/>
    <w:rsid w:val="00444ADE"/>
    <w:rsid w:val="00444CA0"/>
    <w:rsid w:val="004456CA"/>
    <w:rsid w:val="00445CAC"/>
    <w:rsid w:val="0044670C"/>
    <w:rsid w:val="00447BBB"/>
    <w:rsid w:val="004501C6"/>
    <w:rsid w:val="00450541"/>
    <w:rsid w:val="0045061C"/>
    <w:rsid w:val="00450A03"/>
    <w:rsid w:val="00450E6B"/>
    <w:rsid w:val="004541B2"/>
    <w:rsid w:val="00454DC1"/>
    <w:rsid w:val="00455BF6"/>
    <w:rsid w:val="00455E1C"/>
    <w:rsid w:val="00456911"/>
    <w:rsid w:val="004605BD"/>
    <w:rsid w:val="004618D9"/>
    <w:rsid w:val="00461FC2"/>
    <w:rsid w:val="00462BA0"/>
    <w:rsid w:val="004639C1"/>
    <w:rsid w:val="00463FC5"/>
    <w:rsid w:val="004658CC"/>
    <w:rsid w:val="00465F4F"/>
    <w:rsid w:val="00466A83"/>
    <w:rsid w:val="00466A91"/>
    <w:rsid w:val="00466B83"/>
    <w:rsid w:val="00467F52"/>
    <w:rsid w:val="004716D9"/>
    <w:rsid w:val="00472EB2"/>
    <w:rsid w:val="004733B2"/>
    <w:rsid w:val="00474DC7"/>
    <w:rsid w:val="00474F5B"/>
    <w:rsid w:val="00475402"/>
    <w:rsid w:val="00475B0F"/>
    <w:rsid w:val="00481B2C"/>
    <w:rsid w:val="00482853"/>
    <w:rsid w:val="004830A2"/>
    <w:rsid w:val="004832F4"/>
    <w:rsid w:val="00483363"/>
    <w:rsid w:val="0048369A"/>
    <w:rsid w:val="00484AFC"/>
    <w:rsid w:val="00485238"/>
    <w:rsid w:val="00485691"/>
    <w:rsid w:val="00486136"/>
    <w:rsid w:val="0049051C"/>
    <w:rsid w:val="00490D82"/>
    <w:rsid w:val="00491670"/>
    <w:rsid w:val="00491A8C"/>
    <w:rsid w:val="00491E0A"/>
    <w:rsid w:val="00493494"/>
    <w:rsid w:val="004940CF"/>
    <w:rsid w:val="00494545"/>
    <w:rsid w:val="00494E16"/>
    <w:rsid w:val="00494E7F"/>
    <w:rsid w:val="00495DD9"/>
    <w:rsid w:val="004965DC"/>
    <w:rsid w:val="0049704A"/>
    <w:rsid w:val="00497656"/>
    <w:rsid w:val="00497CB3"/>
    <w:rsid w:val="004A03B9"/>
    <w:rsid w:val="004A06B1"/>
    <w:rsid w:val="004A18D2"/>
    <w:rsid w:val="004A1CF9"/>
    <w:rsid w:val="004A5005"/>
    <w:rsid w:val="004A53E6"/>
    <w:rsid w:val="004A6236"/>
    <w:rsid w:val="004A654C"/>
    <w:rsid w:val="004A72FE"/>
    <w:rsid w:val="004A761D"/>
    <w:rsid w:val="004B03A8"/>
    <w:rsid w:val="004B1643"/>
    <w:rsid w:val="004B1E38"/>
    <w:rsid w:val="004B2A05"/>
    <w:rsid w:val="004B2E60"/>
    <w:rsid w:val="004B3C9F"/>
    <w:rsid w:val="004B44AF"/>
    <w:rsid w:val="004B4652"/>
    <w:rsid w:val="004B5C43"/>
    <w:rsid w:val="004B62E8"/>
    <w:rsid w:val="004B6409"/>
    <w:rsid w:val="004B7305"/>
    <w:rsid w:val="004C0564"/>
    <w:rsid w:val="004C0A43"/>
    <w:rsid w:val="004C0EDA"/>
    <w:rsid w:val="004C1F53"/>
    <w:rsid w:val="004C2193"/>
    <w:rsid w:val="004C2669"/>
    <w:rsid w:val="004C2C98"/>
    <w:rsid w:val="004C448E"/>
    <w:rsid w:val="004C5660"/>
    <w:rsid w:val="004C5FA5"/>
    <w:rsid w:val="004C723F"/>
    <w:rsid w:val="004C78BF"/>
    <w:rsid w:val="004D0207"/>
    <w:rsid w:val="004D1D43"/>
    <w:rsid w:val="004D1FEA"/>
    <w:rsid w:val="004D205B"/>
    <w:rsid w:val="004D251E"/>
    <w:rsid w:val="004D2F70"/>
    <w:rsid w:val="004D327F"/>
    <w:rsid w:val="004D5244"/>
    <w:rsid w:val="004D53C4"/>
    <w:rsid w:val="004D5FAD"/>
    <w:rsid w:val="004D6430"/>
    <w:rsid w:val="004D6A41"/>
    <w:rsid w:val="004D6C7C"/>
    <w:rsid w:val="004D7D0C"/>
    <w:rsid w:val="004E0177"/>
    <w:rsid w:val="004E1700"/>
    <w:rsid w:val="004E2BB4"/>
    <w:rsid w:val="004E342D"/>
    <w:rsid w:val="004E3C8F"/>
    <w:rsid w:val="004E41C3"/>
    <w:rsid w:val="004E513C"/>
    <w:rsid w:val="004E583A"/>
    <w:rsid w:val="004E5D33"/>
    <w:rsid w:val="004E62BB"/>
    <w:rsid w:val="004F0D74"/>
    <w:rsid w:val="004F1619"/>
    <w:rsid w:val="004F20B3"/>
    <w:rsid w:val="004F239D"/>
    <w:rsid w:val="004F247C"/>
    <w:rsid w:val="004F3F86"/>
    <w:rsid w:val="004F5E98"/>
    <w:rsid w:val="004F6AEA"/>
    <w:rsid w:val="004F7462"/>
    <w:rsid w:val="004F776A"/>
    <w:rsid w:val="004F7DFC"/>
    <w:rsid w:val="004F7FA4"/>
    <w:rsid w:val="0050081A"/>
    <w:rsid w:val="00501AD9"/>
    <w:rsid w:val="0050234C"/>
    <w:rsid w:val="005028E5"/>
    <w:rsid w:val="00504239"/>
    <w:rsid w:val="005045B1"/>
    <w:rsid w:val="00504CFF"/>
    <w:rsid w:val="00505655"/>
    <w:rsid w:val="00505D75"/>
    <w:rsid w:val="00505EB6"/>
    <w:rsid w:val="00506376"/>
    <w:rsid w:val="00506ADC"/>
    <w:rsid w:val="00506CB2"/>
    <w:rsid w:val="005070BC"/>
    <w:rsid w:val="0050715E"/>
    <w:rsid w:val="00507BE7"/>
    <w:rsid w:val="005117DB"/>
    <w:rsid w:val="00511F73"/>
    <w:rsid w:val="005121D9"/>
    <w:rsid w:val="00512ADD"/>
    <w:rsid w:val="0051320C"/>
    <w:rsid w:val="005141D8"/>
    <w:rsid w:val="005158F7"/>
    <w:rsid w:val="00516A26"/>
    <w:rsid w:val="00516C37"/>
    <w:rsid w:val="00517A8A"/>
    <w:rsid w:val="00517F24"/>
    <w:rsid w:val="00520592"/>
    <w:rsid w:val="00520AC9"/>
    <w:rsid w:val="005218A4"/>
    <w:rsid w:val="00522480"/>
    <w:rsid w:val="00523BE9"/>
    <w:rsid w:val="0052410D"/>
    <w:rsid w:val="005260AA"/>
    <w:rsid w:val="005267AC"/>
    <w:rsid w:val="00526D04"/>
    <w:rsid w:val="00527655"/>
    <w:rsid w:val="00527E63"/>
    <w:rsid w:val="0053016E"/>
    <w:rsid w:val="0053108A"/>
    <w:rsid w:val="00531BC8"/>
    <w:rsid w:val="00531E9F"/>
    <w:rsid w:val="005338D5"/>
    <w:rsid w:val="00534421"/>
    <w:rsid w:val="005346AA"/>
    <w:rsid w:val="00534979"/>
    <w:rsid w:val="00534C9C"/>
    <w:rsid w:val="00536998"/>
    <w:rsid w:val="005369A0"/>
    <w:rsid w:val="00537125"/>
    <w:rsid w:val="005378BD"/>
    <w:rsid w:val="00540187"/>
    <w:rsid w:val="005401D3"/>
    <w:rsid w:val="00540918"/>
    <w:rsid w:val="00540ADF"/>
    <w:rsid w:val="00540B70"/>
    <w:rsid w:val="0054107E"/>
    <w:rsid w:val="00542ACF"/>
    <w:rsid w:val="00542FF8"/>
    <w:rsid w:val="0054381C"/>
    <w:rsid w:val="00543E52"/>
    <w:rsid w:val="00544015"/>
    <w:rsid w:val="005441E3"/>
    <w:rsid w:val="00544565"/>
    <w:rsid w:val="005459AD"/>
    <w:rsid w:val="0054640C"/>
    <w:rsid w:val="00547858"/>
    <w:rsid w:val="00547DE2"/>
    <w:rsid w:val="00547F53"/>
    <w:rsid w:val="0055040D"/>
    <w:rsid w:val="00550CAC"/>
    <w:rsid w:val="00550F86"/>
    <w:rsid w:val="00552792"/>
    <w:rsid w:val="005535BA"/>
    <w:rsid w:val="00554A2C"/>
    <w:rsid w:val="005568DF"/>
    <w:rsid w:val="0056053C"/>
    <w:rsid w:val="00560B4D"/>
    <w:rsid w:val="0056148D"/>
    <w:rsid w:val="005635C4"/>
    <w:rsid w:val="0056377B"/>
    <w:rsid w:val="00563A3D"/>
    <w:rsid w:val="00563C12"/>
    <w:rsid w:val="00563C53"/>
    <w:rsid w:val="00564C66"/>
    <w:rsid w:val="0056504D"/>
    <w:rsid w:val="00565287"/>
    <w:rsid w:val="0056662C"/>
    <w:rsid w:val="00567729"/>
    <w:rsid w:val="00572DE8"/>
    <w:rsid w:val="0057301E"/>
    <w:rsid w:val="005752C4"/>
    <w:rsid w:val="005754A7"/>
    <w:rsid w:val="0057554C"/>
    <w:rsid w:val="0057619A"/>
    <w:rsid w:val="005768BC"/>
    <w:rsid w:val="00576A32"/>
    <w:rsid w:val="00580DF6"/>
    <w:rsid w:val="005818CE"/>
    <w:rsid w:val="00582BF8"/>
    <w:rsid w:val="00583165"/>
    <w:rsid w:val="0058334C"/>
    <w:rsid w:val="00583567"/>
    <w:rsid w:val="00584715"/>
    <w:rsid w:val="00584A58"/>
    <w:rsid w:val="00586527"/>
    <w:rsid w:val="0058799C"/>
    <w:rsid w:val="00587A91"/>
    <w:rsid w:val="00587C56"/>
    <w:rsid w:val="0059098A"/>
    <w:rsid w:val="005917D3"/>
    <w:rsid w:val="00593A1B"/>
    <w:rsid w:val="00593AEB"/>
    <w:rsid w:val="00593B15"/>
    <w:rsid w:val="00594292"/>
    <w:rsid w:val="0059522B"/>
    <w:rsid w:val="00596936"/>
    <w:rsid w:val="0059699F"/>
    <w:rsid w:val="00596D6D"/>
    <w:rsid w:val="00597CDD"/>
    <w:rsid w:val="00597FBD"/>
    <w:rsid w:val="005A1264"/>
    <w:rsid w:val="005A1A26"/>
    <w:rsid w:val="005A2243"/>
    <w:rsid w:val="005A262C"/>
    <w:rsid w:val="005A289C"/>
    <w:rsid w:val="005A30C2"/>
    <w:rsid w:val="005A3B85"/>
    <w:rsid w:val="005A53E5"/>
    <w:rsid w:val="005A5DA6"/>
    <w:rsid w:val="005A5EF8"/>
    <w:rsid w:val="005A7DFC"/>
    <w:rsid w:val="005B0606"/>
    <w:rsid w:val="005B1061"/>
    <w:rsid w:val="005B1299"/>
    <w:rsid w:val="005B183D"/>
    <w:rsid w:val="005B2068"/>
    <w:rsid w:val="005B23FF"/>
    <w:rsid w:val="005B2C1B"/>
    <w:rsid w:val="005B3828"/>
    <w:rsid w:val="005B4083"/>
    <w:rsid w:val="005B4DF5"/>
    <w:rsid w:val="005B4FA2"/>
    <w:rsid w:val="005B5437"/>
    <w:rsid w:val="005B5A85"/>
    <w:rsid w:val="005B5C06"/>
    <w:rsid w:val="005B5E4E"/>
    <w:rsid w:val="005B6FE9"/>
    <w:rsid w:val="005C1AF9"/>
    <w:rsid w:val="005C2667"/>
    <w:rsid w:val="005C36E4"/>
    <w:rsid w:val="005C4196"/>
    <w:rsid w:val="005C460F"/>
    <w:rsid w:val="005C5DAF"/>
    <w:rsid w:val="005C6DD0"/>
    <w:rsid w:val="005D1369"/>
    <w:rsid w:val="005D1B0E"/>
    <w:rsid w:val="005D1BC7"/>
    <w:rsid w:val="005D212D"/>
    <w:rsid w:val="005D2905"/>
    <w:rsid w:val="005D297B"/>
    <w:rsid w:val="005D4810"/>
    <w:rsid w:val="005D54C9"/>
    <w:rsid w:val="005D5C11"/>
    <w:rsid w:val="005D5D93"/>
    <w:rsid w:val="005D6682"/>
    <w:rsid w:val="005D69B8"/>
    <w:rsid w:val="005D7D32"/>
    <w:rsid w:val="005E039F"/>
    <w:rsid w:val="005E094B"/>
    <w:rsid w:val="005E1468"/>
    <w:rsid w:val="005E1ABA"/>
    <w:rsid w:val="005E1D05"/>
    <w:rsid w:val="005E24DD"/>
    <w:rsid w:val="005E2A13"/>
    <w:rsid w:val="005E2E1C"/>
    <w:rsid w:val="005E2EBC"/>
    <w:rsid w:val="005E702D"/>
    <w:rsid w:val="005E7BEF"/>
    <w:rsid w:val="005F03E5"/>
    <w:rsid w:val="005F0F4F"/>
    <w:rsid w:val="005F10A2"/>
    <w:rsid w:val="005F10F3"/>
    <w:rsid w:val="005F177F"/>
    <w:rsid w:val="005F2476"/>
    <w:rsid w:val="005F2523"/>
    <w:rsid w:val="005F26DE"/>
    <w:rsid w:val="005F2F15"/>
    <w:rsid w:val="005F4119"/>
    <w:rsid w:val="005F49D1"/>
    <w:rsid w:val="005F4D54"/>
    <w:rsid w:val="005F51F1"/>
    <w:rsid w:val="005F7438"/>
    <w:rsid w:val="005F77BC"/>
    <w:rsid w:val="005F7F50"/>
    <w:rsid w:val="006001B6"/>
    <w:rsid w:val="006009A7"/>
    <w:rsid w:val="006012EF"/>
    <w:rsid w:val="00602B69"/>
    <w:rsid w:val="00602D2D"/>
    <w:rsid w:val="0060371F"/>
    <w:rsid w:val="00603DCF"/>
    <w:rsid w:val="006043EB"/>
    <w:rsid w:val="0060455A"/>
    <w:rsid w:val="00604639"/>
    <w:rsid w:val="00605B20"/>
    <w:rsid w:val="00606312"/>
    <w:rsid w:val="0060785F"/>
    <w:rsid w:val="00610B87"/>
    <w:rsid w:val="00611D92"/>
    <w:rsid w:val="00612587"/>
    <w:rsid w:val="006134EF"/>
    <w:rsid w:val="0061368B"/>
    <w:rsid w:val="0061450A"/>
    <w:rsid w:val="00614A3A"/>
    <w:rsid w:val="00614C87"/>
    <w:rsid w:val="00615021"/>
    <w:rsid w:val="00616538"/>
    <w:rsid w:val="00620744"/>
    <w:rsid w:val="0062182D"/>
    <w:rsid w:val="00621A12"/>
    <w:rsid w:val="00621B49"/>
    <w:rsid w:val="006225EA"/>
    <w:rsid w:val="00622793"/>
    <w:rsid w:val="00622E24"/>
    <w:rsid w:val="00623DB0"/>
    <w:rsid w:val="00624760"/>
    <w:rsid w:val="0062580C"/>
    <w:rsid w:val="00626393"/>
    <w:rsid w:val="00627CC1"/>
    <w:rsid w:val="0063153C"/>
    <w:rsid w:val="00632073"/>
    <w:rsid w:val="00632FEB"/>
    <w:rsid w:val="00633C94"/>
    <w:rsid w:val="006342AF"/>
    <w:rsid w:val="00634C8A"/>
    <w:rsid w:val="00634F54"/>
    <w:rsid w:val="00635015"/>
    <w:rsid w:val="006364C2"/>
    <w:rsid w:val="006365B3"/>
    <w:rsid w:val="00636887"/>
    <w:rsid w:val="006409D6"/>
    <w:rsid w:val="00641990"/>
    <w:rsid w:val="00641B65"/>
    <w:rsid w:val="00641C97"/>
    <w:rsid w:val="0064220D"/>
    <w:rsid w:val="006427BA"/>
    <w:rsid w:val="00643014"/>
    <w:rsid w:val="006432FC"/>
    <w:rsid w:val="006433CB"/>
    <w:rsid w:val="00643731"/>
    <w:rsid w:val="0064396A"/>
    <w:rsid w:val="006439AF"/>
    <w:rsid w:val="006444E1"/>
    <w:rsid w:val="006454E3"/>
    <w:rsid w:val="006519C6"/>
    <w:rsid w:val="00652B49"/>
    <w:rsid w:val="00654909"/>
    <w:rsid w:val="006550DD"/>
    <w:rsid w:val="00655836"/>
    <w:rsid w:val="00657AF5"/>
    <w:rsid w:val="00660600"/>
    <w:rsid w:val="0066183C"/>
    <w:rsid w:val="00661F64"/>
    <w:rsid w:val="00662005"/>
    <w:rsid w:val="00662C3B"/>
    <w:rsid w:val="006631D7"/>
    <w:rsid w:val="0066460D"/>
    <w:rsid w:val="00664C31"/>
    <w:rsid w:val="00667B7A"/>
    <w:rsid w:val="00671103"/>
    <w:rsid w:val="00672920"/>
    <w:rsid w:val="00672EF7"/>
    <w:rsid w:val="006772DB"/>
    <w:rsid w:val="00677FCE"/>
    <w:rsid w:val="006807C8"/>
    <w:rsid w:val="00681554"/>
    <w:rsid w:val="00681648"/>
    <w:rsid w:val="00682AC6"/>
    <w:rsid w:val="00683EDB"/>
    <w:rsid w:val="00684392"/>
    <w:rsid w:val="006844E8"/>
    <w:rsid w:val="0069060C"/>
    <w:rsid w:val="006915D9"/>
    <w:rsid w:val="00691749"/>
    <w:rsid w:val="00691A4E"/>
    <w:rsid w:val="00691CD0"/>
    <w:rsid w:val="006929E2"/>
    <w:rsid w:val="006941FD"/>
    <w:rsid w:val="00694487"/>
    <w:rsid w:val="00694CAF"/>
    <w:rsid w:val="00695133"/>
    <w:rsid w:val="006951FA"/>
    <w:rsid w:val="006952D5"/>
    <w:rsid w:val="00696BD5"/>
    <w:rsid w:val="006A0519"/>
    <w:rsid w:val="006A0702"/>
    <w:rsid w:val="006A0F45"/>
    <w:rsid w:val="006A1E3D"/>
    <w:rsid w:val="006A1F5D"/>
    <w:rsid w:val="006A2CAE"/>
    <w:rsid w:val="006A2CDD"/>
    <w:rsid w:val="006A35B6"/>
    <w:rsid w:val="006B01EB"/>
    <w:rsid w:val="006B0E90"/>
    <w:rsid w:val="006B115A"/>
    <w:rsid w:val="006B18B3"/>
    <w:rsid w:val="006B1D22"/>
    <w:rsid w:val="006B24ED"/>
    <w:rsid w:val="006B48A7"/>
    <w:rsid w:val="006B595F"/>
    <w:rsid w:val="006B6234"/>
    <w:rsid w:val="006C00F7"/>
    <w:rsid w:val="006C17BE"/>
    <w:rsid w:val="006C1EDA"/>
    <w:rsid w:val="006C283E"/>
    <w:rsid w:val="006C3578"/>
    <w:rsid w:val="006C412B"/>
    <w:rsid w:val="006C45F2"/>
    <w:rsid w:val="006C5C84"/>
    <w:rsid w:val="006C6346"/>
    <w:rsid w:val="006C6369"/>
    <w:rsid w:val="006C66C6"/>
    <w:rsid w:val="006C6FB5"/>
    <w:rsid w:val="006D043E"/>
    <w:rsid w:val="006D0651"/>
    <w:rsid w:val="006D123C"/>
    <w:rsid w:val="006D154C"/>
    <w:rsid w:val="006D22D6"/>
    <w:rsid w:val="006D3A20"/>
    <w:rsid w:val="006D555B"/>
    <w:rsid w:val="006D6537"/>
    <w:rsid w:val="006D68ED"/>
    <w:rsid w:val="006D79AC"/>
    <w:rsid w:val="006E00D5"/>
    <w:rsid w:val="006E28FF"/>
    <w:rsid w:val="006E396E"/>
    <w:rsid w:val="006E4BB3"/>
    <w:rsid w:val="006E4CA5"/>
    <w:rsid w:val="006E4EE2"/>
    <w:rsid w:val="006E5BC8"/>
    <w:rsid w:val="006E67C8"/>
    <w:rsid w:val="006E6A4A"/>
    <w:rsid w:val="006E7D6E"/>
    <w:rsid w:val="006F0D59"/>
    <w:rsid w:val="006F10EF"/>
    <w:rsid w:val="006F1AB6"/>
    <w:rsid w:val="006F2840"/>
    <w:rsid w:val="006F4D9E"/>
    <w:rsid w:val="006F5736"/>
    <w:rsid w:val="006F73D8"/>
    <w:rsid w:val="006F7E62"/>
    <w:rsid w:val="007002A3"/>
    <w:rsid w:val="00700875"/>
    <w:rsid w:val="00700B5F"/>
    <w:rsid w:val="00700B64"/>
    <w:rsid w:val="00700DBD"/>
    <w:rsid w:val="00702437"/>
    <w:rsid w:val="00703355"/>
    <w:rsid w:val="007037D4"/>
    <w:rsid w:val="00704FE3"/>
    <w:rsid w:val="0070504B"/>
    <w:rsid w:val="007056AB"/>
    <w:rsid w:val="00705E41"/>
    <w:rsid w:val="00707924"/>
    <w:rsid w:val="00707A5C"/>
    <w:rsid w:val="00710267"/>
    <w:rsid w:val="00710C07"/>
    <w:rsid w:val="00711E8E"/>
    <w:rsid w:val="00711F49"/>
    <w:rsid w:val="0071257E"/>
    <w:rsid w:val="007153B8"/>
    <w:rsid w:val="00715683"/>
    <w:rsid w:val="0071595A"/>
    <w:rsid w:val="00715E7C"/>
    <w:rsid w:val="00716B01"/>
    <w:rsid w:val="00716C3B"/>
    <w:rsid w:val="007173C6"/>
    <w:rsid w:val="00717E06"/>
    <w:rsid w:val="00720FA4"/>
    <w:rsid w:val="007211CE"/>
    <w:rsid w:val="00722CEF"/>
    <w:rsid w:val="007235F7"/>
    <w:rsid w:val="007249D8"/>
    <w:rsid w:val="0072551C"/>
    <w:rsid w:val="007309D0"/>
    <w:rsid w:val="00730C0B"/>
    <w:rsid w:val="00731193"/>
    <w:rsid w:val="00731376"/>
    <w:rsid w:val="0073180A"/>
    <w:rsid w:val="0073186B"/>
    <w:rsid w:val="00732047"/>
    <w:rsid w:val="00732A96"/>
    <w:rsid w:val="00733ECA"/>
    <w:rsid w:val="00734A99"/>
    <w:rsid w:val="00734D9A"/>
    <w:rsid w:val="007379EF"/>
    <w:rsid w:val="00737DE4"/>
    <w:rsid w:val="00737F00"/>
    <w:rsid w:val="00740D91"/>
    <w:rsid w:val="00741218"/>
    <w:rsid w:val="00741620"/>
    <w:rsid w:val="007419DA"/>
    <w:rsid w:val="00741E79"/>
    <w:rsid w:val="0074286B"/>
    <w:rsid w:val="00742DBB"/>
    <w:rsid w:val="0074328A"/>
    <w:rsid w:val="00743553"/>
    <w:rsid w:val="0074411E"/>
    <w:rsid w:val="00744629"/>
    <w:rsid w:val="0074564F"/>
    <w:rsid w:val="007471E8"/>
    <w:rsid w:val="00747FD9"/>
    <w:rsid w:val="00750DF4"/>
    <w:rsid w:val="007534D3"/>
    <w:rsid w:val="007548AB"/>
    <w:rsid w:val="007551F3"/>
    <w:rsid w:val="00755237"/>
    <w:rsid w:val="00755803"/>
    <w:rsid w:val="007562A5"/>
    <w:rsid w:val="00756907"/>
    <w:rsid w:val="007608F2"/>
    <w:rsid w:val="00760EDE"/>
    <w:rsid w:val="007622B7"/>
    <w:rsid w:val="00763A52"/>
    <w:rsid w:val="00764B73"/>
    <w:rsid w:val="00764F86"/>
    <w:rsid w:val="00765BA8"/>
    <w:rsid w:val="00766B3C"/>
    <w:rsid w:val="00766F43"/>
    <w:rsid w:val="00767B93"/>
    <w:rsid w:val="00770BB4"/>
    <w:rsid w:val="00771F42"/>
    <w:rsid w:val="00772F9C"/>
    <w:rsid w:val="0077534C"/>
    <w:rsid w:val="00775E71"/>
    <w:rsid w:val="00776301"/>
    <w:rsid w:val="00776C2C"/>
    <w:rsid w:val="00776F3F"/>
    <w:rsid w:val="00776FE1"/>
    <w:rsid w:val="00777382"/>
    <w:rsid w:val="00780590"/>
    <w:rsid w:val="00780D7E"/>
    <w:rsid w:val="00781319"/>
    <w:rsid w:val="00781DCE"/>
    <w:rsid w:val="00782906"/>
    <w:rsid w:val="00783F84"/>
    <w:rsid w:val="007841F9"/>
    <w:rsid w:val="007843D8"/>
    <w:rsid w:val="007858A2"/>
    <w:rsid w:val="00786A34"/>
    <w:rsid w:val="00786EAB"/>
    <w:rsid w:val="00787449"/>
    <w:rsid w:val="00787A76"/>
    <w:rsid w:val="00790C61"/>
    <w:rsid w:val="00791EC3"/>
    <w:rsid w:val="007921C1"/>
    <w:rsid w:val="007938C2"/>
    <w:rsid w:val="0079496C"/>
    <w:rsid w:val="007970E8"/>
    <w:rsid w:val="0079717B"/>
    <w:rsid w:val="007972FE"/>
    <w:rsid w:val="007A0D55"/>
    <w:rsid w:val="007A10FA"/>
    <w:rsid w:val="007A138A"/>
    <w:rsid w:val="007A44DA"/>
    <w:rsid w:val="007A4572"/>
    <w:rsid w:val="007A53E6"/>
    <w:rsid w:val="007A66CC"/>
    <w:rsid w:val="007A6C4F"/>
    <w:rsid w:val="007A6D4D"/>
    <w:rsid w:val="007A71FB"/>
    <w:rsid w:val="007A7570"/>
    <w:rsid w:val="007A77E0"/>
    <w:rsid w:val="007A7A41"/>
    <w:rsid w:val="007A7B15"/>
    <w:rsid w:val="007A7DED"/>
    <w:rsid w:val="007B0B37"/>
    <w:rsid w:val="007B0B46"/>
    <w:rsid w:val="007B0C52"/>
    <w:rsid w:val="007B1865"/>
    <w:rsid w:val="007B2301"/>
    <w:rsid w:val="007B31FD"/>
    <w:rsid w:val="007B33D1"/>
    <w:rsid w:val="007B469A"/>
    <w:rsid w:val="007B4FDB"/>
    <w:rsid w:val="007C210C"/>
    <w:rsid w:val="007C3593"/>
    <w:rsid w:val="007C3951"/>
    <w:rsid w:val="007C44C6"/>
    <w:rsid w:val="007C4746"/>
    <w:rsid w:val="007C48F1"/>
    <w:rsid w:val="007C4EA3"/>
    <w:rsid w:val="007C5C0E"/>
    <w:rsid w:val="007C5E9A"/>
    <w:rsid w:val="007D044A"/>
    <w:rsid w:val="007D0E32"/>
    <w:rsid w:val="007D0E99"/>
    <w:rsid w:val="007D1154"/>
    <w:rsid w:val="007D30DC"/>
    <w:rsid w:val="007D5345"/>
    <w:rsid w:val="007D5C1C"/>
    <w:rsid w:val="007D606D"/>
    <w:rsid w:val="007D6171"/>
    <w:rsid w:val="007D6CF8"/>
    <w:rsid w:val="007D7A71"/>
    <w:rsid w:val="007E023E"/>
    <w:rsid w:val="007E142E"/>
    <w:rsid w:val="007E1C44"/>
    <w:rsid w:val="007E1E78"/>
    <w:rsid w:val="007E238C"/>
    <w:rsid w:val="007E30A6"/>
    <w:rsid w:val="007E349C"/>
    <w:rsid w:val="007E39FD"/>
    <w:rsid w:val="007E43F2"/>
    <w:rsid w:val="007E56C8"/>
    <w:rsid w:val="007E6B4B"/>
    <w:rsid w:val="007F2953"/>
    <w:rsid w:val="007F2E08"/>
    <w:rsid w:val="007F306B"/>
    <w:rsid w:val="007F36AF"/>
    <w:rsid w:val="007F58D3"/>
    <w:rsid w:val="007F5D9D"/>
    <w:rsid w:val="007F5E8F"/>
    <w:rsid w:val="007F7477"/>
    <w:rsid w:val="007F75CA"/>
    <w:rsid w:val="007F788D"/>
    <w:rsid w:val="008002AE"/>
    <w:rsid w:val="008002FF"/>
    <w:rsid w:val="00801C3F"/>
    <w:rsid w:val="00802FB9"/>
    <w:rsid w:val="008032F4"/>
    <w:rsid w:val="0080383C"/>
    <w:rsid w:val="008039E6"/>
    <w:rsid w:val="00803F18"/>
    <w:rsid w:val="00804277"/>
    <w:rsid w:val="008053FE"/>
    <w:rsid w:val="008058BE"/>
    <w:rsid w:val="0080599B"/>
    <w:rsid w:val="00805AE9"/>
    <w:rsid w:val="0080704D"/>
    <w:rsid w:val="0081050C"/>
    <w:rsid w:val="0081060B"/>
    <w:rsid w:val="008117F7"/>
    <w:rsid w:val="00811A9E"/>
    <w:rsid w:val="008122F5"/>
    <w:rsid w:val="00812670"/>
    <w:rsid w:val="0081295A"/>
    <w:rsid w:val="00812E7B"/>
    <w:rsid w:val="00813959"/>
    <w:rsid w:val="008144F1"/>
    <w:rsid w:val="008150C8"/>
    <w:rsid w:val="00815BEE"/>
    <w:rsid w:val="00817ACF"/>
    <w:rsid w:val="00820397"/>
    <w:rsid w:val="00820D6F"/>
    <w:rsid w:val="008239A0"/>
    <w:rsid w:val="0082400E"/>
    <w:rsid w:val="00824423"/>
    <w:rsid w:val="00825122"/>
    <w:rsid w:val="0082641B"/>
    <w:rsid w:val="008272FD"/>
    <w:rsid w:val="008273D5"/>
    <w:rsid w:val="008303DF"/>
    <w:rsid w:val="00831586"/>
    <w:rsid w:val="00831FAD"/>
    <w:rsid w:val="008327D1"/>
    <w:rsid w:val="00833190"/>
    <w:rsid w:val="00833CA6"/>
    <w:rsid w:val="008344A5"/>
    <w:rsid w:val="0083687A"/>
    <w:rsid w:val="00837FDF"/>
    <w:rsid w:val="0084035E"/>
    <w:rsid w:val="0084163E"/>
    <w:rsid w:val="00841B38"/>
    <w:rsid w:val="00841F4C"/>
    <w:rsid w:val="008420E4"/>
    <w:rsid w:val="008426D6"/>
    <w:rsid w:val="0084458D"/>
    <w:rsid w:val="00845ACC"/>
    <w:rsid w:val="00846418"/>
    <w:rsid w:val="0084701A"/>
    <w:rsid w:val="00847360"/>
    <w:rsid w:val="008475B4"/>
    <w:rsid w:val="008476AB"/>
    <w:rsid w:val="00847A58"/>
    <w:rsid w:val="00850546"/>
    <w:rsid w:val="00850A4B"/>
    <w:rsid w:val="00850E87"/>
    <w:rsid w:val="00850FC0"/>
    <w:rsid w:val="008533C6"/>
    <w:rsid w:val="00853986"/>
    <w:rsid w:val="0085566C"/>
    <w:rsid w:val="00855915"/>
    <w:rsid w:val="00855B43"/>
    <w:rsid w:val="00855B80"/>
    <w:rsid w:val="00857E42"/>
    <w:rsid w:val="00857F1A"/>
    <w:rsid w:val="0086049C"/>
    <w:rsid w:val="00861F97"/>
    <w:rsid w:val="0086272E"/>
    <w:rsid w:val="0086475F"/>
    <w:rsid w:val="008648D6"/>
    <w:rsid w:val="00864994"/>
    <w:rsid w:val="00865829"/>
    <w:rsid w:val="00865F6F"/>
    <w:rsid w:val="008677F1"/>
    <w:rsid w:val="00867BC3"/>
    <w:rsid w:val="00870A47"/>
    <w:rsid w:val="00870EB7"/>
    <w:rsid w:val="00871126"/>
    <w:rsid w:val="0087121B"/>
    <w:rsid w:val="00871407"/>
    <w:rsid w:val="00871B1F"/>
    <w:rsid w:val="00871E7B"/>
    <w:rsid w:val="00872105"/>
    <w:rsid w:val="008723CA"/>
    <w:rsid w:val="00872750"/>
    <w:rsid w:val="00873FC4"/>
    <w:rsid w:val="0087437F"/>
    <w:rsid w:val="00874DB8"/>
    <w:rsid w:val="0087698E"/>
    <w:rsid w:val="008778CC"/>
    <w:rsid w:val="00880E78"/>
    <w:rsid w:val="0088129F"/>
    <w:rsid w:val="0088182A"/>
    <w:rsid w:val="00881A1E"/>
    <w:rsid w:val="00881E98"/>
    <w:rsid w:val="00884014"/>
    <w:rsid w:val="00884135"/>
    <w:rsid w:val="00884850"/>
    <w:rsid w:val="00884B60"/>
    <w:rsid w:val="008870AA"/>
    <w:rsid w:val="00887C25"/>
    <w:rsid w:val="00887C60"/>
    <w:rsid w:val="00890F40"/>
    <w:rsid w:val="00891084"/>
    <w:rsid w:val="00891750"/>
    <w:rsid w:val="00893349"/>
    <w:rsid w:val="00893A39"/>
    <w:rsid w:val="00894FC6"/>
    <w:rsid w:val="00895C60"/>
    <w:rsid w:val="00896476"/>
    <w:rsid w:val="00896C0B"/>
    <w:rsid w:val="00897FE4"/>
    <w:rsid w:val="008A0338"/>
    <w:rsid w:val="008A0A04"/>
    <w:rsid w:val="008A16A9"/>
    <w:rsid w:val="008A190A"/>
    <w:rsid w:val="008A1B9E"/>
    <w:rsid w:val="008A21DC"/>
    <w:rsid w:val="008A3B9B"/>
    <w:rsid w:val="008A3C51"/>
    <w:rsid w:val="008A52A0"/>
    <w:rsid w:val="008A5AA2"/>
    <w:rsid w:val="008A69C6"/>
    <w:rsid w:val="008A6ABB"/>
    <w:rsid w:val="008A6F89"/>
    <w:rsid w:val="008A70AC"/>
    <w:rsid w:val="008A7CB9"/>
    <w:rsid w:val="008B0C2D"/>
    <w:rsid w:val="008B1B00"/>
    <w:rsid w:val="008B4550"/>
    <w:rsid w:val="008B4E8F"/>
    <w:rsid w:val="008B5822"/>
    <w:rsid w:val="008B72C3"/>
    <w:rsid w:val="008C05F2"/>
    <w:rsid w:val="008C064C"/>
    <w:rsid w:val="008C0651"/>
    <w:rsid w:val="008C1163"/>
    <w:rsid w:val="008C1B93"/>
    <w:rsid w:val="008C23CC"/>
    <w:rsid w:val="008C3905"/>
    <w:rsid w:val="008C4637"/>
    <w:rsid w:val="008C50BA"/>
    <w:rsid w:val="008C77C0"/>
    <w:rsid w:val="008C77D8"/>
    <w:rsid w:val="008C7EDA"/>
    <w:rsid w:val="008D10A0"/>
    <w:rsid w:val="008D11DE"/>
    <w:rsid w:val="008D1694"/>
    <w:rsid w:val="008D3211"/>
    <w:rsid w:val="008D376A"/>
    <w:rsid w:val="008D5122"/>
    <w:rsid w:val="008D5311"/>
    <w:rsid w:val="008D667B"/>
    <w:rsid w:val="008D7B18"/>
    <w:rsid w:val="008E04AC"/>
    <w:rsid w:val="008E05B5"/>
    <w:rsid w:val="008E1A72"/>
    <w:rsid w:val="008E4774"/>
    <w:rsid w:val="008E4984"/>
    <w:rsid w:val="008E4C0D"/>
    <w:rsid w:val="008E4CCD"/>
    <w:rsid w:val="008E61F6"/>
    <w:rsid w:val="008E62DB"/>
    <w:rsid w:val="008E639B"/>
    <w:rsid w:val="008E64CA"/>
    <w:rsid w:val="008E6716"/>
    <w:rsid w:val="008E6C9E"/>
    <w:rsid w:val="008E7D56"/>
    <w:rsid w:val="008F0061"/>
    <w:rsid w:val="008F3D59"/>
    <w:rsid w:val="008F3E76"/>
    <w:rsid w:val="008F3E8A"/>
    <w:rsid w:val="008F446D"/>
    <w:rsid w:val="008F5DDD"/>
    <w:rsid w:val="008F7479"/>
    <w:rsid w:val="008F74F5"/>
    <w:rsid w:val="008F786C"/>
    <w:rsid w:val="009003C1"/>
    <w:rsid w:val="0090059C"/>
    <w:rsid w:val="00900D37"/>
    <w:rsid w:val="00900FD1"/>
    <w:rsid w:val="00902B65"/>
    <w:rsid w:val="00903080"/>
    <w:rsid w:val="0090346D"/>
    <w:rsid w:val="009036DB"/>
    <w:rsid w:val="00903782"/>
    <w:rsid w:val="00904977"/>
    <w:rsid w:val="009049DB"/>
    <w:rsid w:val="009053D5"/>
    <w:rsid w:val="009058AB"/>
    <w:rsid w:val="00905AB8"/>
    <w:rsid w:val="009101E1"/>
    <w:rsid w:val="009125D1"/>
    <w:rsid w:val="009127B1"/>
    <w:rsid w:val="00912963"/>
    <w:rsid w:val="009140F8"/>
    <w:rsid w:val="009149FC"/>
    <w:rsid w:val="00915811"/>
    <w:rsid w:val="009165D6"/>
    <w:rsid w:val="00917333"/>
    <w:rsid w:val="0091741E"/>
    <w:rsid w:val="0091747E"/>
    <w:rsid w:val="00917580"/>
    <w:rsid w:val="00920DD7"/>
    <w:rsid w:val="00921373"/>
    <w:rsid w:val="00921A9F"/>
    <w:rsid w:val="00921ECF"/>
    <w:rsid w:val="00922471"/>
    <w:rsid w:val="00922753"/>
    <w:rsid w:val="00922777"/>
    <w:rsid w:val="00924D1D"/>
    <w:rsid w:val="009278C8"/>
    <w:rsid w:val="00927903"/>
    <w:rsid w:val="00930461"/>
    <w:rsid w:val="00931E1A"/>
    <w:rsid w:val="00933C78"/>
    <w:rsid w:val="00934352"/>
    <w:rsid w:val="00936D42"/>
    <w:rsid w:val="00937C6F"/>
    <w:rsid w:val="009402C6"/>
    <w:rsid w:val="00940552"/>
    <w:rsid w:val="00941C1B"/>
    <w:rsid w:val="009425BE"/>
    <w:rsid w:val="0094347E"/>
    <w:rsid w:val="0094487F"/>
    <w:rsid w:val="009449FB"/>
    <w:rsid w:val="00946825"/>
    <w:rsid w:val="00946C16"/>
    <w:rsid w:val="00946D78"/>
    <w:rsid w:val="00946EA1"/>
    <w:rsid w:val="00947889"/>
    <w:rsid w:val="00950248"/>
    <w:rsid w:val="009509ED"/>
    <w:rsid w:val="00950BE9"/>
    <w:rsid w:val="00950DE8"/>
    <w:rsid w:val="009522C7"/>
    <w:rsid w:val="009525D1"/>
    <w:rsid w:val="0095425A"/>
    <w:rsid w:val="009542E9"/>
    <w:rsid w:val="009544C5"/>
    <w:rsid w:val="009545E2"/>
    <w:rsid w:val="00954CDD"/>
    <w:rsid w:val="0095588A"/>
    <w:rsid w:val="00955975"/>
    <w:rsid w:val="00956D96"/>
    <w:rsid w:val="0096073A"/>
    <w:rsid w:val="00961485"/>
    <w:rsid w:val="009614D5"/>
    <w:rsid w:val="00962504"/>
    <w:rsid w:val="00964C53"/>
    <w:rsid w:val="00966DA0"/>
    <w:rsid w:val="00970BE3"/>
    <w:rsid w:val="00970EB3"/>
    <w:rsid w:val="0097290F"/>
    <w:rsid w:val="00972BDE"/>
    <w:rsid w:val="00972D7A"/>
    <w:rsid w:val="00973E6E"/>
    <w:rsid w:val="009749E8"/>
    <w:rsid w:val="00974F62"/>
    <w:rsid w:val="009750EB"/>
    <w:rsid w:val="00975644"/>
    <w:rsid w:val="00976FD2"/>
    <w:rsid w:val="0097761C"/>
    <w:rsid w:val="00977FAD"/>
    <w:rsid w:val="00980E21"/>
    <w:rsid w:val="00980F0E"/>
    <w:rsid w:val="0098158C"/>
    <w:rsid w:val="0098162B"/>
    <w:rsid w:val="0098229B"/>
    <w:rsid w:val="009829B5"/>
    <w:rsid w:val="00982CB8"/>
    <w:rsid w:val="00982FDE"/>
    <w:rsid w:val="0098329D"/>
    <w:rsid w:val="00984125"/>
    <w:rsid w:val="00984674"/>
    <w:rsid w:val="00985762"/>
    <w:rsid w:val="00986F17"/>
    <w:rsid w:val="0098704A"/>
    <w:rsid w:val="0098732B"/>
    <w:rsid w:val="00987590"/>
    <w:rsid w:val="009908DA"/>
    <w:rsid w:val="00990A07"/>
    <w:rsid w:val="00991386"/>
    <w:rsid w:val="009922D5"/>
    <w:rsid w:val="00992B20"/>
    <w:rsid w:val="009936A5"/>
    <w:rsid w:val="0099379C"/>
    <w:rsid w:val="00994BB8"/>
    <w:rsid w:val="0099510A"/>
    <w:rsid w:val="009952D3"/>
    <w:rsid w:val="009961B4"/>
    <w:rsid w:val="0099739C"/>
    <w:rsid w:val="009A1079"/>
    <w:rsid w:val="009A1BF3"/>
    <w:rsid w:val="009A2712"/>
    <w:rsid w:val="009A32B3"/>
    <w:rsid w:val="009A3DB4"/>
    <w:rsid w:val="009A4961"/>
    <w:rsid w:val="009A4AAD"/>
    <w:rsid w:val="009A57D9"/>
    <w:rsid w:val="009A635C"/>
    <w:rsid w:val="009B0DD9"/>
    <w:rsid w:val="009B19F1"/>
    <w:rsid w:val="009B1BAE"/>
    <w:rsid w:val="009B453B"/>
    <w:rsid w:val="009B4ED3"/>
    <w:rsid w:val="009B5FB3"/>
    <w:rsid w:val="009B5FC7"/>
    <w:rsid w:val="009B70B9"/>
    <w:rsid w:val="009C027C"/>
    <w:rsid w:val="009C0653"/>
    <w:rsid w:val="009C0D94"/>
    <w:rsid w:val="009C1E78"/>
    <w:rsid w:val="009C1FB0"/>
    <w:rsid w:val="009C3AA0"/>
    <w:rsid w:val="009C3D6D"/>
    <w:rsid w:val="009C5487"/>
    <w:rsid w:val="009C599C"/>
    <w:rsid w:val="009C7513"/>
    <w:rsid w:val="009C7A0C"/>
    <w:rsid w:val="009C7B9B"/>
    <w:rsid w:val="009D008B"/>
    <w:rsid w:val="009D2DFE"/>
    <w:rsid w:val="009D340C"/>
    <w:rsid w:val="009D35A2"/>
    <w:rsid w:val="009D3964"/>
    <w:rsid w:val="009D4DDA"/>
    <w:rsid w:val="009D532E"/>
    <w:rsid w:val="009D59F6"/>
    <w:rsid w:val="009D6067"/>
    <w:rsid w:val="009D619E"/>
    <w:rsid w:val="009E0740"/>
    <w:rsid w:val="009E1D1D"/>
    <w:rsid w:val="009E1D31"/>
    <w:rsid w:val="009E2455"/>
    <w:rsid w:val="009E2DEA"/>
    <w:rsid w:val="009E3255"/>
    <w:rsid w:val="009E3807"/>
    <w:rsid w:val="009E3A82"/>
    <w:rsid w:val="009E4313"/>
    <w:rsid w:val="009E4B80"/>
    <w:rsid w:val="009E52A8"/>
    <w:rsid w:val="009E6487"/>
    <w:rsid w:val="009E6FE0"/>
    <w:rsid w:val="009E7C82"/>
    <w:rsid w:val="009F019A"/>
    <w:rsid w:val="009F08E1"/>
    <w:rsid w:val="009F0A49"/>
    <w:rsid w:val="009F0A9D"/>
    <w:rsid w:val="009F12B1"/>
    <w:rsid w:val="009F1512"/>
    <w:rsid w:val="009F2E51"/>
    <w:rsid w:val="009F30D8"/>
    <w:rsid w:val="009F381C"/>
    <w:rsid w:val="009F3F9A"/>
    <w:rsid w:val="009F75B1"/>
    <w:rsid w:val="009F77D4"/>
    <w:rsid w:val="00A0029A"/>
    <w:rsid w:val="00A006D0"/>
    <w:rsid w:val="00A018F5"/>
    <w:rsid w:val="00A02007"/>
    <w:rsid w:val="00A024D4"/>
    <w:rsid w:val="00A026B0"/>
    <w:rsid w:val="00A02C57"/>
    <w:rsid w:val="00A03566"/>
    <w:rsid w:val="00A03C6C"/>
    <w:rsid w:val="00A0421A"/>
    <w:rsid w:val="00A04AD3"/>
    <w:rsid w:val="00A06981"/>
    <w:rsid w:val="00A06FE7"/>
    <w:rsid w:val="00A1023D"/>
    <w:rsid w:val="00A10E9A"/>
    <w:rsid w:val="00A112C7"/>
    <w:rsid w:val="00A11715"/>
    <w:rsid w:val="00A11A79"/>
    <w:rsid w:val="00A1305B"/>
    <w:rsid w:val="00A13171"/>
    <w:rsid w:val="00A138C8"/>
    <w:rsid w:val="00A13A38"/>
    <w:rsid w:val="00A13AF9"/>
    <w:rsid w:val="00A14E0D"/>
    <w:rsid w:val="00A1562B"/>
    <w:rsid w:val="00A15797"/>
    <w:rsid w:val="00A15E02"/>
    <w:rsid w:val="00A16DA3"/>
    <w:rsid w:val="00A1702D"/>
    <w:rsid w:val="00A20F28"/>
    <w:rsid w:val="00A21154"/>
    <w:rsid w:val="00A212A6"/>
    <w:rsid w:val="00A21F1A"/>
    <w:rsid w:val="00A221B0"/>
    <w:rsid w:val="00A23A71"/>
    <w:rsid w:val="00A250D9"/>
    <w:rsid w:val="00A2559F"/>
    <w:rsid w:val="00A2690A"/>
    <w:rsid w:val="00A27B0F"/>
    <w:rsid w:val="00A27D74"/>
    <w:rsid w:val="00A31877"/>
    <w:rsid w:val="00A31ECA"/>
    <w:rsid w:val="00A33560"/>
    <w:rsid w:val="00A33C87"/>
    <w:rsid w:val="00A340A4"/>
    <w:rsid w:val="00A3452F"/>
    <w:rsid w:val="00A34AC7"/>
    <w:rsid w:val="00A34B8E"/>
    <w:rsid w:val="00A34D12"/>
    <w:rsid w:val="00A34D15"/>
    <w:rsid w:val="00A35462"/>
    <w:rsid w:val="00A40C53"/>
    <w:rsid w:val="00A41C66"/>
    <w:rsid w:val="00A41D14"/>
    <w:rsid w:val="00A42231"/>
    <w:rsid w:val="00A428B5"/>
    <w:rsid w:val="00A42FB5"/>
    <w:rsid w:val="00A43396"/>
    <w:rsid w:val="00A434BD"/>
    <w:rsid w:val="00A45365"/>
    <w:rsid w:val="00A4636E"/>
    <w:rsid w:val="00A465C1"/>
    <w:rsid w:val="00A46A4C"/>
    <w:rsid w:val="00A47ABB"/>
    <w:rsid w:val="00A47ACE"/>
    <w:rsid w:val="00A501F4"/>
    <w:rsid w:val="00A50244"/>
    <w:rsid w:val="00A507DA"/>
    <w:rsid w:val="00A50EE9"/>
    <w:rsid w:val="00A50F0E"/>
    <w:rsid w:val="00A54520"/>
    <w:rsid w:val="00A54BFE"/>
    <w:rsid w:val="00A5552E"/>
    <w:rsid w:val="00A56165"/>
    <w:rsid w:val="00A57E64"/>
    <w:rsid w:val="00A60AE9"/>
    <w:rsid w:val="00A61201"/>
    <w:rsid w:val="00A612DE"/>
    <w:rsid w:val="00A629F1"/>
    <w:rsid w:val="00A62EF0"/>
    <w:rsid w:val="00A6443A"/>
    <w:rsid w:val="00A6487C"/>
    <w:rsid w:val="00A64AA8"/>
    <w:rsid w:val="00A661C3"/>
    <w:rsid w:val="00A662D1"/>
    <w:rsid w:val="00A6633B"/>
    <w:rsid w:val="00A66687"/>
    <w:rsid w:val="00A66B5A"/>
    <w:rsid w:val="00A67474"/>
    <w:rsid w:val="00A67493"/>
    <w:rsid w:val="00A70404"/>
    <w:rsid w:val="00A70652"/>
    <w:rsid w:val="00A71AA2"/>
    <w:rsid w:val="00A727B9"/>
    <w:rsid w:val="00A733E5"/>
    <w:rsid w:val="00A73C8A"/>
    <w:rsid w:val="00A73D41"/>
    <w:rsid w:val="00A7440E"/>
    <w:rsid w:val="00A74A0E"/>
    <w:rsid w:val="00A74EFB"/>
    <w:rsid w:val="00A75D60"/>
    <w:rsid w:val="00A77411"/>
    <w:rsid w:val="00A777C3"/>
    <w:rsid w:val="00A77CD4"/>
    <w:rsid w:val="00A809B9"/>
    <w:rsid w:val="00A81385"/>
    <w:rsid w:val="00A81CC2"/>
    <w:rsid w:val="00A82F0C"/>
    <w:rsid w:val="00A82FE3"/>
    <w:rsid w:val="00A847C7"/>
    <w:rsid w:val="00A84FD4"/>
    <w:rsid w:val="00A85AD4"/>
    <w:rsid w:val="00A900F6"/>
    <w:rsid w:val="00A91ADD"/>
    <w:rsid w:val="00A938BA"/>
    <w:rsid w:val="00A93947"/>
    <w:rsid w:val="00A94002"/>
    <w:rsid w:val="00A94F43"/>
    <w:rsid w:val="00A96EA2"/>
    <w:rsid w:val="00A9713B"/>
    <w:rsid w:val="00A97B19"/>
    <w:rsid w:val="00A97EB7"/>
    <w:rsid w:val="00A97F35"/>
    <w:rsid w:val="00A97F69"/>
    <w:rsid w:val="00AA0659"/>
    <w:rsid w:val="00AA2193"/>
    <w:rsid w:val="00AA2845"/>
    <w:rsid w:val="00AA2C04"/>
    <w:rsid w:val="00AA2E60"/>
    <w:rsid w:val="00AA30FB"/>
    <w:rsid w:val="00AA33AC"/>
    <w:rsid w:val="00AA382C"/>
    <w:rsid w:val="00AA46BE"/>
    <w:rsid w:val="00AA4AC4"/>
    <w:rsid w:val="00AA546D"/>
    <w:rsid w:val="00AA667A"/>
    <w:rsid w:val="00AA68E7"/>
    <w:rsid w:val="00AA7731"/>
    <w:rsid w:val="00AA7B7B"/>
    <w:rsid w:val="00AA7EDF"/>
    <w:rsid w:val="00AA7F3D"/>
    <w:rsid w:val="00AB0B6D"/>
    <w:rsid w:val="00AB1242"/>
    <w:rsid w:val="00AB153E"/>
    <w:rsid w:val="00AB1A8B"/>
    <w:rsid w:val="00AB1AA3"/>
    <w:rsid w:val="00AB2A87"/>
    <w:rsid w:val="00AB2B90"/>
    <w:rsid w:val="00AB3394"/>
    <w:rsid w:val="00AB3DC8"/>
    <w:rsid w:val="00AB5F4C"/>
    <w:rsid w:val="00AB6539"/>
    <w:rsid w:val="00AB6ACA"/>
    <w:rsid w:val="00AB6E1B"/>
    <w:rsid w:val="00AB7CC7"/>
    <w:rsid w:val="00AC0513"/>
    <w:rsid w:val="00AC07C9"/>
    <w:rsid w:val="00AC0AB5"/>
    <w:rsid w:val="00AC0B77"/>
    <w:rsid w:val="00AC136F"/>
    <w:rsid w:val="00AC1B70"/>
    <w:rsid w:val="00AC1FE8"/>
    <w:rsid w:val="00AC220A"/>
    <w:rsid w:val="00AC3047"/>
    <w:rsid w:val="00AC3A00"/>
    <w:rsid w:val="00AC41AD"/>
    <w:rsid w:val="00AC4209"/>
    <w:rsid w:val="00AC4C00"/>
    <w:rsid w:val="00AC549E"/>
    <w:rsid w:val="00AC5D55"/>
    <w:rsid w:val="00AD03C2"/>
    <w:rsid w:val="00AD05C0"/>
    <w:rsid w:val="00AD0617"/>
    <w:rsid w:val="00AD1837"/>
    <w:rsid w:val="00AD1F02"/>
    <w:rsid w:val="00AD23DD"/>
    <w:rsid w:val="00AD2443"/>
    <w:rsid w:val="00AD4888"/>
    <w:rsid w:val="00AD7C0D"/>
    <w:rsid w:val="00AE186F"/>
    <w:rsid w:val="00AE1ACF"/>
    <w:rsid w:val="00AE2864"/>
    <w:rsid w:val="00AE2A3F"/>
    <w:rsid w:val="00AE315D"/>
    <w:rsid w:val="00AE3FC6"/>
    <w:rsid w:val="00AE6965"/>
    <w:rsid w:val="00AE7B9D"/>
    <w:rsid w:val="00AE7BD4"/>
    <w:rsid w:val="00AE7C34"/>
    <w:rsid w:val="00AE7CE9"/>
    <w:rsid w:val="00AF011B"/>
    <w:rsid w:val="00AF1CC7"/>
    <w:rsid w:val="00AF2A4C"/>
    <w:rsid w:val="00AF2A67"/>
    <w:rsid w:val="00AF2F17"/>
    <w:rsid w:val="00AF320D"/>
    <w:rsid w:val="00AF36F1"/>
    <w:rsid w:val="00AF3FF7"/>
    <w:rsid w:val="00AF4DF3"/>
    <w:rsid w:val="00AF5A2B"/>
    <w:rsid w:val="00AF5E2B"/>
    <w:rsid w:val="00AF6ACD"/>
    <w:rsid w:val="00AF6DF1"/>
    <w:rsid w:val="00AF7B6B"/>
    <w:rsid w:val="00AF7D35"/>
    <w:rsid w:val="00B00BF1"/>
    <w:rsid w:val="00B00C51"/>
    <w:rsid w:val="00B012F2"/>
    <w:rsid w:val="00B01AF0"/>
    <w:rsid w:val="00B030C4"/>
    <w:rsid w:val="00B04B4C"/>
    <w:rsid w:val="00B05C91"/>
    <w:rsid w:val="00B067F8"/>
    <w:rsid w:val="00B07D82"/>
    <w:rsid w:val="00B104AC"/>
    <w:rsid w:val="00B1096A"/>
    <w:rsid w:val="00B10D93"/>
    <w:rsid w:val="00B11FD3"/>
    <w:rsid w:val="00B12855"/>
    <w:rsid w:val="00B12BF3"/>
    <w:rsid w:val="00B14EB5"/>
    <w:rsid w:val="00B15526"/>
    <w:rsid w:val="00B15707"/>
    <w:rsid w:val="00B1738F"/>
    <w:rsid w:val="00B201D0"/>
    <w:rsid w:val="00B20398"/>
    <w:rsid w:val="00B22A23"/>
    <w:rsid w:val="00B23154"/>
    <w:rsid w:val="00B233D1"/>
    <w:rsid w:val="00B23753"/>
    <w:rsid w:val="00B2541F"/>
    <w:rsid w:val="00B257D0"/>
    <w:rsid w:val="00B25864"/>
    <w:rsid w:val="00B26902"/>
    <w:rsid w:val="00B26F6E"/>
    <w:rsid w:val="00B27335"/>
    <w:rsid w:val="00B278E9"/>
    <w:rsid w:val="00B315B2"/>
    <w:rsid w:val="00B31C40"/>
    <w:rsid w:val="00B31E3D"/>
    <w:rsid w:val="00B3200F"/>
    <w:rsid w:val="00B32030"/>
    <w:rsid w:val="00B32473"/>
    <w:rsid w:val="00B32770"/>
    <w:rsid w:val="00B329DB"/>
    <w:rsid w:val="00B32B21"/>
    <w:rsid w:val="00B33952"/>
    <w:rsid w:val="00B3478F"/>
    <w:rsid w:val="00B34AB0"/>
    <w:rsid w:val="00B34D90"/>
    <w:rsid w:val="00B34F1B"/>
    <w:rsid w:val="00B350EB"/>
    <w:rsid w:val="00B35D86"/>
    <w:rsid w:val="00B36B5C"/>
    <w:rsid w:val="00B37512"/>
    <w:rsid w:val="00B424E1"/>
    <w:rsid w:val="00B42C1C"/>
    <w:rsid w:val="00B42C8F"/>
    <w:rsid w:val="00B4445B"/>
    <w:rsid w:val="00B450E8"/>
    <w:rsid w:val="00B45BA8"/>
    <w:rsid w:val="00B460B3"/>
    <w:rsid w:val="00B4705C"/>
    <w:rsid w:val="00B47391"/>
    <w:rsid w:val="00B47A58"/>
    <w:rsid w:val="00B47D85"/>
    <w:rsid w:val="00B47F60"/>
    <w:rsid w:val="00B50497"/>
    <w:rsid w:val="00B53060"/>
    <w:rsid w:val="00B5415C"/>
    <w:rsid w:val="00B544DF"/>
    <w:rsid w:val="00B553F0"/>
    <w:rsid w:val="00B55B5A"/>
    <w:rsid w:val="00B565AE"/>
    <w:rsid w:val="00B565F5"/>
    <w:rsid w:val="00B568AD"/>
    <w:rsid w:val="00B56B98"/>
    <w:rsid w:val="00B6028E"/>
    <w:rsid w:val="00B607E6"/>
    <w:rsid w:val="00B60D40"/>
    <w:rsid w:val="00B62A58"/>
    <w:rsid w:val="00B631EF"/>
    <w:rsid w:val="00B63608"/>
    <w:rsid w:val="00B6387F"/>
    <w:rsid w:val="00B63F0F"/>
    <w:rsid w:val="00B63FB5"/>
    <w:rsid w:val="00B649E2"/>
    <w:rsid w:val="00B64BE2"/>
    <w:rsid w:val="00B650CF"/>
    <w:rsid w:val="00B65881"/>
    <w:rsid w:val="00B673AB"/>
    <w:rsid w:val="00B67685"/>
    <w:rsid w:val="00B67F66"/>
    <w:rsid w:val="00B70D69"/>
    <w:rsid w:val="00B71C1F"/>
    <w:rsid w:val="00B737AC"/>
    <w:rsid w:val="00B75586"/>
    <w:rsid w:val="00B757CA"/>
    <w:rsid w:val="00B7591C"/>
    <w:rsid w:val="00B75BF2"/>
    <w:rsid w:val="00B75FF6"/>
    <w:rsid w:val="00B774A4"/>
    <w:rsid w:val="00B77533"/>
    <w:rsid w:val="00B7779C"/>
    <w:rsid w:val="00B80254"/>
    <w:rsid w:val="00B80EB7"/>
    <w:rsid w:val="00B81E84"/>
    <w:rsid w:val="00B82550"/>
    <w:rsid w:val="00B8398E"/>
    <w:rsid w:val="00B8455C"/>
    <w:rsid w:val="00B84724"/>
    <w:rsid w:val="00B85474"/>
    <w:rsid w:val="00B860F1"/>
    <w:rsid w:val="00B865B4"/>
    <w:rsid w:val="00B87BCB"/>
    <w:rsid w:val="00B87DC6"/>
    <w:rsid w:val="00B90504"/>
    <w:rsid w:val="00B9064B"/>
    <w:rsid w:val="00B90931"/>
    <w:rsid w:val="00B90C2B"/>
    <w:rsid w:val="00B91897"/>
    <w:rsid w:val="00B91E08"/>
    <w:rsid w:val="00B948E3"/>
    <w:rsid w:val="00B95B8A"/>
    <w:rsid w:val="00B95E52"/>
    <w:rsid w:val="00B960CC"/>
    <w:rsid w:val="00B9632C"/>
    <w:rsid w:val="00B97098"/>
    <w:rsid w:val="00BA039D"/>
    <w:rsid w:val="00BA04CC"/>
    <w:rsid w:val="00BA0BD1"/>
    <w:rsid w:val="00BA14E0"/>
    <w:rsid w:val="00BA360B"/>
    <w:rsid w:val="00BA3790"/>
    <w:rsid w:val="00BA50D2"/>
    <w:rsid w:val="00BA5A8E"/>
    <w:rsid w:val="00BA5F54"/>
    <w:rsid w:val="00BA602A"/>
    <w:rsid w:val="00BA6134"/>
    <w:rsid w:val="00BA6F27"/>
    <w:rsid w:val="00BA7C59"/>
    <w:rsid w:val="00BB2BC5"/>
    <w:rsid w:val="00BB2C04"/>
    <w:rsid w:val="00BB2FB3"/>
    <w:rsid w:val="00BB3340"/>
    <w:rsid w:val="00BB33A5"/>
    <w:rsid w:val="00BB38E4"/>
    <w:rsid w:val="00BB39DC"/>
    <w:rsid w:val="00BB3E2F"/>
    <w:rsid w:val="00BB46CD"/>
    <w:rsid w:val="00BB5B63"/>
    <w:rsid w:val="00BB68E8"/>
    <w:rsid w:val="00BB6A5F"/>
    <w:rsid w:val="00BB721B"/>
    <w:rsid w:val="00BB7CF4"/>
    <w:rsid w:val="00BC02FB"/>
    <w:rsid w:val="00BC132D"/>
    <w:rsid w:val="00BC132E"/>
    <w:rsid w:val="00BC1608"/>
    <w:rsid w:val="00BC21BE"/>
    <w:rsid w:val="00BC2AA8"/>
    <w:rsid w:val="00BC2CFD"/>
    <w:rsid w:val="00BC2E77"/>
    <w:rsid w:val="00BC369E"/>
    <w:rsid w:val="00BC384F"/>
    <w:rsid w:val="00BC4CBB"/>
    <w:rsid w:val="00BC4E4C"/>
    <w:rsid w:val="00BC52A5"/>
    <w:rsid w:val="00BC599D"/>
    <w:rsid w:val="00BC6D36"/>
    <w:rsid w:val="00BC70C1"/>
    <w:rsid w:val="00BC770C"/>
    <w:rsid w:val="00BD12D7"/>
    <w:rsid w:val="00BD1DC0"/>
    <w:rsid w:val="00BD2211"/>
    <w:rsid w:val="00BD31A4"/>
    <w:rsid w:val="00BD47DE"/>
    <w:rsid w:val="00BD4B34"/>
    <w:rsid w:val="00BD572F"/>
    <w:rsid w:val="00BD5E78"/>
    <w:rsid w:val="00BD642E"/>
    <w:rsid w:val="00BD6B7C"/>
    <w:rsid w:val="00BD7260"/>
    <w:rsid w:val="00BD732E"/>
    <w:rsid w:val="00BE009F"/>
    <w:rsid w:val="00BE0814"/>
    <w:rsid w:val="00BE0CD0"/>
    <w:rsid w:val="00BE12C6"/>
    <w:rsid w:val="00BE1C98"/>
    <w:rsid w:val="00BE2D14"/>
    <w:rsid w:val="00BE47C5"/>
    <w:rsid w:val="00BE4C18"/>
    <w:rsid w:val="00BE6849"/>
    <w:rsid w:val="00BE6FD4"/>
    <w:rsid w:val="00BE78A2"/>
    <w:rsid w:val="00BF03AC"/>
    <w:rsid w:val="00BF1B16"/>
    <w:rsid w:val="00BF341E"/>
    <w:rsid w:val="00BF4123"/>
    <w:rsid w:val="00BF4A8E"/>
    <w:rsid w:val="00BF4B95"/>
    <w:rsid w:val="00BF5BFE"/>
    <w:rsid w:val="00BF71DB"/>
    <w:rsid w:val="00BF78C6"/>
    <w:rsid w:val="00BF7D04"/>
    <w:rsid w:val="00BF7FCF"/>
    <w:rsid w:val="00C000C1"/>
    <w:rsid w:val="00C0023A"/>
    <w:rsid w:val="00C01096"/>
    <w:rsid w:val="00C011FB"/>
    <w:rsid w:val="00C013A4"/>
    <w:rsid w:val="00C01630"/>
    <w:rsid w:val="00C02266"/>
    <w:rsid w:val="00C03B89"/>
    <w:rsid w:val="00C03F03"/>
    <w:rsid w:val="00C0469D"/>
    <w:rsid w:val="00C06AF3"/>
    <w:rsid w:val="00C06D53"/>
    <w:rsid w:val="00C07373"/>
    <w:rsid w:val="00C07DBE"/>
    <w:rsid w:val="00C125CC"/>
    <w:rsid w:val="00C153DE"/>
    <w:rsid w:val="00C156B0"/>
    <w:rsid w:val="00C164D0"/>
    <w:rsid w:val="00C16B54"/>
    <w:rsid w:val="00C16B5D"/>
    <w:rsid w:val="00C1757D"/>
    <w:rsid w:val="00C17615"/>
    <w:rsid w:val="00C20863"/>
    <w:rsid w:val="00C20BEB"/>
    <w:rsid w:val="00C21302"/>
    <w:rsid w:val="00C21C9D"/>
    <w:rsid w:val="00C22055"/>
    <w:rsid w:val="00C22D30"/>
    <w:rsid w:val="00C23F3B"/>
    <w:rsid w:val="00C252CA"/>
    <w:rsid w:val="00C26A80"/>
    <w:rsid w:val="00C27281"/>
    <w:rsid w:val="00C27631"/>
    <w:rsid w:val="00C302EF"/>
    <w:rsid w:val="00C3042A"/>
    <w:rsid w:val="00C31CB0"/>
    <w:rsid w:val="00C31E13"/>
    <w:rsid w:val="00C3291C"/>
    <w:rsid w:val="00C32BBB"/>
    <w:rsid w:val="00C32F57"/>
    <w:rsid w:val="00C330C3"/>
    <w:rsid w:val="00C33344"/>
    <w:rsid w:val="00C33C4B"/>
    <w:rsid w:val="00C340E8"/>
    <w:rsid w:val="00C34F55"/>
    <w:rsid w:val="00C3790E"/>
    <w:rsid w:val="00C41117"/>
    <w:rsid w:val="00C42CCF"/>
    <w:rsid w:val="00C44913"/>
    <w:rsid w:val="00C449FF"/>
    <w:rsid w:val="00C466AD"/>
    <w:rsid w:val="00C47490"/>
    <w:rsid w:val="00C47C98"/>
    <w:rsid w:val="00C50A7A"/>
    <w:rsid w:val="00C51060"/>
    <w:rsid w:val="00C51709"/>
    <w:rsid w:val="00C517B2"/>
    <w:rsid w:val="00C51815"/>
    <w:rsid w:val="00C51C36"/>
    <w:rsid w:val="00C51CD9"/>
    <w:rsid w:val="00C51D92"/>
    <w:rsid w:val="00C52E39"/>
    <w:rsid w:val="00C533E0"/>
    <w:rsid w:val="00C537E8"/>
    <w:rsid w:val="00C53B03"/>
    <w:rsid w:val="00C53CF2"/>
    <w:rsid w:val="00C544F3"/>
    <w:rsid w:val="00C574B3"/>
    <w:rsid w:val="00C60443"/>
    <w:rsid w:val="00C61400"/>
    <w:rsid w:val="00C615CC"/>
    <w:rsid w:val="00C6206E"/>
    <w:rsid w:val="00C638A7"/>
    <w:rsid w:val="00C63ABB"/>
    <w:rsid w:val="00C63F45"/>
    <w:rsid w:val="00C648BC"/>
    <w:rsid w:val="00C6517A"/>
    <w:rsid w:val="00C651C8"/>
    <w:rsid w:val="00C66388"/>
    <w:rsid w:val="00C675D8"/>
    <w:rsid w:val="00C67EC3"/>
    <w:rsid w:val="00C7029D"/>
    <w:rsid w:val="00C718BF"/>
    <w:rsid w:val="00C7328B"/>
    <w:rsid w:val="00C737AD"/>
    <w:rsid w:val="00C75EB4"/>
    <w:rsid w:val="00C767BB"/>
    <w:rsid w:val="00C770A8"/>
    <w:rsid w:val="00C776FF"/>
    <w:rsid w:val="00C803F9"/>
    <w:rsid w:val="00C8042D"/>
    <w:rsid w:val="00C808AF"/>
    <w:rsid w:val="00C80D08"/>
    <w:rsid w:val="00C80F22"/>
    <w:rsid w:val="00C810AB"/>
    <w:rsid w:val="00C81C5B"/>
    <w:rsid w:val="00C81D06"/>
    <w:rsid w:val="00C81F34"/>
    <w:rsid w:val="00C83DBD"/>
    <w:rsid w:val="00C84799"/>
    <w:rsid w:val="00C84AE7"/>
    <w:rsid w:val="00C84D65"/>
    <w:rsid w:val="00C84F00"/>
    <w:rsid w:val="00C85BD6"/>
    <w:rsid w:val="00C85C28"/>
    <w:rsid w:val="00C860E8"/>
    <w:rsid w:val="00C8649B"/>
    <w:rsid w:val="00C86627"/>
    <w:rsid w:val="00C86A86"/>
    <w:rsid w:val="00C870F9"/>
    <w:rsid w:val="00C87411"/>
    <w:rsid w:val="00C879A1"/>
    <w:rsid w:val="00C904B3"/>
    <w:rsid w:val="00C90AA7"/>
    <w:rsid w:val="00C91525"/>
    <w:rsid w:val="00C9281B"/>
    <w:rsid w:val="00C92A80"/>
    <w:rsid w:val="00C93B0F"/>
    <w:rsid w:val="00C93BC9"/>
    <w:rsid w:val="00C94821"/>
    <w:rsid w:val="00C95847"/>
    <w:rsid w:val="00C96240"/>
    <w:rsid w:val="00C969BC"/>
    <w:rsid w:val="00C969CC"/>
    <w:rsid w:val="00C9742C"/>
    <w:rsid w:val="00CA0E2C"/>
    <w:rsid w:val="00CA2E04"/>
    <w:rsid w:val="00CA3C28"/>
    <w:rsid w:val="00CA63D5"/>
    <w:rsid w:val="00CA644C"/>
    <w:rsid w:val="00CA695C"/>
    <w:rsid w:val="00CA720A"/>
    <w:rsid w:val="00CB0008"/>
    <w:rsid w:val="00CB1722"/>
    <w:rsid w:val="00CB1D21"/>
    <w:rsid w:val="00CB1F98"/>
    <w:rsid w:val="00CB2027"/>
    <w:rsid w:val="00CB228A"/>
    <w:rsid w:val="00CB3B8B"/>
    <w:rsid w:val="00CB4302"/>
    <w:rsid w:val="00CB45BB"/>
    <w:rsid w:val="00CB4A72"/>
    <w:rsid w:val="00CB4DB5"/>
    <w:rsid w:val="00CB5B1C"/>
    <w:rsid w:val="00CB6C2C"/>
    <w:rsid w:val="00CB7FFE"/>
    <w:rsid w:val="00CC0107"/>
    <w:rsid w:val="00CC0A05"/>
    <w:rsid w:val="00CC1E5F"/>
    <w:rsid w:val="00CC2236"/>
    <w:rsid w:val="00CC2516"/>
    <w:rsid w:val="00CC2B3A"/>
    <w:rsid w:val="00CC2F83"/>
    <w:rsid w:val="00CC38A4"/>
    <w:rsid w:val="00CC3DCC"/>
    <w:rsid w:val="00CC530A"/>
    <w:rsid w:val="00CC5E57"/>
    <w:rsid w:val="00CC608C"/>
    <w:rsid w:val="00CC69D0"/>
    <w:rsid w:val="00CC6BCC"/>
    <w:rsid w:val="00CC6ED7"/>
    <w:rsid w:val="00CC72A3"/>
    <w:rsid w:val="00CC7A54"/>
    <w:rsid w:val="00CD0A36"/>
    <w:rsid w:val="00CD12B2"/>
    <w:rsid w:val="00CD2642"/>
    <w:rsid w:val="00CD2CDA"/>
    <w:rsid w:val="00CD31B7"/>
    <w:rsid w:val="00CD3446"/>
    <w:rsid w:val="00CD550E"/>
    <w:rsid w:val="00CD5E56"/>
    <w:rsid w:val="00CD78F8"/>
    <w:rsid w:val="00CE0DD7"/>
    <w:rsid w:val="00CE135A"/>
    <w:rsid w:val="00CE2B61"/>
    <w:rsid w:val="00CE3B48"/>
    <w:rsid w:val="00CE3C58"/>
    <w:rsid w:val="00CE472B"/>
    <w:rsid w:val="00CE4C86"/>
    <w:rsid w:val="00CE51F9"/>
    <w:rsid w:val="00CE5758"/>
    <w:rsid w:val="00CE592F"/>
    <w:rsid w:val="00CE67C9"/>
    <w:rsid w:val="00CE6ED4"/>
    <w:rsid w:val="00CE701D"/>
    <w:rsid w:val="00CE723B"/>
    <w:rsid w:val="00CE79DF"/>
    <w:rsid w:val="00CF0C3F"/>
    <w:rsid w:val="00CF1213"/>
    <w:rsid w:val="00CF13F4"/>
    <w:rsid w:val="00CF204C"/>
    <w:rsid w:val="00CF2AFF"/>
    <w:rsid w:val="00CF2B1F"/>
    <w:rsid w:val="00CF3FFC"/>
    <w:rsid w:val="00CF532C"/>
    <w:rsid w:val="00CF5797"/>
    <w:rsid w:val="00CF7054"/>
    <w:rsid w:val="00CF7FBC"/>
    <w:rsid w:val="00D00358"/>
    <w:rsid w:val="00D0055B"/>
    <w:rsid w:val="00D0055D"/>
    <w:rsid w:val="00D00783"/>
    <w:rsid w:val="00D0131A"/>
    <w:rsid w:val="00D03057"/>
    <w:rsid w:val="00D03663"/>
    <w:rsid w:val="00D03B95"/>
    <w:rsid w:val="00D03F36"/>
    <w:rsid w:val="00D041CB"/>
    <w:rsid w:val="00D04FB2"/>
    <w:rsid w:val="00D0508D"/>
    <w:rsid w:val="00D055F2"/>
    <w:rsid w:val="00D1100A"/>
    <w:rsid w:val="00D11489"/>
    <w:rsid w:val="00D12075"/>
    <w:rsid w:val="00D1271F"/>
    <w:rsid w:val="00D127B7"/>
    <w:rsid w:val="00D133AD"/>
    <w:rsid w:val="00D13607"/>
    <w:rsid w:val="00D13B88"/>
    <w:rsid w:val="00D13C72"/>
    <w:rsid w:val="00D14387"/>
    <w:rsid w:val="00D1440C"/>
    <w:rsid w:val="00D158F2"/>
    <w:rsid w:val="00D2028F"/>
    <w:rsid w:val="00D20753"/>
    <w:rsid w:val="00D21B8A"/>
    <w:rsid w:val="00D23FC8"/>
    <w:rsid w:val="00D241A0"/>
    <w:rsid w:val="00D243E6"/>
    <w:rsid w:val="00D24771"/>
    <w:rsid w:val="00D24CAE"/>
    <w:rsid w:val="00D257F5"/>
    <w:rsid w:val="00D270D9"/>
    <w:rsid w:val="00D274C3"/>
    <w:rsid w:val="00D30AEF"/>
    <w:rsid w:val="00D33B81"/>
    <w:rsid w:val="00D346FA"/>
    <w:rsid w:val="00D35338"/>
    <w:rsid w:val="00D364D9"/>
    <w:rsid w:val="00D36DE9"/>
    <w:rsid w:val="00D37637"/>
    <w:rsid w:val="00D37FAE"/>
    <w:rsid w:val="00D4110C"/>
    <w:rsid w:val="00D41D7A"/>
    <w:rsid w:val="00D42C4A"/>
    <w:rsid w:val="00D437E3"/>
    <w:rsid w:val="00D44028"/>
    <w:rsid w:val="00D46414"/>
    <w:rsid w:val="00D46C0C"/>
    <w:rsid w:val="00D46CC7"/>
    <w:rsid w:val="00D4708F"/>
    <w:rsid w:val="00D47439"/>
    <w:rsid w:val="00D4782A"/>
    <w:rsid w:val="00D47AEE"/>
    <w:rsid w:val="00D50223"/>
    <w:rsid w:val="00D50241"/>
    <w:rsid w:val="00D50D36"/>
    <w:rsid w:val="00D5184B"/>
    <w:rsid w:val="00D522E4"/>
    <w:rsid w:val="00D522E6"/>
    <w:rsid w:val="00D52917"/>
    <w:rsid w:val="00D52E88"/>
    <w:rsid w:val="00D53802"/>
    <w:rsid w:val="00D53FDE"/>
    <w:rsid w:val="00D554DC"/>
    <w:rsid w:val="00D55B20"/>
    <w:rsid w:val="00D56848"/>
    <w:rsid w:val="00D579EB"/>
    <w:rsid w:val="00D604BB"/>
    <w:rsid w:val="00D61AF0"/>
    <w:rsid w:val="00D61DCF"/>
    <w:rsid w:val="00D637AE"/>
    <w:rsid w:val="00D64847"/>
    <w:rsid w:val="00D64FEA"/>
    <w:rsid w:val="00D654A9"/>
    <w:rsid w:val="00D6593B"/>
    <w:rsid w:val="00D65A6B"/>
    <w:rsid w:val="00D66872"/>
    <w:rsid w:val="00D66D54"/>
    <w:rsid w:val="00D672B2"/>
    <w:rsid w:val="00D71AF7"/>
    <w:rsid w:val="00D73087"/>
    <w:rsid w:val="00D7374A"/>
    <w:rsid w:val="00D73CE9"/>
    <w:rsid w:val="00D7415E"/>
    <w:rsid w:val="00D74CDA"/>
    <w:rsid w:val="00D7532E"/>
    <w:rsid w:val="00D764AE"/>
    <w:rsid w:val="00D76A30"/>
    <w:rsid w:val="00D76B5B"/>
    <w:rsid w:val="00D778A1"/>
    <w:rsid w:val="00D800AD"/>
    <w:rsid w:val="00D80103"/>
    <w:rsid w:val="00D80256"/>
    <w:rsid w:val="00D809BD"/>
    <w:rsid w:val="00D80F64"/>
    <w:rsid w:val="00D81465"/>
    <w:rsid w:val="00D81B55"/>
    <w:rsid w:val="00D81BA6"/>
    <w:rsid w:val="00D8317F"/>
    <w:rsid w:val="00D83538"/>
    <w:rsid w:val="00D8426D"/>
    <w:rsid w:val="00D84D68"/>
    <w:rsid w:val="00D8577B"/>
    <w:rsid w:val="00D869E9"/>
    <w:rsid w:val="00D87430"/>
    <w:rsid w:val="00D90359"/>
    <w:rsid w:val="00D9119B"/>
    <w:rsid w:val="00D913BD"/>
    <w:rsid w:val="00D915FA"/>
    <w:rsid w:val="00D92187"/>
    <w:rsid w:val="00D927AD"/>
    <w:rsid w:val="00D92FC0"/>
    <w:rsid w:val="00D934AC"/>
    <w:rsid w:val="00D94082"/>
    <w:rsid w:val="00D94E94"/>
    <w:rsid w:val="00D95006"/>
    <w:rsid w:val="00D95211"/>
    <w:rsid w:val="00D95731"/>
    <w:rsid w:val="00D95903"/>
    <w:rsid w:val="00D965B4"/>
    <w:rsid w:val="00D96E13"/>
    <w:rsid w:val="00DA01DD"/>
    <w:rsid w:val="00DA0CD9"/>
    <w:rsid w:val="00DA338C"/>
    <w:rsid w:val="00DA364D"/>
    <w:rsid w:val="00DA3766"/>
    <w:rsid w:val="00DA4560"/>
    <w:rsid w:val="00DA52C4"/>
    <w:rsid w:val="00DA691D"/>
    <w:rsid w:val="00DA6B46"/>
    <w:rsid w:val="00DB0910"/>
    <w:rsid w:val="00DB1CA4"/>
    <w:rsid w:val="00DB2FC5"/>
    <w:rsid w:val="00DB327D"/>
    <w:rsid w:val="00DB4B8D"/>
    <w:rsid w:val="00DB569D"/>
    <w:rsid w:val="00DB64A7"/>
    <w:rsid w:val="00DB6D2B"/>
    <w:rsid w:val="00DB6D4C"/>
    <w:rsid w:val="00DB79A7"/>
    <w:rsid w:val="00DC1860"/>
    <w:rsid w:val="00DC2965"/>
    <w:rsid w:val="00DC36B1"/>
    <w:rsid w:val="00DC4F51"/>
    <w:rsid w:val="00DC52D0"/>
    <w:rsid w:val="00DC6EFC"/>
    <w:rsid w:val="00DC7994"/>
    <w:rsid w:val="00DD006E"/>
    <w:rsid w:val="00DD0A2F"/>
    <w:rsid w:val="00DD2538"/>
    <w:rsid w:val="00DD282F"/>
    <w:rsid w:val="00DD30AF"/>
    <w:rsid w:val="00DD3A49"/>
    <w:rsid w:val="00DD3C7F"/>
    <w:rsid w:val="00DD3ECB"/>
    <w:rsid w:val="00DD4104"/>
    <w:rsid w:val="00DD4188"/>
    <w:rsid w:val="00DD4845"/>
    <w:rsid w:val="00DD5AEC"/>
    <w:rsid w:val="00DD6224"/>
    <w:rsid w:val="00DD6912"/>
    <w:rsid w:val="00DD6B36"/>
    <w:rsid w:val="00DD6FEC"/>
    <w:rsid w:val="00DD744E"/>
    <w:rsid w:val="00DD7802"/>
    <w:rsid w:val="00DE0124"/>
    <w:rsid w:val="00DE13CF"/>
    <w:rsid w:val="00DE19ED"/>
    <w:rsid w:val="00DE20E4"/>
    <w:rsid w:val="00DE23EA"/>
    <w:rsid w:val="00DE254A"/>
    <w:rsid w:val="00DE2AC7"/>
    <w:rsid w:val="00DE3409"/>
    <w:rsid w:val="00DE41CC"/>
    <w:rsid w:val="00DE426A"/>
    <w:rsid w:val="00DE7092"/>
    <w:rsid w:val="00DF0287"/>
    <w:rsid w:val="00DF0877"/>
    <w:rsid w:val="00DF0D22"/>
    <w:rsid w:val="00DF1B3B"/>
    <w:rsid w:val="00DF2822"/>
    <w:rsid w:val="00DF2B37"/>
    <w:rsid w:val="00DF3047"/>
    <w:rsid w:val="00DF38F5"/>
    <w:rsid w:val="00DF52FC"/>
    <w:rsid w:val="00DF6079"/>
    <w:rsid w:val="00DF6A55"/>
    <w:rsid w:val="00DF7E13"/>
    <w:rsid w:val="00E00323"/>
    <w:rsid w:val="00E00DD1"/>
    <w:rsid w:val="00E02519"/>
    <w:rsid w:val="00E02623"/>
    <w:rsid w:val="00E0266F"/>
    <w:rsid w:val="00E03305"/>
    <w:rsid w:val="00E0423A"/>
    <w:rsid w:val="00E06192"/>
    <w:rsid w:val="00E07FF6"/>
    <w:rsid w:val="00E10367"/>
    <w:rsid w:val="00E126A5"/>
    <w:rsid w:val="00E12848"/>
    <w:rsid w:val="00E13073"/>
    <w:rsid w:val="00E152CE"/>
    <w:rsid w:val="00E166C2"/>
    <w:rsid w:val="00E16A51"/>
    <w:rsid w:val="00E16B60"/>
    <w:rsid w:val="00E16E01"/>
    <w:rsid w:val="00E17EC6"/>
    <w:rsid w:val="00E20618"/>
    <w:rsid w:val="00E21BEB"/>
    <w:rsid w:val="00E2228D"/>
    <w:rsid w:val="00E2258A"/>
    <w:rsid w:val="00E22816"/>
    <w:rsid w:val="00E22D3F"/>
    <w:rsid w:val="00E232C9"/>
    <w:rsid w:val="00E23676"/>
    <w:rsid w:val="00E23C58"/>
    <w:rsid w:val="00E24BC3"/>
    <w:rsid w:val="00E25BC1"/>
    <w:rsid w:val="00E260E4"/>
    <w:rsid w:val="00E27A4C"/>
    <w:rsid w:val="00E30288"/>
    <w:rsid w:val="00E30CAA"/>
    <w:rsid w:val="00E31816"/>
    <w:rsid w:val="00E3214D"/>
    <w:rsid w:val="00E326D1"/>
    <w:rsid w:val="00E3278D"/>
    <w:rsid w:val="00E32844"/>
    <w:rsid w:val="00E32C3D"/>
    <w:rsid w:val="00E339DA"/>
    <w:rsid w:val="00E34EF6"/>
    <w:rsid w:val="00E35058"/>
    <w:rsid w:val="00E3564E"/>
    <w:rsid w:val="00E36526"/>
    <w:rsid w:val="00E3772A"/>
    <w:rsid w:val="00E40390"/>
    <w:rsid w:val="00E40703"/>
    <w:rsid w:val="00E415A2"/>
    <w:rsid w:val="00E41C92"/>
    <w:rsid w:val="00E43428"/>
    <w:rsid w:val="00E4349B"/>
    <w:rsid w:val="00E43BF5"/>
    <w:rsid w:val="00E43F52"/>
    <w:rsid w:val="00E4459F"/>
    <w:rsid w:val="00E445DC"/>
    <w:rsid w:val="00E449F0"/>
    <w:rsid w:val="00E45605"/>
    <w:rsid w:val="00E50AD4"/>
    <w:rsid w:val="00E511C3"/>
    <w:rsid w:val="00E51A3B"/>
    <w:rsid w:val="00E5226E"/>
    <w:rsid w:val="00E5356F"/>
    <w:rsid w:val="00E5445C"/>
    <w:rsid w:val="00E54F77"/>
    <w:rsid w:val="00E5599D"/>
    <w:rsid w:val="00E560A3"/>
    <w:rsid w:val="00E56CEB"/>
    <w:rsid w:val="00E57F84"/>
    <w:rsid w:val="00E60130"/>
    <w:rsid w:val="00E60D20"/>
    <w:rsid w:val="00E616A7"/>
    <w:rsid w:val="00E61F3A"/>
    <w:rsid w:val="00E62B23"/>
    <w:rsid w:val="00E635D9"/>
    <w:rsid w:val="00E6371F"/>
    <w:rsid w:val="00E63972"/>
    <w:rsid w:val="00E63C4A"/>
    <w:rsid w:val="00E644A9"/>
    <w:rsid w:val="00E663ED"/>
    <w:rsid w:val="00E668F6"/>
    <w:rsid w:val="00E6695C"/>
    <w:rsid w:val="00E66AF6"/>
    <w:rsid w:val="00E67B05"/>
    <w:rsid w:val="00E67DBE"/>
    <w:rsid w:val="00E701CB"/>
    <w:rsid w:val="00E711C1"/>
    <w:rsid w:val="00E71780"/>
    <w:rsid w:val="00E71881"/>
    <w:rsid w:val="00E71957"/>
    <w:rsid w:val="00E71D49"/>
    <w:rsid w:val="00E721F3"/>
    <w:rsid w:val="00E724E2"/>
    <w:rsid w:val="00E729DA"/>
    <w:rsid w:val="00E730E2"/>
    <w:rsid w:val="00E73E3B"/>
    <w:rsid w:val="00E74017"/>
    <w:rsid w:val="00E74953"/>
    <w:rsid w:val="00E74C2F"/>
    <w:rsid w:val="00E75982"/>
    <w:rsid w:val="00E76498"/>
    <w:rsid w:val="00E772DC"/>
    <w:rsid w:val="00E7788D"/>
    <w:rsid w:val="00E80593"/>
    <w:rsid w:val="00E812F8"/>
    <w:rsid w:val="00E815F6"/>
    <w:rsid w:val="00E8172C"/>
    <w:rsid w:val="00E81C05"/>
    <w:rsid w:val="00E81D46"/>
    <w:rsid w:val="00E82A8C"/>
    <w:rsid w:val="00E84CDE"/>
    <w:rsid w:val="00E8567C"/>
    <w:rsid w:val="00E856C9"/>
    <w:rsid w:val="00E86881"/>
    <w:rsid w:val="00E86BD7"/>
    <w:rsid w:val="00E87EB7"/>
    <w:rsid w:val="00E901C5"/>
    <w:rsid w:val="00E9272D"/>
    <w:rsid w:val="00E92AB1"/>
    <w:rsid w:val="00E93DA8"/>
    <w:rsid w:val="00E95829"/>
    <w:rsid w:val="00E9647C"/>
    <w:rsid w:val="00E97389"/>
    <w:rsid w:val="00E9796A"/>
    <w:rsid w:val="00E97B1C"/>
    <w:rsid w:val="00EA0051"/>
    <w:rsid w:val="00EA0B91"/>
    <w:rsid w:val="00EA0FB6"/>
    <w:rsid w:val="00EA0FD5"/>
    <w:rsid w:val="00EA1A31"/>
    <w:rsid w:val="00EA22E2"/>
    <w:rsid w:val="00EA2A00"/>
    <w:rsid w:val="00EA2E53"/>
    <w:rsid w:val="00EA4BD9"/>
    <w:rsid w:val="00EA5949"/>
    <w:rsid w:val="00EA5C85"/>
    <w:rsid w:val="00EA7C6D"/>
    <w:rsid w:val="00EB033D"/>
    <w:rsid w:val="00EB0475"/>
    <w:rsid w:val="00EB13C1"/>
    <w:rsid w:val="00EB1909"/>
    <w:rsid w:val="00EB224F"/>
    <w:rsid w:val="00EB2637"/>
    <w:rsid w:val="00EB2C2A"/>
    <w:rsid w:val="00EB3B4C"/>
    <w:rsid w:val="00EB40CC"/>
    <w:rsid w:val="00EB46B6"/>
    <w:rsid w:val="00EB4C96"/>
    <w:rsid w:val="00EB4F32"/>
    <w:rsid w:val="00EB60A3"/>
    <w:rsid w:val="00EB7004"/>
    <w:rsid w:val="00EB72A0"/>
    <w:rsid w:val="00EB7E3B"/>
    <w:rsid w:val="00EB7FF0"/>
    <w:rsid w:val="00EC0043"/>
    <w:rsid w:val="00EC0C9F"/>
    <w:rsid w:val="00EC1BF0"/>
    <w:rsid w:val="00EC2066"/>
    <w:rsid w:val="00EC213A"/>
    <w:rsid w:val="00EC3260"/>
    <w:rsid w:val="00EC401F"/>
    <w:rsid w:val="00EC47D9"/>
    <w:rsid w:val="00EC5FB1"/>
    <w:rsid w:val="00ED1A6F"/>
    <w:rsid w:val="00ED1C15"/>
    <w:rsid w:val="00ED1DA5"/>
    <w:rsid w:val="00ED2248"/>
    <w:rsid w:val="00ED25FF"/>
    <w:rsid w:val="00ED3DAF"/>
    <w:rsid w:val="00ED3EA6"/>
    <w:rsid w:val="00ED4A75"/>
    <w:rsid w:val="00ED4C9A"/>
    <w:rsid w:val="00ED5184"/>
    <w:rsid w:val="00ED5EF7"/>
    <w:rsid w:val="00ED6323"/>
    <w:rsid w:val="00ED650C"/>
    <w:rsid w:val="00ED6747"/>
    <w:rsid w:val="00ED7821"/>
    <w:rsid w:val="00EE0087"/>
    <w:rsid w:val="00EE27E8"/>
    <w:rsid w:val="00EE284C"/>
    <w:rsid w:val="00EE323B"/>
    <w:rsid w:val="00EE48BC"/>
    <w:rsid w:val="00EE57F2"/>
    <w:rsid w:val="00EE5F42"/>
    <w:rsid w:val="00EE7228"/>
    <w:rsid w:val="00EE7302"/>
    <w:rsid w:val="00EE75AE"/>
    <w:rsid w:val="00EF3311"/>
    <w:rsid w:val="00EF33F8"/>
    <w:rsid w:val="00EF356F"/>
    <w:rsid w:val="00EF3DCB"/>
    <w:rsid w:val="00EF3DDD"/>
    <w:rsid w:val="00EF40C0"/>
    <w:rsid w:val="00EF4BA1"/>
    <w:rsid w:val="00EF51B2"/>
    <w:rsid w:val="00EF52D6"/>
    <w:rsid w:val="00EF6715"/>
    <w:rsid w:val="00F02749"/>
    <w:rsid w:val="00F02ABD"/>
    <w:rsid w:val="00F0395F"/>
    <w:rsid w:val="00F039F2"/>
    <w:rsid w:val="00F03A4B"/>
    <w:rsid w:val="00F066C7"/>
    <w:rsid w:val="00F06ABE"/>
    <w:rsid w:val="00F0745D"/>
    <w:rsid w:val="00F07461"/>
    <w:rsid w:val="00F07D56"/>
    <w:rsid w:val="00F107E2"/>
    <w:rsid w:val="00F10A6D"/>
    <w:rsid w:val="00F1249A"/>
    <w:rsid w:val="00F13476"/>
    <w:rsid w:val="00F14285"/>
    <w:rsid w:val="00F14E39"/>
    <w:rsid w:val="00F15E84"/>
    <w:rsid w:val="00F16DEF"/>
    <w:rsid w:val="00F178FC"/>
    <w:rsid w:val="00F17E80"/>
    <w:rsid w:val="00F214BA"/>
    <w:rsid w:val="00F21AFE"/>
    <w:rsid w:val="00F21E2B"/>
    <w:rsid w:val="00F22929"/>
    <w:rsid w:val="00F2331E"/>
    <w:rsid w:val="00F23FAC"/>
    <w:rsid w:val="00F2440A"/>
    <w:rsid w:val="00F244C2"/>
    <w:rsid w:val="00F24D26"/>
    <w:rsid w:val="00F24F1B"/>
    <w:rsid w:val="00F258DC"/>
    <w:rsid w:val="00F25DB2"/>
    <w:rsid w:val="00F26269"/>
    <w:rsid w:val="00F26B1B"/>
    <w:rsid w:val="00F26D2E"/>
    <w:rsid w:val="00F30074"/>
    <w:rsid w:val="00F3239A"/>
    <w:rsid w:val="00F32A32"/>
    <w:rsid w:val="00F3308B"/>
    <w:rsid w:val="00F3375D"/>
    <w:rsid w:val="00F33C86"/>
    <w:rsid w:val="00F34D23"/>
    <w:rsid w:val="00F34F29"/>
    <w:rsid w:val="00F36561"/>
    <w:rsid w:val="00F36D68"/>
    <w:rsid w:val="00F379D4"/>
    <w:rsid w:val="00F37D81"/>
    <w:rsid w:val="00F4102E"/>
    <w:rsid w:val="00F41474"/>
    <w:rsid w:val="00F41D7D"/>
    <w:rsid w:val="00F41E11"/>
    <w:rsid w:val="00F427FA"/>
    <w:rsid w:val="00F44E33"/>
    <w:rsid w:val="00F459AA"/>
    <w:rsid w:val="00F45C15"/>
    <w:rsid w:val="00F45E26"/>
    <w:rsid w:val="00F460D4"/>
    <w:rsid w:val="00F468DB"/>
    <w:rsid w:val="00F46BB0"/>
    <w:rsid w:val="00F4787B"/>
    <w:rsid w:val="00F500C3"/>
    <w:rsid w:val="00F508B8"/>
    <w:rsid w:val="00F509DC"/>
    <w:rsid w:val="00F50F72"/>
    <w:rsid w:val="00F519FC"/>
    <w:rsid w:val="00F52177"/>
    <w:rsid w:val="00F53F05"/>
    <w:rsid w:val="00F54238"/>
    <w:rsid w:val="00F5436A"/>
    <w:rsid w:val="00F5624C"/>
    <w:rsid w:val="00F5737B"/>
    <w:rsid w:val="00F57A19"/>
    <w:rsid w:val="00F602B8"/>
    <w:rsid w:val="00F607E3"/>
    <w:rsid w:val="00F62AD1"/>
    <w:rsid w:val="00F63609"/>
    <w:rsid w:val="00F6371B"/>
    <w:rsid w:val="00F63A4D"/>
    <w:rsid w:val="00F63C36"/>
    <w:rsid w:val="00F65F3E"/>
    <w:rsid w:val="00F66514"/>
    <w:rsid w:val="00F709F6"/>
    <w:rsid w:val="00F7102A"/>
    <w:rsid w:val="00F72148"/>
    <w:rsid w:val="00F72B1D"/>
    <w:rsid w:val="00F73023"/>
    <w:rsid w:val="00F748F5"/>
    <w:rsid w:val="00F74C76"/>
    <w:rsid w:val="00F75233"/>
    <w:rsid w:val="00F75B1B"/>
    <w:rsid w:val="00F76ACD"/>
    <w:rsid w:val="00F8040F"/>
    <w:rsid w:val="00F8272F"/>
    <w:rsid w:val="00F82C1B"/>
    <w:rsid w:val="00F83670"/>
    <w:rsid w:val="00F84240"/>
    <w:rsid w:val="00F8543B"/>
    <w:rsid w:val="00F8568C"/>
    <w:rsid w:val="00F85714"/>
    <w:rsid w:val="00F86F78"/>
    <w:rsid w:val="00F90261"/>
    <w:rsid w:val="00F91912"/>
    <w:rsid w:val="00F91DBA"/>
    <w:rsid w:val="00F9256A"/>
    <w:rsid w:val="00F9295C"/>
    <w:rsid w:val="00F95086"/>
    <w:rsid w:val="00F951FF"/>
    <w:rsid w:val="00F95E68"/>
    <w:rsid w:val="00F973A5"/>
    <w:rsid w:val="00F974AF"/>
    <w:rsid w:val="00FA0853"/>
    <w:rsid w:val="00FA1061"/>
    <w:rsid w:val="00FA1680"/>
    <w:rsid w:val="00FA1F38"/>
    <w:rsid w:val="00FA2094"/>
    <w:rsid w:val="00FA2195"/>
    <w:rsid w:val="00FA28C0"/>
    <w:rsid w:val="00FA38D6"/>
    <w:rsid w:val="00FA40DB"/>
    <w:rsid w:val="00FA4BFB"/>
    <w:rsid w:val="00FA5120"/>
    <w:rsid w:val="00FA5C10"/>
    <w:rsid w:val="00FA6203"/>
    <w:rsid w:val="00FA67E7"/>
    <w:rsid w:val="00FA725F"/>
    <w:rsid w:val="00FA78AB"/>
    <w:rsid w:val="00FB069D"/>
    <w:rsid w:val="00FB0906"/>
    <w:rsid w:val="00FB1A3D"/>
    <w:rsid w:val="00FB1FED"/>
    <w:rsid w:val="00FB2164"/>
    <w:rsid w:val="00FB2C25"/>
    <w:rsid w:val="00FB2D45"/>
    <w:rsid w:val="00FB347A"/>
    <w:rsid w:val="00FB3932"/>
    <w:rsid w:val="00FB3CC6"/>
    <w:rsid w:val="00FB473F"/>
    <w:rsid w:val="00FB5494"/>
    <w:rsid w:val="00FB79BE"/>
    <w:rsid w:val="00FC063A"/>
    <w:rsid w:val="00FC0A75"/>
    <w:rsid w:val="00FC0EB0"/>
    <w:rsid w:val="00FC1557"/>
    <w:rsid w:val="00FC1F75"/>
    <w:rsid w:val="00FC214D"/>
    <w:rsid w:val="00FC4DA5"/>
    <w:rsid w:val="00FC554A"/>
    <w:rsid w:val="00FC6006"/>
    <w:rsid w:val="00FC61CF"/>
    <w:rsid w:val="00FC6554"/>
    <w:rsid w:val="00FC6877"/>
    <w:rsid w:val="00FC7D88"/>
    <w:rsid w:val="00FD08DC"/>
    <w:rsid w:val="00FD0C94"/>
    <w:rsid w:val="00FD17C1"/>
    <w:rsid w:val="00FD1BAD"/>
    <w:rsid w:val="00FD2F14"/>
    <w:rsid w:val="00FD3664"/>
    <w:rsid w:val="00FD3797"/>
    <w:rsid w:val="00FD5FB4"/>
    <w:rsid w:val="00FD620B"/>
    <w:rsid w:val="00FD639F"/>
    <w:rsid w:val="00FD6916"/>
    <w:rsid w:val="00FD7147"/>
    <w:rsid w:val="00FD7692"/>
    <w:rsid w:val="00FD77F4"/>
    <w:rsid w:val="00FE0772"/>
    <w:rsid w:val="00FE1470"/>
    <w:rsid w:val="00FE156A"/>
    <w:rsid w:val="00FE1A2B"/>
    <w:rsid w:val="00FE224B"/>
    <w:rsid w:val="00FE2679"/>
    <w:rsid w:val="00FE57CC"/>
    <w:rsid w:val="00FE5AD3"/>
    <w:rsid w:val="00FE6033"/>
    <w:rsid w:val="00FE70A0"/>
    <w:rsid w:val="00FF07E2"/>
    <w:rsid w:val="00FF0E7E"/>
    <w:rsid w:val="00FF1681"/>
    <w:rsid w:val="00FF2181"/>
    <w:rsid w:val="00FF27B1"/>
    <w:rsid w:val="00FF411A"/>
    <w:rsid w:val="00FF6110"/>
    <w:rsid w:val="00FF65F4"/>
    <w:rsid w:val="00FF716F"/>
    <w:rsid w:val="019C100B"/>
    <w:rsid w:val="03D2084E"/>
    <w:rsid w:val="03EA2518"/>
    <w:rsid w:val="047649F6"/>
    <w:rsid w:val="04912DFD"/>
    <w:rsid w:val="05373E6B"/>
    <w:rsid w:val="058B6BDB"/>
    <w:rsid w:val="05ED013E"/>
    <w:rsid w:val="06161210"/>
    <w:rsid w:val="07422CD6"/>
    <w:rsid w:val="07B42835"/>
    <w:rsid w:val="07EA70C4"/>
    <w:rsid w:val="07F471B4"/>
    <w:rsid w:val="07FC7B78"/>
    <w:rsid w:val="0817164A"/>
    <w:rsid w:val="084561CB"/>
    <w:rsid w:val="089D43C3"/>
    <w:rsid w:val="09613E28"/>
    <w:rsid w:val="09C5274C"/>
    <w:rsid w:val="0BCE0992"/>
    <w:rsid w:val="0BE35ECF"/>
    <w:rsid w:val="0C697EE9"/>
    <w:rsid w:val="0C6E0928"/>
    <w:rsid w:val="0CAF268A"/>
    <w:rsid w:val="0CD458B2"/>
    <w:rsid w:val="0D3A63F7"/>
    <w:rsid w:val="0D435CF0"/>
    <w:rsid w:val="0D4E3C51"/>
    <w:rsid w:val="0D5778DB"/>
    <w:rsid w:val="0DED22A9"/>
    <w:rsid w:val="0E397654"/>
    <w:rsid w:val="0E474D12"/>
    <w:rsid w:val="0E7202CD"/>
    <w:rsid w:val="0EB64454"/>
    <w:rsid w:val="0F1E5810"/>
    <w:rsid w:val="0F3966D2"/>
    <w:rsid w:val="0FD464DC"/>
    <w:rsid w:val="10964B88"/>
    <w:rsid w:val="10A93D64"/>
    <w:rsid w:val="10B50826"/>
    <w:rsid w:val="10BF31C4"/>
    <w:rsid w:val="115E64B9"/>
    <w:rsid w:val="11AB3282"/>
    <w:rsid w:val="120E4B6E"/>
    <w:rsid w:val="128F5982"/>
    <w:rsid w:val="13541895"/>
    <w:rsid w:val="149F18A2"/>
    <w:rsid w:val="165467A9"/>
    <w:rsid w:val="17374C96"/>
    <w:rsid w:val="18AC4201"/>
    <w:rsid w:val="1A7C558E"/>
    <w:rsid w:val="1AA720D8"/>
    <w:rsid w:val="1C1E095F"/>
    <w:rsid w:val="1C2208E7"/>
    <w:rsid w:val="1C375CCF"/>
    <w:rsid w:val="1D837940"/>
    <w:rsid w:val="1DF24184"/>
    <w:rsid w:val="1E7B7A06"/>
    <w:rsid w:val="1F694470"/>
    <w:rsid w:val="21AE4866"/>
    <w:rsid w:val="22217C35"/>
    <w:rsid w:val="22AA2FB7"/>
    <w:rsid w:val="239B7B00"/>
    <w:rsid w:val="23E25301"/>
    <w:rsid w:val="25232069"/>
    <w:rsid w:val="25873311"/>
    <w:rsid w:val="25E579D6"/>
    <w:rsid w:val="26534104"/>
    <w:rsid w:val="270C4A34"/>
    <w:rsid w:val="27472A9C"/>
    <w:rsid w:val="27BF60CA"/>
    <w:rsid w:val="295D104C"/>
    <w:rsid w:val="29CA4207"/>
    <w:rsid w:val="29E526E8"/>
    <w:rsid w:val="2AEF71DE"/>
    <w:rsid w:val="2C030BD3"/>
    <w:rsid w:val="2C7F6362"/>
    <w:rsid w:val="2CCA3D40"/>
    <w:rsid w:val="2D8B5B8A"/>
    <w:rsid w:val="2DD2208F"/>
    <w:rsid w:val="2EAF5CA4"/>
    <w:rsid w:val="2ED226A6"/>
    <w:rsid w:val="2F1E6BF3"/>
    <w:rsid w:val="2F5B104E"/>
    <w:rsid w:val="301E003D"/>
    <w:rsid w:val="30EB7186"/>
    <w:rsid w:val="31432562"/>
    <w:rsid w:val="32FC4DD4"/>
    <w:rsid w:val="33DB7416"/>
    <w:rsid w:val="34367249"/>
    <w:rsid w:val="355C0D99"/>
    <w:rsid w:val="35C87488"/>
    <w:rsid w:val="35D456C2"/>
    <w:rsid w:val="389710F3"/>
    <w:rsid w:val="38A36480"/>
    <w:rsid w:val="390E6249"/>
    <w:rsid w:val="394D0FA3"/>
    <w:rsid w:val="3980752D"/>
    <w:rsid w:val="39AB3F63"/>
    <w:rsid w:val="3ACD1791"/>
    <w:rsid w:val="3B404251"/>
    <w:rsid w:val="3D1E705D"/>
    <w:rsid w:val="3D372BCE"/>
    <w:rsid w:val="3DD1067A"/>
    <w:rsid w:val="3F1D75CF"/>
    <w:rsid w:val="3F537300"/>
    <w:rsid w:val="3F8E1B07"/>
    <w:rsid w:val="3FD152BB"/>
    <w:rsid w:val="3FF745A6"/>
    <w:rsid w:val="40A738A5"/>
    <w:rsid w:val="40C71F4C"/>
    <w:rsid w:val="40CA3248"/>
    <w:rsid w:val="41096283"/>
    <w:rsid w:val="41BE1C77"/>
    <w:rsid w:val="42427C4E"/>
    <w:rsid w:val="42C13BA4"/>
    <w:rsid w:val="42D53EF1"/>
    <w:rsid w:val="440F1C8C"/>
    <w:rsid w:val="44613C8E"/>
    <w:rsid w:val="447F2366"/>
    <w:rsid w:val="45281BE0"/>
    <w:rsid w:val="45BD71C1"/>
    <w:rsid w:val="462934AA"/>
    <w:rsid w:val="46590502"/>
    <w:rsid w:val="46767E8A"/>
    <w:rsid w:val="46F503F3"/>
    <w:rsid w:val="475E38FA"/>
    <w:rsid w:val="47F64147"/>
    <w:rsid w:val="480E142F"/>
    <w:rsid w:val="484C2C75"/>
    <w:rsid w:val="48AC607A"/>
    <w:rsid w:val="491379B8"/>
    <w:rsid w:val="4A187587"/>
    <w:rsid w:val="4CD41F94"/>
    <w:rsid w:val="4D2A6977"/>
    <w:rsid w:val="4D572F42"/>
    <w:rsid w:val="4D803B16"/>
    <w:rsid w:val="4D9F250C"/>
    <w:rsid w:val="4DE55435"/>
    <w:rsid w:val="4E19598F"/>
    <w:rsid w:val="5060514F"/>
    <w:rsid w:val="516B5CCD"/>
    <w:rsid w:val="52856CDD"/>
    <w:rsid w:val="528F4FE2"/>
    <w:rsid w:val="52A1639A"/>
    <w:rsid w:val="539206F6"/>
    <w:rsid w:val="53A6145A"/>
    <w:rsid w:val="5474653D"/>
    <w:rsid w:val="55992B5C"/>
    <w:rsid w:val="55ED07DF"/>
    <w:rsid w:val="568B06F7"/>
    <w:rsid w:val="56CA7AA0"/>
    <w:rsid w:val="574D4FD6"/>
    <w:rsid w:val="575F06EB"/>
    <w:rsid w:val="58F42DC5"/>
    <w:rsid w:val="59A12731"/>
    <w:rsid w:val="5BC17A4E"/>
    <w:rsid w:val="5C1A76FF"/>
    <w:rsid w:val="5C1E010A"/>
    <w:rsid w:val="5CFF00FD"/>
    <w:rsid w:val="5E1C295A"/>
    <w:rsid w:val="5E3F3B6C"/>
    <w:rsid w:val="5F4B5DF1"/>
    <w:rsid w:val="5F5A0BC9"/>
    <w:rsid w:val="5F9B3E78"/>
    <w:rsid w:val="60874F01"/>
    <w:rsid w:val="61871227"/>
    <w:rsid w:val="625A2947"/>
    <w:rsid w:val="62A80882"/>
    <w:rsid w:val="63C67212"/>
    <w:rsid w:val="63C9077C"/>
    <w:rsid w:val="63F602A8"/>
    <w:rsid w:val="642671E7"/>
    <w:rsid w:val="65075885"/>
    <w:rsid w:val="659F7D1B"/>
    <w:rsid w:val="65FA224B"/>
    <w:rsid w:val="66FB3677"/>
    <w:rsid w:val="677575C0"/>
    <w:rsid w:val="67E2654F"/>
    <w:rsid w:val="685748DD"/>
    <w:rsid w:val="68CF159A"/>
    <w:rsid w:val="69201173"/>
    <w:rsid w:val="69282E4B"/>
    <w:rsid w:val="6944002C"/>
    <w:rsid w:val="69E14DA6"/>
    <w:rsid w:val="6B21512C"/>
    <w:rsid w:val="6B8C6F93"/>
    <w:rsid w:val="6BB3516E"/>
    <w:rsid w:val="6C1C081C"/>
    <w:rsid w:val="6CAD0942"/>
    <w:rsid w:val="6E0468FF"/>
    <w:rsid w:val="6E662F9A"/>
    <w:rsid w:val="6F715770"/>
    <w:rsid w:val="6F9B0C27"/>
    <w:rsid w:val="70393118"/>
    <w:rsid w:val="706A0DB1"/>
    <w:rsid w:val="707458D8"/>
    <w:rsid w:val="71CD4C88"/>
    <w:rsid w:val="722C6DDA"/>
    <w:rsid w:val="727F0F06"/>
    <w:rsid w:val="72B06324"/>
    <w:rsid w:val="73D40519"/>
    <w:rsid w:val="744923BF"/>
    <w:rsid w:val="749F7D37"/>
    <w:rsid w:val="74D4250D"/>
    <w:rsid w:val="75187D22"/>
    <w:rsid w:val="75474E5B"/>
    <w:rsid w:val="75B8481E"/>
    <w:rsid w:val="762D1373"/>
    <w:rsid w:val="76CF2BA4"/>
    <w:rsid w:val="76F7377C"/>
    <w:rsid w:val="774B7D02"/>
    <w:rsid w:val="77AF09EF"/>
    <w:rsid w:val="77B840EF"/>
    <w:rsid w:val="789B4A7B"/>
    <w:rsid w:val="7ACA2440"/>
    <w:rsid w:val="7B02692A"/>
    <w:rsid w:val="7B5E1221"/>
    <w:rsid w:val="7D6D497D"/>
    <w:rsid w:val="7DCD3D33"/>
    <w:rsid w:val="7E97484B"/>
    <w:rsid w:val="7F2C21C7"/>
    <w:rsid w:val="7FCF5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8675E52"/>
  <w15:docId w15:val="{009C96B3-D754-4CFD-B435-7F9ED487C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semiHidden="1"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0" w:qFormat="1"/>
    <w:lsdException w:name="toc 3" w:semiHidden="1" w:uiPriority="0"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iPriority="0" w:qFormat="1"/>
    <w:lsdException w:name="footnote text" w:semiHidden="1" w:qFormat="1"/>
    <w:lsdException w:name="annotation text" w:semiHidden="1" w:qFormat="1"/>
    <w:lsdException w:name="header" w:semiHidden="1"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qFormat="1"/>
    <w:lsdException w:name="annotation reference" w:semiHidden="1" w:qFormat="1"/>
    <w:lsdException w:name="line number" w:semiHidden="1"/>
    <w:lsdException w:name="page number" w:semiHidden="1" w:uiPriority="0" w:qFormat="1"/>
    <w:lsdException w:name="endnote reference" w:semiHidden="1"/>
    <w:lsdException w:name="endnote text" w:semiHidden="1" w:qFormat="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qFormat="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qFormat="1"/>
    <w:lsdException w:name="Body Text" w:semiHidden="1" w:qFormat="1"/>
    <w:lsdException w:name="Body Text Indent" w:semiHidden="1"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uiPriority="0" w:qFormat="1"/>
    <w:lsdException w:name="Body Text First Indent" w:semiHidden="1"/>
    <w:lsdException w:name="Body Text First Indent 2" w:semiHidden="1"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semiHidden="1" w:uiPriority="0"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uiPriority="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72A0"/>
    <w:pPr>
      <w:spacing w:beforeLines="50" w:before="50" w:afterLines="50" w:after="50" w:line="360" w:lineRule="auto"/>
      <w:ind w:firstLineChars="200" w:firstLine="200"/>
    </w:pPr>
    <w:rPr>
      <w:rFonts w:ascii="宋体" w:hAnsi="宋体" w:cs="宋体"/>
      <w:sz w:val="24"/>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qFormat/>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rsid w:val="0028581B"/>
    <w:pPr>
      <w:spacing w:beforeLines="0" w:before="0" w:afterLines="0" w:after="0" w:line="240" w:lineRule="auto"/>
      <w:ind w:firstLineChars="0" w:firstLine="0"/>
    </w:pPr>
    <w:rPr>
      <w:rFonts w:cs="Times New Roman"/>
      <w:b/>
      <w:bCs/>
      <w:sz w:val="21"/>
      <w:szCs w:val="21"/>
    </w:rPr>
  </w:style>
  <w:style w:type="paragraph" w:styleId="a4">
    <w:name w:val="annotation text"/>
    <w:basedOn w:val="a"/>
    <w:link w:val="11"/>
    <w:uiPriority w:val="99"/>
    <w:qFormat/>
  </w:style>
  <w:style w:type="paragraph" w:styleId="a5">
    <w:name w:val="Body Text"/>
    <w:basedOn w:val="a"/>
    <w:link w:val="a6"/>
    <w:uiPriority w:val="99"/>
    <w:semiHidden/>
    <w:qFormat/>
    <w:pPr>
      <w:spacing w:after="120"/>
    </w:pPr>
  </w:style>
  <w:style w:type="paragraph" w:styleId="a7">
    <w:name w:val="Body Text Indent"/>
    <w:basedOn w:val="a"/>
    <w:link w:val="a8"/>
    <w:semiHidden/>
    <w:qFormat/>
    <w:pPr>
      <w:spacing w:after="0" w:line="440" w:lineRule="exact"/>
      <w:ind w:right="-69" w:firstLine="480"/>
      <w:jc w:val="both"/>
    </w:pPr>
    <w:rPr>
      <w:rFonts w:cs="Times New Roman"/>
    </w:rPr>
  </w:style>
  <w:style w:type="paragraph" w:styleId="TOC3">
    <w:name w:val="toc 3"/>
    <w:basedOn w:val="a"/>
    <w:next w:val="a"/>
    <w:semiHidden/>
    <w:qFormat/>
    <w:pPr>
      <w:spacing w:after="0" w:line="240" w:lineRule="auto"/>
      <w:ind w:leftChars="400" w:left="840"/>
      <w:jc w:val="both"/>
    </w:pPr>
    <w:rPr>
      <w:rFonts w:cs="Times New Roman"/>
      <w:sz w:val="21"/>
      <w:szCs w:val="20"/>
    </w:rPr>
  </w:style>
  <w:style w:type="paragraph" w:styleId="a9">
    <w:name w:val="Date"/>
    <w:basedOn w:val="a"/>
    <w:next w:val="a"/>
    <w:link w:val="aa"/>
    <w:semiHidden/>
    <w:qFormat/>
    <w:pPr>
      <w:spacing w:after="0" w:line="240" w:lineRule="auto"/>
      <w:ind w:leftChars="2500" w:left="100"/>
      <w:jc w:val="both"/>
    </w:pPr>
    <w:rPr>
      <w:rFonts w:ascii="Calibri" w:hAnsi="Calibri" w:cs="Times New Roman"/>
      <w:sz w:val="21"/>
      <w:szCs w:val="22"/>
    </w:rPr>
  </w:style>
  <w:style w:type="paragraph" w:styleId="ab">
    <w:name w:val="endnote text"/>
    <w:basedOn w:val="a"/>
    <w:link w:val="ac"/>
    <w:uiPriority w:val="99"/>
    <w:semiHidden/>
    <w:qFormat/>
    <w:pPr>
      <w:snapToGrid w:val="0"/>
      <w:spacing w:after="0"/>
    </w:pPr>
    <w:rPr>
      <w:rFonts w:eastAsia="等线" w:cs="Times New Roman"/>
      <w:szCs w:val="22"/>
    </w:rPr>
  </w:style>
  <w:style w:type="paragraph" w:styleId="ad">
    <w:name w:val="Balloon Text"/>
    <w:basedOn w:val="a"/>
    <w:link w:val="ae"/>
    <w:uiPriority w:val="99"/>
    <w:semiHidden/>
    <w:qFormat/>
    <w:pPr>
      <w:spacing w:after="0" w:line="240" w:lineRule="auto"/>
      <w:jc w:val="both"/>
    </w:pPr>
    <w:rPr>
      <w:rFonts w:ascii="Calibri" w:hAnsi="Calibri" w:cs="Times New Roman"/>
      <w:sz w:val="18"/>
      <w:szCs w:val="18"/>
    </w:rPr>
  </w:style>
  <w:style w:type="paragraph" w:styleId="af">
    <w:name w:val="footer"/>
    <w:basedOn w:val="a"/>
    <w:link w:val="af0"/>
    <w:uiPriority w:val="99"/>
    <w:qFormat/>
    <w:pPr>
      <w:tabs>
        <w:tab w:val="center" w:pos="4153"/>
        <w:tab w:val="right" w:pos="8306"/>
      </w:tabs>
      <w:snapToGrid w:val="0"/>
      <w:spacing w:line="240" w:lineRule="auto"/>
    </w:pPr>
    <w:rPr>
      <w:sz w:val="18"/>
      <w:szCs w:val="18"/>
    </w:rPr>
  </w:style>
  <w:style w:type="paragraph" w:styleId="af1">
    <w:name w:val="header"/>
    <w:basedOn w:val="a"/>
    <w:link w:val="af2"/>
    <w:uiPriority w:val="99"/>
    <w:qFormat/>
    <w:pPr>
      <w:tabs>
        <w:tab w:val="center" w:pos="4153"/>
        <w:tab w:val="right" w:pos="8306"/>
      </w:tabs>
      <w:snapToGrid w:val="0"/>
      <w:spacing w:line="240" w:lineRule="auto"/>
      <w:jc w:val="center"/>
    </w:pPr>
    <w:rPr>
      <w:sz w:val="18"/>
      <w:szCs w:val="18"/>
    </w:rPr>
  </w:style>
  <w:style w:type="paragraph" w:styleId="TOC1">
    <w:name w:val="toc 1"/>
    <w:next w:val="a"/>
    <w:uiPriority w:val="39"/>
    <w:qFormat/>
    <w:pPr>
      <w:spacing w:line="360" w:lineRule="auto"/>
      <w:jc w:val="both"/>
    </w:pPr>
    <w:rPr>
      <w:rFonts w:cstheme="minorBidi"/>
      <w:b/>
      <w:kern w:val="2"/>
      <w:sz w:val="24"/>
      <w:szCs w:val="24"/>
      <w14:ligatures w14:val="standardContextual"/>
    </w:rPr>
  </w:style>
  <w:style w:type="paragraph" w:styleId="af3">
    <w:name w:val="Subtitle"/>
    <w:basedOn w:val="a"/>
    <w:next w:val="a"/>
    <w:link w:val="af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5">
    <w:name w:val="footnote text"/>
    <w:basedOn w:val="a"/>
    <w:link w:val="af6"/>
    <w:uiPriority w:val="99"/>
    <w:semiHidden/>
    <w:qFormat/>
    <w:pPr>
      <w:snapToGrid w:val="0"/>
      <w:spacing w:after="0" w:line="240" w:lineRule="auto"/>
    </w:pPr>
    <w:rPr>
      <w:rFonts w:ascii="Calibri" w:hAnsi="Calibri" w:cs="Times New Roman"/>
      <w:sz w:val="18"/>
      <w:szCs w:val="18"/>
    </w:rPr>
  </w:style>
  <w:style w:type="paragraph" w:styleId="TOC2">
    <w:name w:val="toc 2"/>
    <w:basedOn w:val="a"/>
    <w:next w:val="a"/>
    <w:semiHidden/>
    <w:qFormat/>
    <w:pPr>
      <w:spacing w:after="0" w:line="240" w:lineRule="auto"/>
      <w:ind w:leftChars="200" w:left="420"/>
      <w:jc w:val="both"/>
    </w:pPr>
    <w:rPr>
      <w:rFonts w:cs="Times New Roman"/>
      <w:sz w:val="21"/>
      <w:szCs w:val="20"/>
    </w:rPr>
  </w:style>
  <w:style w:type="paragraph" w:styleId="af7">
    <w:name w:val="Normal (Web)"/>
    <w:basedOn w:val="a"/>
    <w:semiHidden/>
    <w:qFormat/>
    <w:pPr>
      <w:spacing w:before="100" w:beforeAutospacing="1" w:after="100" w:afterAutospacing="1" w:line="240" w:lineRule="auto"/>
    </w:pPr>
  </w:style>
  <w:style w:type="paragraph" w:styleId="af8">
    <w:name w:val="Title"/>
    <w:basedOn w:val="a"/>
    <w:next w:val="a"/>
    <w:link w:val="af9"/>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a">
    <w:name w:val="annotation subject"/>
    <w:basedOn w:val="a4"/>
    <w:next w:val="a4"/>
    <w:link w:val="afb"/>
    <w:semiHidden/>
    <w:qFormat/>
    <w:rPr>
      <w:b/>
      <w:bCs/>
      <w:sz w:val="21"/>
      <w:szCs w:val="21"/>
    </w:rPr>
  </w:style>
  <w:style w:type="table" w:styleId="af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basedOn w:val="a0"/>
    <w:qFormat/>
    <w:rPr>
      <w:b/>
    </w:rPr>
  </w:style>
  <w:style w:type="character" w:styleId="afe">
    <w:name w:val="page number"/>
    <w:basedOn w:val="a0"/>
    <w:semiHidden/>
    <w:qFormat/>
  </w:style>
  <w:style w:type="character" w:styleId="aff">
    <w:name w:val="Emphasis"/>
    <w:basedOn w:val="a0"/>
    <w:uiPriority w:val="20"/>
    <w:qFormat/>
    <w:rPr>
      <w:i/>
    </w:rPr>
  </w:style>
  <w:style w:type="character" w:styleId="aff0">
    <w:name w:val="Hyperlink"/>
    <w:basedOn w:val="a0"/>
    <w:uiPriority w:val="99"/>
    <w:qFormat/>
    <w:rPr>
      <w:color w:val="467886" w:themeColor="hyperlink"/>
      <w:u w:val="single"/>
    </w:rPr>
  </w:style>
  <w:style w:type="character" w:styleId="aff1">
    <w:name w:val="annotation reference"/>
    <w:basedOn w:val="a0"/>
    <w:uiPriority w:val="99"/>
    <w:qFormat/>
    <w:rPr>
      <w:sz w:val="21"/>
      <w:szCs w:val="21"/>
    </w:rPr>
  </w:style>
  <w:style w:type="character" w:styleId="aff2">
    <w:name w:val="footnote reference"/>
    <w:basedOn w:val="a0"/>
    <w:uiPriority w:val="99"/>
    <w:semiHidden/>
    <w:qFormat/>
    <w:rPr>
      <w:vertAlign w:val="superscript"/>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kern w:val="2"/>
      <w:sz w:val="48"/>
      <w:szCs w:val="48"/>
      <w14:ligatures w14:val="standardContextual"/>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kern w:val="2"/>
      <w:sz w:val="40"/>
      <w:szCs w:val="40"/>
      <w14:ligatures w14:val="standardContextual"/>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kern w:val="2"/>
      <w:sz w:val="32"/>
      <w:szCs w:val="32"/>
      <w14:ligatures w14:val="standardContextual"/>
    </w:rPr>
  </w:style>
  <w:style w:type="character" w:customStyle="1" w:styleId="40">
    <w:name w:val="标题 4 字符"/>
    <w:basedOn w:val="a0"/>
    <w:link w:val="4"/>
    <w:uiPriority w:val="9"/>
    <w:semiHidden/>
    <w:qFormat/>
    <w:rPr>
      <w:rFonts w:cstheme="majorBidi"/>
      <w:color w:val="0F4761" w:themeColor="accent1" w:themeShade="BF"/>
      <w:kern w:val="2"/>
      <w:sz w:val="28"/>
      <w:szCs w:val="28"/>
      <w14:ligatures w14:val="standardContextual"/>
    </w:rPr>
  </w:style>
  <w:style w:type="character" w:customStyle="1" w:styleId="50">
    <w:name w:val="标题 5 字符"/>
    <w:basedOn w:val="a0"/>
    <w:link w:val="5"/>
    <w:qFormat/>
    <w:rPr>
      <w:rFonts w:cstheme="majorBidi"/>
      <w:color w:val="0F4761" w:themeColor="accent1" w:themeShade="BF"/>
      <w:kern w:val="2"/>
      <w:sz w:val="24"/>
      <w:szCs w:val="24"/>
      <w14:ligatures w14:val="standardContextual"/>
    </w:rPr>
  </w:style>
  <w:style w:type="character" w:customStyle="1" w:styleId="60">
    <w:name w:val="标题 6 字符"/>
    <w:basedOn w:val="a0"/>
    <w:link w:val="6"/>
    <w:uiPriority w:val="9"/>
    <w:semiHidden/>
    <w:qFormat/>
    <w:rPr>
      <w:rFonts w:cstheme="majorBidi"/>
      <w:b/>
      <w:bCs/>
      <w:color w:val="0F4761" w:themeColor="accent1" w:themeShade="BF"/>
      <w:kern w:val="2"/>
      <w:sz w:val="24"/>
      <w:szCs w:val="24"/>
      <w14:ligatures w14:val="standardContextual"/>
    </w:rPr>
  </w:style>
  <w:style w:type="character" w:customStyle="1" w:styleId="70">
    <w:name w:val="标题 7 字符"/>
    <w:basedOn w:val="a0"/>
    <w:link w:val="7"/>
    <w:uiPriority w:val="9"/>
    <w:semiHidden/>
    <w:qFormat/>
    <w:rPr>
      <w:rFonts w:cstheme="majorBidi"/>
      <w:b/>
      <w:bCs/>
      <w:color w:val="595959" w:themeColor="text1" w:themeTint="A6"/>
      <w:kern w:val="2"/>
      <w:sz w:val="24"/>
      <w:szCs w:val="24"/>
      <w14:ligatures w14:val="standardContextual"/>
    </w:rPr>
  </w:style>
  <w:style w:type="paragraph" w:customStyle="1" w:styleId="aff3">
    <w:name w:val="表格后说明"/>
    <w:next w:val="a3"/>
    <w:autoRedefine/>
    <w:uiPriority w:val="3"/>
    <w:qFormat/>
    <w:rsid w:val="00F15E84"/>
    <w:pPr>
      <w:spacing w:after="120"/>
      <w:ind w:firstLine="357"/>
      <w:jc w:val="both"/>
    </w:pPr>
    <w:rPr>
      <w:kern w:val="2"/>
      <w:sz w:val="21"/>
      <w:szCs w:val="24"/>
    </w:rPr>
  </w:style>
  <w:style w:type="paragraph" w:customStyle="1" w:styleId="aff4">
    <w:name w:val="表格前单位"/>
    <w:next w:val="a3"/>
    <w:autoRedefine/>
    <w:uiPriority w:val="2"/>
    <w:qFormat/>
    <w:rsid w:val="00D81BA6"/>
    <w:pPr>
      <w:keepNext/>
      <w:spacing w:before="120"/>
      <w:ind w:firstLine="482"/>
      <w:jc w:val="right"/>
    </w:pPr>
    <w:rPr>
      <w:kern w:val="2"/>
      <w:sz w:val="21"/>
      <w:szCs w:val="24"/>
    </w:rPr>
  </w:style>
  <w:style w:type="table" w:customStyle="1" w:styleId="aff5">
    <w:name w:val="报告表格"/>
    <w:basedOn w:val="a1"/>
    <w:uiPriority w:val="99"/>
    <w:qFormat/>
    <w:rPr>
      <w:sz w:val="18"/>
      <w:szCs w:val="21"/>
    </w:rPr>
    <w:tblPr/>
  </w:style>
  <w:style w:type="character" w:customStyle="1" w:styleId="80">
    <w:name w:val="标题 8 字符"/>
    <w:basedOn w:val="a0"/>
    <w:link w:val="8"/>
    <w:uiPriority w:val="9"/>
    <w:semiHidden/>
    <w:qFormat/>
    <w:rPr>
      <w:rFonts w:cstheme="majorBidi"/>
      <w:color w:val="595959" w:themeColor="text1" w:themeTint="A6"/>
      <w:kern w:val="2"/>
      <w:sz w:val="24"/>
      <w:szCs w:val="24"/>
      <w14:ligatures w14:val="standardContextual"/>
    </w:rPr>
  </w:style>
  <w:style w:type="character" w:customStyle="1" w:styleId="90">
    <w:name w:val="标题 9 字符"/>
    <w:basedOn w:val="a0"/>
    <w:link w:val="9"/>
    <w:uiPriority w:val="9"/>
    <w:semiHidden/>
    <w:qFormat/>
    <w:rPr>
      <w:rFonts w:eastAsiaTheme="majorEastAsia" w:cstheme="majorBidi"/>
      <w:color w:val="595959" w:themeColor="text1" w:themeTint="A6"/>
      <w:kern w:val="2"/>
      <w:sz w:val="24"/>
      <w:szCs w:val="24"/>
      <w14:ligatures w14:val="standardContextual"/>
    </w:rPr>
  </w:style>
  <w:style w:type="character" w:customStyle="1" w:styleId="af9">
    <w:name w:val="标题 字符"/>
    <w:basedOn w:val="a0"/>
    <w:link w:val="af8"/>
    <w:uiPriority w:val="10"/>
    <w:qFormat/>
    <w:rPr>
      <w:rFonts w:asciiTheme="majorHAnsi" w:eastAsiaTheme="majorEastAsia" w:hAnsiTheme="majorHAnsi" w:cstheme="majorBidi"/>
      <w:spacing w:val="-10"/>
      <w:kern w:val="28"/>
      <w:sz w:val="56"/>
      <w:szCs w:val="56"/>
      <w14:ligatures w14:val="standardContextual"/>
    </w:rPr>
  </w:style>
  <w:style w:type="character" w:customStyle="1" w:styleId="af4">
    <w:name w:val="副标题 字符"/>
    <w:basedOn w:val="a0"/>
    <w:link w:val="af3"/>
    <w:uiPriority w:val="11"/>
    <w:qFormat/>
    <w:rPr>
      <w:rFonts w:asciiTheme="majorHAnsi" w:eastAsiaTheme="majorEastAsia" w:hAnsiTheme="majorHAnsi" w:cstheme="majorBidi"/>
      <w:color w:val="595959" w:themeColor="text1" w:themeTint="A6"/>
      <w:spacing w:val="15"/>
      <w:kern w:val="2"/>
      <w:sz w:val="28"/>
      <w:szCs w:val="28"/>
      <w14:ligatures w14:val="standardContextual"/>
    </w:rPr>
  </w:style>
  <w:style w:type="paragraph" w:styleId="aff6">
    <w:name w:val="Quote"/>
    <w:basedOn w:val="a"/>
    <w:next w:val="a"/>
    <w:link w:val="aff7"/>
    <w:uiPriority w:val="29"/>
    <w:qFormat/>
    <w:pPr>
      <w:spacing w:before="160"/>
      <w:jc w:val="center"/>
    </w:pPr>
    <w:rPr>
      <w:i/>
      <w:iCs/>
      <w:color w:val="404040" w:themeColor="text1" w:themeTint="BF"/>
    </w:rPr>
  </w:style>
  <w:style w:type="character" w:customStyle="1" w:styleId="aff7">
    <w:name w:val="引用 字符"/>
    <w:basedOn w:val="a0"/>
    <w:link w:val="aff6"/>
    <w:uiPriority w:val="29"/>
    <w:qFormat/>
    <w:rPr>
      <w:rFonts w:cstheme="minorBidi"/>
      <w:i/>
      <w:iCs/>
      <w:color w:val="404040" w:themeColor="text1" w:themeTint="BF"/>
      <w:kern w:val="2"/>
      <w:sz w:val="24"/>
      <w:szCs w:val="24"/>
      <w14:ligatures w14:val="standardContextual"/>
    </w:rPr>
  </w:style>
  <w:style w:type="paragraph" w:styleId="aff8">
    <w:name w:val="List Paragraph"/>
    <w:basedOn w:val="a"/>
    <w:uiPriority w:val="34"/>
    <w:qFormat/>
    <w:pPr>
      <w:ind w:left="720"/>
      <w:contextualSpacing/>
    </w:pPr>
  </w:style>
  <w:style w:type="character" w:customStyle="1" w:styleId="12">
    <w:name w:val="明显强调1"/>
    <w:basedOn w:val="a0"/>
    <w:uiPriority w:val="21"/>
    <w:semiHidden/>
    <w:qFormat/>
    <w:rPr>
      <w:i/>
      <w:iCs/>
      <w:color w:val="0F4761" w:themeColor="accent1" w:themeShade="BF"/>
    </w:rPr>
  </w:style>
  <w:style w:type="paragraph" w:styleId="aff9">
    <w:name w:val="Intense Quote"/>
    <w:basedOn w:val="a"/>
    <w:next w:val="a"/>
    <w:link w:val="affa"/>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a">
    <w:name w:val="明显引用 字符"/>
    <w:basedOn w:val="a0"/>
    <w:link w:val="aff9"/>
    <w:uiPriority w:val="30"/>
    <w:qFormat/>
    <w:rPr>
      <w:rFonts w:cstheme="minorBidi"/>
      <w:i/>
      <w:iCs/>
      <w:color w:val="0F4761" w:themeColor="accent1" w:themeShade="BF"/>
      <w:kern w:val="2"/>
      <w:sz w:val="24"/>
      <w:szCs w:val="24"/>
      <w14:ligatures w14:val="standardContextual"/>
    </w:rPr>
  </w:style>
  <w:style w:type="character" w:customStyle="1" w:styleId="13">
    <w:name w:val="明显参考1"/>
    <w:basedOn w:val="a0"/>
    <w:uiPriority w:val="32"/>
    <w:semiHidden/>
    <w:qFormat/>
    <w:rPr>
      <w:b/>
      <w:bCs/>
      <w:smallCaps/>
      <w:color w:val="0F4761" w:themeColor="accent1" w:themeShade="BF"/>
      <w:spacing w:val="5"/>
    </w:rPr>
  </w:style>
  <w:style w:type="character" w:customStyle="1" w:styleId="af2">
    <w:name w:val="页眉 字符"/>
    <w:basedOn w:val="a0"/>
    <w:link w:val="af1"/>
    <w:uiPriority w:val="99"/>
    <w:qFormat/>
    <w:rPr>
      <w:rFonts w:cstheme="minorBidi"/>
      <w:kern w:val="2"/>
      <w:sz w:val="18"/>
      <w:szCs w:val="18"/>
      <w14:ligatures w14:val="standardContextual"/>
    </w:rPr>
  </w:style>
  <w:style w:type="character" w:customStyle="1" w:styleId="af0">
    <w:name w:val="页脚 字符"/>
    <w:basedOn w:val="a0"/>
    <w:link w:val="af"/>
    <w:uiPriority w:val="99"/>
    <w:qFormat/>
    <w:rPr>
      <w:rFonts w:cstheme="minorBidi"/>
      <w:kern w:val="2"/>
      <w:sz w:val="18"/>
      <w:szCs w:val="18"/>
      <w14:ligatures w14:val="standardContextual"/>
    </w:rPr>
  </w:style>
  <w:style w:type="paragraph" w:customStyle="1" w:styleId="14">
    <w:name w:val="批注文字1"/>
    <w:basedOn w:val="a"/>
    <w:next w:val="a4"/>
    <w:link w:val="affb"/>
    <w:uiPriority w:val="99"/>
    <w:semiHidden/>
    <w:qFormat/>
    <w:pPr>
      <w:spacing w:after="0" w:line="240" w:lineRule="auto"/>
    </w:pPr>
    <w:rPr>
      <w:sz w:val="21"/>
      <w:szCs w:val="21"/>
    </w:rPr>
  </w:style>
  <w:style w:type="character" w:customStyle="1" w:styleId="affb">
    <w:name w:val="批注文字 字符"/>
    <w:basedOn w:val="a0"/>
    <w:link w:val="14"/>
    <w:uiPriority w:val="99"/>
    <w:qFormat/>
    <w:rPr>
      <w:rFonts w:cstheme="minorBidi"/>
      <w:kern w:val="2"/>
      <w:sz w:val="21"/>
      <w:szCs w:val="21"/>
      <w14:ligatures w14:val="standardContextual"/>
    </w:rPr>
  </w:style>
  <w:style w:type="paragraph" w:customStyle="1" w:styleId="TOC31">
    <w:name w:val="TOC 31"/>
    <w:basedOn w:val="a"/>
    <w:next w:val="a"/>
    <w:autoRedefine/>
    <w:uiPriority w:val="39"/>
    <w:semiHidden/>
    <w:qFormat/>
    <w:pPr>
      <w:spacing w:after="0" w:line="240" w:lineRule="auto"/>
      <w:ind w:leftChars="400" w:left="840"/>
      <w:jc w:val="both"/>
    </w:pPr>
    <w:rPr>
      <w:rFonts w:eastAsia="黑体"/>
      <w:szCs w:val="21"/>
    </w:rPr>
  </w:style>
  <w:style w:type="character" w:customStyle="1" w:styleId="ac">
    <w:name w:val="尾注文本 字符"/>
    <w:basedOn w:val="a0"/>
    <w:link w:val="ab"/>
    <w:uiPriority w:val="99"/>
    <w:semiHidden/>
    <w:qFormat/>
    <w:rPr>
      <w:rFonts w:eastAsia="等线"/>
      <w:kern w:val="2"/>
      <w:sz w:val="24"/>
      <w:szCs w:val="22"/>
    </w:rPr>
  </w:style>
  <w:style w:type="character" w:customStyle="1" w:styleId="ae">
    <w:name w:val="批注框文本 字符"/>
    <w:basedOn w:val="a0"/>
    <w:link w:val="ad"/>
    <w:uiPriority w:val="99"/>
    <w:semiHidden/>
    <w:qFormat/>
    <w:rPr>
      <w:rFonts w:ascii="Calibri" w:hAnsi="Calibri"/>
      <w:kern w:val="2"/>
      <w:sz w:val="18"/>
      <w:szCs w:val="18"/>
    </w:rPr>
  </w:style>
  <w:style w:type="paragraph" w:customStyle="1" w:styleId="TOC11">
    <w:name w:val="TOC 11"/>
    <w:basedOn w:val="a"/>
    <w:next w:val="a"/>
    <w:autoRedefine/>
    <w:uiPriority w:val="39"/>
    <w:qFormat/>
    <w:pPr>
      <w:spacing w:after="0" w:line="240" w:lineRule="auto"/>
      <w:jc w:val="both"/>
    </w:pPr>
    <w:rPr>
      <w:rFonts w:eastAsia="黑体"/>
      <w:szCs w:val="21"/>
    </w:rPr>
  </w:style>
  <w:style w:type="paragraph" w:customStyle="1" w:styleId="TOC21">
    <w:name w:val="TOC 21"/>
    <w:basedOn w:val="a"/>
    <w:next w:val="a"/>
    <w:autoRedefine/>
    <w:uiPriority w:val="39"/>
    <w:semiHidden/>
    <w:qFormat/>
    <w:pPr>
      <w:spacing w:after="0" w:line="240" w:lineRule="auto"/>
      <w:ind w:leftChars="200" w:left="420"/>
      <w:jc w:val="both"/>
    </w:pPr>
    <w:rPr>
      <w:rFonts w:eastAsia="黑体"/>
      <w:szCs w:val="21"/>
    </w:rPr>
  </w:style>
  <w:style w:type="paragraph" w:customStyle="1" w:styleId="15">
    <w:name w:val="批注主题1"/>
    <w:basedOn w:val="a4"/>
    <w:next w:val="a4"/>
    <w:uiPriority w:val="99"/>
    <w:semiHidden/>
    <w:qFormat/>
    <w:pPr>
      <w:spacing w:after="0" w:line="240" w:lineRule="auto"/>
    </w:pPr>
    <w:rPr>
      <w:b/>
      <w:bCs/>
      <w:sz w:val="21"/>
      <w:szCs w:val="21"/>
    </w:rPr>
  </w:style>
  <w:style w:type="character" w:customStyle="1" w:styleId="afb">
    <w:name w:val="批注主题 字符"/>
    <w:basedOn w:val="affb"/>
    <w:link w:val="afa"/>
    <w:semiHidden/>
    <w:qFormat/>
    <w:rPr>
      <w:rFonts w:cstheme="minorBidi"/>
      <w:b/>
      <w:bCs/>
      <w:kern w:val="2"/>
      <w:sz w:val="21"/>
      <w:szCs w:val="21"/>
      <w14:ligatures w14:val="standardContextual"/>
    </w:rPr>
  </w:style>
  <w:style w:type="paragraph" w:customStyle="1" w:styleId="TOC10">
    <w:name w:val="TOC 标题1"/>
    <w:basedOn w:val="1"/>
    <w:next w:val="a"/>
    <w:uiPriority w:val="39"/>
    <w:semiHidden/>
    <w:qFormat/>
    <w:pPr>
      <w:snapToGrid w:val="0"/>
      <w:spacing w:before="240" w:after="0" w:line="259" w:lineRule="auto"/>
      <w:jc w:val="center"/>
      <w:outlineLvl w:val="9"/>
    </w:pPr>
    <w:rPr>
      <w:rFonts w:ascii="Times New Roman" w:eastAsia="黑体" w:hAnsi="Times New Roman" w:cs="Times New Roman"/>
      <w:color w:val="auto"/>
      <w:sz w:val="32"/>
      <w:szCs w:val="32"/>
    </w:rPr>
  </w:style>
  <w:style w:type="character" w:customStyle="1" w:styleId="16">
    <w:name w:val="页脚 字符1"/>
    <w:uiPriority w:val="99"/>
    <w:semiHidden/>
    <w:qFormat/>
    <w:rPr>
      <w:rFonts w:ascii="Calibri" w:eastAsia="宋体" w:hAnsi="Calibri" w:cs="Times New Roman"/>
      <w:kern w:val="2"/>
      <w:sz w:val="18"/>
      <w:szCs w:val="18"/>
    </w:rPr>
  </w:style>
  <w:style w:type="paragraph" w:customStyle="1" w:styleId="005">
    <w:name w:val="005正文"/>
    <w:link w:val="005Char"/>
    <w:qFormat/>
    <w:pPr>
      <w:widowControl w:val="0"/>
      <w:spacing w:beforeLines="50" w:before="50" w:afterLines="50" w:after="50" w:line="360" w:lineRule="auto"/>
      <w:ind w:firstLineChars="200" w:firstLine="200"/>
      <w:jc w:val="both"/>
    </w:pPr>
    <w:rPr>
      <w:kern w:val="2"/>
      <w:sz w:val="24"/>
      <w:szCs w:val="22"/>
    </w:rPr>
  </w:style>
  <w:style w:type="character" w:customStyle="1" w:styleId="005Char">
    <w:name w:val="005正文 Char"/>
    <w:link w:val="005"/>
    <w:qFormat/>
    <w:rPr>
      <w:kern w:val="2"/>
      <w:sz w:val="24"/>
      <w:szCs w:val="22"/>
    </w:rPr>
  </w:style>
  <w:style w:type="character" w:customStyle="1" w:styleId="110">
    <w:name w:val="明显强调11"/>
    <w:basedOn w:val="a0"/>
    <w:uiPriority w:val="21"/>
    <w:semiHidden/>
    <w:qFormat/>
    <w:rPr>
      <w:i/>
      <w:iCs/>
      <w:color w:val="2E74B5"/>
    </w:rPr>
  </w:style>
  <w:style w:type="character" w:customStyle="1" w:styleId="111">
    <w:name w:val="明显参考11"/>
    <w:basedOn w:val="a0"/>
    <w:uiPriority w:val="32"/>
    <w:semiHidden/>
    <w:qFormat/>
    <w:rPr>
      <w:b/>
      <w:bCs/>
      <w:smallCaps/>
      <w:color w:val="2E74B5"/>
      <w:spacing w:val="5"/>
    </w:rPr>
  </w:style>
  <w:style w:type="character" w:customStyle="1" w:styleId="font11">
    <w:name w:val="font11"/>
    <w:basedOn w:val="a0"/>
    <w:semiHidden/>
    <w:qFormat/>
    <w:rPr>
      <w:rFonts w:ascii="宋体" w:eastAsia="宋体" w:hAnsi="宋体" w:hint="eastAsia"/>
      <w:b/>
      <w:bCs/>
      <w:color w:val="000000"/>
      <w:sz w:val="21"/>
      <w:szCs w:val="21"/>
      <w:u w:val="none"/>
    </w:rPr>
  </w:style>
  <w:style w:type="character" w:customStyle="1" w:styleId="font21">
    <w:name w:val="font21"/>
    <w:basedOn w:val="a0"/>
    <w:semiHidden/>
    <w:qFormat/>
    <w:rPr>
      <w:rFonts w:ascii="宋体" w:eastAsia="宋体" w:hAnsi="宋体" w:hint="eastAsia"/>
      <w:b/>
      <w:bCs/>
      <w:color w:val="000000"/>
      <w:sz w:val="21"/>
      <w:szCs w:val="21"/>
      <w:u w:val="none"/>
    </w:rPr>
  </w:style>
  <w:style w:type="character" w:customStyle="1" w:styleId="af6">
    <w:name w:val="脚注文本 字符"/>
    <w:basedOn w:val="a0"/>
    <w:link w:val="af5"/>
    <w:uiPriority w:val="99"/>
    <w:semiHidden/>
    <w:qFormat/>
    <w:rPr>
      <w:rFonts w:ascii="Calibri" w:hAnsi="Calibri"/>
      <w:kern w:val="2"/>
      <w:sz w:val="18"/>
      <w:szCs w:val="18"/>
    </w:rPr>
  </w:style>
  <w:style w:type="table" w:customStyle="1" w:styleId="17">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批注文字 字符1"/>
    <w:basedOn w:val="a0"/>
    <w:link w:val="a4"/>
    <w:uiPriority w:val="99"/>
    <w:qFormat/>
    <w:rPr>
      <w:rFonts w:cstheme="minorBidi"/>
      <w:kern w:val="2"/>
      <w:sz w:val="24"/>
      <w:szCs w:val="24"/>
      <w14:ligatures w14:val="standardContextual"/>
    </w:rPr>
  </w:style>
  <w:style w:type="character" w:customStyle="1" w:styleId="18">
    <w:name w:val="批注主题 字符1"/>
    <w:basedOn w:val="11"/>
    <w:uiPriority w:val="99"/>
    <w:semiHidden/>
    <w:qFormat/>
    <w:rPr>
      <w:rFonts w:asciiTheme="minorHAnsi" w:eastAsiaTheme="minorEastAsia" w:hAnsiTheme="minorHAnsi" w:cstheme="minorBidi"/>
      <w:b/>
      <w:bCs/>
      <w:kern w:val="2"/>
      <w:sz w:val="22"/>
      <w:szCs w:val="24"/>
      <w14:ligatures w14:val="standardContextual"/>
    </w:rPr>
  </w:style>
  <w:style w:type="paragraph" w:customStyle="1" w:styleId="19">
    <w:name w:val="修订1"/>
    <w:hidden/>
    <w:uiPriority w:val="99"/>
    <w:qFormat/>
    <w:rPr>
      <w:rFonts w:asciiTheme="minorHAnsi" w:eastAsiaTheme="minorEastAsia" w:hAnsiTheme="minorHAnsi" w:cstheme="minorBidi"/>
      <w:kern w:val="2"/>
      <w:sz w:val="22"/>
      <w:szCs w:val="24"/>
      <w14:ligatures w14:val="standardContextual"/>
    </w:rPr>
  </w:style>
  <w:style w:type="paragraph" w:customStyle="1" w:styleId="31">
    <w:name w:val="目录 31"/>
    <w:basedOn w:val="a"/>
    <w:next w:val="a"/>
    <w:autoRedefine/>
    <w:uiPriority w:val="39"/>
    <w:semiHidden/>
    <w:qFormat/>
    <w:pPr>
      <w:spacing w:after="0" w:line="240" w:lineRule="auto"/>
      <w:ind w:leftChars="400" w:left="840"/>
      <w:jc w:val="both"/>
    </w:pPr>
    <w:rPr>
      <w:rFonts w:eastAsia="黑体"/>
      <w:szCs w:val="21"/>
    </w:rPr>
  </w:style>
  <w:style w:type="paragraph" w:customStyle="1" w:styleId="112">
    <w:name w:val="目录 11"/>
    <w:basedOn w:val="a"/>
    <w:next w:val="a"/>
    <w:autoRedefine/>
    <w:semiHidden/>
    <w:qFormat/>
    <w:pPr>
      <w:spacing w:after="0" w:line="240" w:lineRule="auto"/>
      <w:jc w:val="both"/>
    </w:pPr>
    <w:rPr>
      <w:rFonts w:eastAsia="黑体"/>
      <w:szCs w:val="21"/>
    </w:rPr>
  </w:style>
  <w:style w:type="paragraph" w:customStyle="1" w:styleId="210">
    <w:name w:val="目录 21"/>
    <w:basedOn w:val="a"/>
    <w:next w:val="a"/>
    <w:autoRedefine/>
    <w:uiPriority w:val="39"/>
    <w:semiHidden/>
    <w:qFormat/>
    <w:pPr>
      <w:spacing w:after="0" w:line="240" w:lineRule="auto"/>
      <w:ind w:leftChars="200" w:left="420"/>
      <w:jc w:val="both"/>
    </w:pPr>
    <w:rPr>
      <w:rFonts w:eastAsia="黑体"/>
      <w:szCs w:val="21"/>
    </w:rPr>
  </w:style>
  <w:style w:type="paragraph" w:customStyle="1" w:styleId="32">
    <w:name w:val="目录 32"/>
    <w:basedOn w:val="a"/>
    <w:next w:val="a"/>
    <w:autoRedefine/>
    <w:uiPriority w:val="39"/>
    <w:semiHidden/>
    <w:qFormat/>
    <w:pPr>
      <w:spacing w:after="0" w:line="240" w:lineRule="auto"/>
      <w:ind w:leftChars="400" w:left="840"/>
      <w:jc w:val="both"/>
    </w:pPr>
    <w:rPr>
      <w:rFonts w:eastAsia="黑体"/>
      <w:szCs w:val="21"/>
    </w:rPr>
  </w:style>
  <w:style w:type="paragraph" w:customStyle="1" w:styleId="120">
    <w:name w:val="目录 12"/>
    <w:basedOn w:val="a"/>
    <w:next w:val="a"/>
    <w:autoRedefine/>
    <w:uiPriority w:val="39"/>
    <w:semiHidden/>
    <w:qFormat/>
    <w:pPr>
      <w:spacing w:after="0" w:line="240" w:lineRule="auto"/>
      <w:jc w:val="both"/>
    </w:pPr>
    <w:rPr>
      <w:rFonts w:eastAsia="黑体"/>
      <w:szCs w:val="21"/>
    </w:rPr>
  </w:style>
  <w:style w:type="paragraph" w:customStyle="1" w:styleId="22">
    <w:name w:val="目录 22"/>
    <w:basedOn w:val="a"/>
    <w:next w:val="a"/>
    <w:autoRedefine/>
    <w:uiPriority w:val="39"/>
    <w:semiHidden/>
    <w:qFormat/>
    <w:pPr>
      <w:spacing w:after="0" w:line="240" w:lineRule="auto"/>
      <w:ind w:leftChars="200" w:left="420"/>
      <w:jc w:val="both"/>
    </w:pPr>
    <w:rPr>
      <w:rFonts w:eastAsia="黑体"/>
      <w:szCs w:val="21"/>
    </w:rPr>
  </w:style>
  <w:style w:type="table" w:customStyle="1" w:styleId="3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报告表格1"/>
    <w:basedOn w:val="a1"/>
    <w:uiPriority w:val="99"/>
    <w:qFormat/>
    <w:rPr>
      <w:sz w:val="18"/>
      <w:szCs w:val="21"/>
    </w:rPr>
    <w:tblPr/>
  </w:style>
  <w:style w:type="table" w:customStyle="1" w:styleId="113">
    <w:name w:val="网格型1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4">
    <w:name w:val="修订11"/>
    <w:hidden/>
    <w:uiPriority w:val="99"/>
    <w:semiHidden/>
    <w:qFormat/>
    <w:rPr>
      <w:rFonts w:ascii="Calibri" w:hAnsi="Calibri"/>
      <w:kern w:val="2"/>
      <w:sz w:val="21"/>
      <w:szCs w:val="22"/>
    </w:rPr>
  </w:style>
  <w:style w:type="paragraph" w:customStyle="1" w:styleId="23">
    <w:name w:val="修订2"/>
    <w:hidden/>
    <w:uiPriority w:val="99"/>
    <w:unhideWhenUsed/>
    <w:qFormat/>
    <w:rPr>
      <w:rFonts w:ascii="Calibri" w:hAnsi="Calibri"/>
      <w:kern w:val="2"/>
      <w:sz w:val="21"/>
      <w:szCs w:val="22"/>
    </w:rPr>
  </w:style>
  <w:style w:type="character" w:customStyle="1" w:styleId="aa">
    <w:name w:val="日期 字符"/>
    <w:basedOn w:val="a0"/>
    <w:link w:val="a9"/>
    <w:semiHidden/>
    <w:qFormat/>
    <w:rPr>
      <w:rFonts w:ascii="Calibri" w:hAnsi="Calibri"/>
      <w:kern w:val="2"/>
      <w:sz w:val="21"/>
      <w:szCs w:val="22"/>
    </w:rPr>
  </w:style>
  <w:style w:type="table" w:customStyle="1" w:styleId="310">
    <w:name w:val="网格型31"/>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semiHidden/>
    <w:qFormat/>
  </w:style>
  <w:style w:type="character" w:styleId="affc">
    <w:name w:val="Placeholder Text"/>
    <w:basedOn w:val="a0"/>
    <w:uiPriority w:val="99"/>
    <w:semiHidden/>
    <w:qFormat/>
    <w:rPr>
      <w:color w:val="808080"/>
    </w:rPr>
  </w:style>
  <w:style w:type="table" w:customStyle="1" w:styleId="1b">
    <w:name w:val="样式1"/>
    <w:basedOn w:val="a1"/>
    <w:uiPriority w:val="9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style>
  <w:style w:type="table" w:customStyle="1" w:styleId="24">
    <w:name w:val="样式2"/>
    <w:basedOn w:val="a1"/>
    <w:uiPriority w:val="99"/>
    <w:qFormat/>
    <w:rPr>
      <w:rFonts w:ascii="Calibri" w:eastAsia="等线" w:hAnsi="Calibri"/>
    </w:rPr>
    <w:tblP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Pr>
  </w:style>
  <w:style w:type="paragraph" w:customStyle="1" w:styleId="TOC32">
    <w:name w:val="TOC 32"/>
    <w:basedOn w:val="a"/>
    <w:next w:val="a"/>
    <w:autoRedefine/>
    <w:uiPriority w:val="39"/>
    <w:semiHidden/>
    <w:qFormat/>
    <w:pPr>
      <w:spacing w:after="0" w:line="240" w:lineRule="auto"/>
      <w:ind w:leftChars="400" w:left="840"/>
      <w:jc w:val="both"/>
    </w:pPr>
    <w:rPr>
      <w:rFonts w:eastAsia="黑体"/>
      <w:szCs w:val="21"/>
    </w:rPr>
  </w:style>
  <w:style w:type="paragraph" w:customStyle="1" w:styleId="TOC12">
    <w:name w:val="TOC 12"/>
    <w:basedOn w:val="a"/>
    <w:next w:val="a"/>
    <w:autoRedefine/>
    <w:uiPriority w:val="39"/>
    <w:semiHidden/>
    <w:qFormat/>
    <w:pPr>
      <w:spacing w:after="0" w:line="240" w:lineRule="auto"/>
      <w:jc w:val="both"/>
    </w:pPr>
    <w:rPr>
      <w:rFonts w:eastAsia="黑体"/>
      <w:szCs w:val="21"/>
    </w:rPr>
  </w:style>
  <w:style w:type="paragraph" w:customStyle="1" w:styleId="TOC22">
    <w:name w:val="TOC 22"/>
    <w:basedOn w:val="a"/>
    <w:next w:val="a"/>
    <w:autoRedefine/>
    <w:uiPriority w:val="39"/>
    <w:semiHidden/>
    <w:qFormat/>
    <w:pPr>
      <w:spacing w:after="0" w:line="240" w:lineRule="auto"/>
      <w:ind w:leftChars="200" w:left="420"/>
      <w:jc w:val="both"/>
    </w:pPr>
    <w:rPr>
      <w:rFonts w:eastAsia="黑体"/>
      <w:szCs w:val="21"/>
    </w:rPr>
  </w:style>
  <w:style w:type="table" w:customStyle="1" w:styleId="25">
    <w:name w:val="报告表格2"/>
    <w:basedOn w:val="a1"/>
    <w:uiPriority w:val="99"/>
    <w:qFormat/>
    <w:rPr>
      <w:sz w:val="18"/>
      <w:szCs w:val="21"/>
    </w:rPr>
    <w:tblPr/>
  </w:style>
  <w:style w:type="table" w:customStyle="1" w:styleId="121">
    <w:name w:val="网格型1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4">
    <w:name w:val="修订3"/>
    <w:hidden/>
    <w:uiPriority w:val="99"/>
    <w:unhideWhenUsed/>
    <w:qFormat/>
    <w:rPr>
      <w:rFonts w:ascii="Calibri" w:hAnsi="Calibri"/>
      <w:kern w:val="2"/>
      <w:sz w:val="21"/>
      <w:szCs w:val="22"/>
    </w:rPr>
  </w:style>
  <w:style w:type="table" w:customStyle="1" w:styleId="320">
    <w:name w:val="网格型32"/>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修订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51">
    <w:name w:val="修订5"/>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130">
    <w:name w:val="网格型13"/>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0">
    <w:name w:val="目录 33"/>
    <w:basedOn w:val="a"/>
    <w:next w:val="a"/>
    <w:autoRedefine/>
    <w:uiPriority w:val="39"/>
    <w:semiHidden/>
    <w:qFormat/>
    <w:pPr>
      <w:spacing w:after="0" w:line="240" w:lineRule="auto"/>
      <w:ind w:leftChars="400" w:left="840"/>
      <w:jc w:val="both"/>
    </w:pPr>
    <w:rPr>
      <w:rFonts w:eastAsia="黑体"/>
      <w:szCs w:val="21"/>
    </w:rPr>
  </w:style>
  <w:style w:type="paragraph" w:customStyle="1" w:styleId="131">
    <w:name w:val="目录 13"/>
    <w:basedOn w:val="a"/>
    <w:next w:val="a"/>
    <w:autoRedefine/>
    <w:uiPriority w:val="39"/>
    <w:semiHidden/>
    <w:qFormat/>
    <w:pPr>
      <w:spacing w:after="0" w:line="240" w:lineRule="auto"/>
      <w:jc w:val="both"/>
    </w:pPr>
    <w:rPr>
      <w:rFonts w:eastAsia="黑体"/>
      <w:szCs w:val="21"/>
    </w:rPr>
  </w:style>
  <w:style w:type="paragraph" w:customStyle="1" w:styleId="231">
    <w:name w:val="目录 23"/>
    <w:basedOn w:val="a"/>
    <w:next w:val="a"/>
    <w:autoRedefine/>
    <w:uiPriority w:val="39"/>
    <w:semiHidden/>
    <w:qFormat/>
    <w:pPr>
      <w:spacing w:after="0" w:line="240" w:lineRule="auto"/>
      <w:ind w:leftChars="200" w:left="420"/>
      <w:jc w:val="both"/>
    </w:pPr>
    <w:rPr>
      <w:rFonts w:eastAsia="黑体"/>
      <w:szCs w:val="21"/>
    </w:rPr>
  </w:style>
  <w:style w:type="table" w:customStyle="1" w:styleId="140">
    <w:name w:val="网格型14"/>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0">
    <w:name w:val="修订51"/>
    <w:hidden/>
    <w:uiPriority w:val="99"/>
    <w:unhideWhenUsed/>
    <w:qFormat/>
    <w:rPr>
      <w:rFonts w:ascii="Calibri" w:hAnsi="Calibri"/>
      <w:kern w:val="2"/>
      <w:sz w:val="21"/>
      <w:szCs w:val="22"/>
    </w:rPr>
  </w:style>
  <w:style w:type="paragraph" w:customStyle="1" w:styleId="340">
    <w:name w:val="目录 34"/>
    <w:basedOn w:val="a"/>
    <w:next w:val="a"/>
    <w:autoRedefine/>
    <w:uiPriority w:val="39"/>
    <w:semiHidden/>
    <w:qFormat/>
    <w:pPr>
      <w:spacing w:after="0" w:line="240" w:lineRule="auto"/>
      <w:ind w:leftChars="400" w:left="840"/>
      <w:jc w:val="both"/>
    </w:pPr>
    <w:rPr>
      <w:rFonts w:eastAsia="黑体"/>
      <w:szCs w:val="21"/>
    </w:rPr>
  </w:style>
  <w:style w:type="paragraph" w:customStyle="1" w:styleId="141">
    <w:name w:val="目录 14"/>
    <w:basedOn w:val="a"/>
    <w:next w:val="a"/>
    <w:autoRedefine/>
    <w:uiPriority w:val="39"/>
    <w:semiHidden/>
    <w:qFormat/>
    <w:pPr>
      <w:spacing w:after="0" w:line="240" w:lineRule="auto"/>
      <w:jc w:val="both"/>
    </w:pPr>
    <w:rPr>
      <w:rFonts w:eastAsia="黑体"/>
      <w:szCs w:val="21"/>
    </w:rPr>
  </w:style>
  <w:style w:type="paragraph" w:customStyle="1" w:styleId="241">
    <w:name w:val="目录 24"/>
    <w:basedOn w:val="a"/>
    <w:next w:val="a"/>
    <w:autoRedefine/>
    <w:uiPriority w:val="39"/>
    <w:semiHidden/>
    <w:qFormat/>
    <w:pPr>
      <w:spacing w:after="0" w:line="240" w:lineRule="auto"/>
      <w:ind w:leftChars="200" w:left="420"/>
      <w:jc w:val="both"/>
    </w:pPr>
    <w:rPr>
      <w:rFonts w:eastAsia="黑体"/>
      <w:szCs w:val="21"/>
    </w:rPr>
  </w:style>
  <w:style w:type="table" w:customStyle="1" w:styleId="150">
    <w:name w:val="网格型15"/>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1">
    <w:name w:val="001一级标题"/>
    <w:qFormat/>
    <w:pPr>
      <w:keepNext/>
      <w:keepLines/>
      <w:pageBreakBefore/>
      <w:widowControl w:val="0"/>
      <w:spacing w:beforeLines="50" w:before="50" w:afterLines="50" w:after="50" w:line="360" w:lineRule="auto"/>
      <w:ind w:firstLineChars="200" w:firstLine="200"/>
      <w:jc w:val="both"/>
      <w:outlineLvl w:val="0"/>
    </w:pPr>
    <w:rPr>
      <w:rFonts w:eastAsia="黑体"/>
      <w:bCs/>
      <w:kern w:val="2"/>
      <w:sz w:val="24"/>
      <w:szCs w:val="28"/>
    </w:rPr>
  </w:style>
  <w:style w:type="paragraph" w:customStyle="1" w:styleId="002">
    <w:name w:val="002二级标题"/>
    <w:qFormat/>
    <w:pPr>
      <w:keepNext/>
      <w:keepLines/>
      <w:widowControl w:val="0"/>
      <w:spacing w:beforeLines="50" w:before="50" w:afterLines="50" w:after="50" w:line="360" w:lineRule="auto"/>
      <w:ind w:firstLineChars="200" w:firstLine="200"/>
      <w:jc w:val="both"/>
      <w:outlineLvl w:val="1"/>
    </w:pPr>
    <w:rPr>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b/>
      <w:bCs/>
      <w:kern w:val="2"/>
      <w:sz w:val="24"/>
      <w:szCs w:val="28"/>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paragraph" w:customStyle="1" w:styleId="0050">
    <w:name w:val="005加粗"/>
    <w:qFormat/>
    <w:pPr>
      <w:widowControl w:val="0"/>
      <w:spacing w:beforeLines="50" w:before="50" w:afterLines="50" w:after="50" w:line="360" w:lineRule="auto"/>
      <w:ind w:firstLineChars="200" w:firstLine="200"/>
      <w:jc w:val="both"/>
    </w:pPr>
    <w:rPr>
      <w:rFonts w:eastAsia="黑体"/>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paragraph" w:customStyle="1" w:styleId="61">
    <w:name w:val="修订6"/>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71">
    <w:name w:val="修订7"/>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6">
    <w:name w:val="正文文本 字符"/>
    <w:basedOn w:val="a0"/>
    <w:link w:val="a5"/>
    <w:uiPriority w:val="99"/>
    <w:semiHidden/>
    <w:qFormat/>
    <w:rPr>
      <w:rFonts w:cstheme="minorBidi"/>
      <w:kern w:val="2"/>
      <w:sz w:val="24"/>
      <w:szCs w:val="24"/>
      <w14:ligatures w14:val="standardContextual"/>
    </w:rPr>
  </w:style>
  <w:style w:type="table" w:customStyle="1" w:styleId="42">
    <w:name w:val="网格型4"/>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网格型6"/>
    <w:basedOn w:val="a1"/>
    <w:autoRedefine/>
    <w:uiPriority w:val="5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1">
    <w:name w:val="修订8"/>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font31">
    <w:name w:val="font31"/>
    <w:basedOn w:val="a0"/>
    <w:semiHidden/>
    <w:qFormat/>
    <w:rPr>
      <w:rFonts w:ascii="楷体" w:eastAsia="楷体" w:hAnsi="楷体" w:hint="eastAsia"/>
      <w:b/>
      <w:bCs/>
      <w:color w:val="FF0000"/>
      <w:sz w:val="22"/>
      <w:szCs w:val="22"/>
      <w:u w:val="none"/>
    </w:rPr>
  </w:style>
  <w:style w:type="paragraph" w:customStyle="1" w:styleId="91">
    <w:name w:val="修订9"/>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00">
    <w:name w:val="修订10"/>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22">
    <w:name w:val="修订12"/>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72">
    <w:name w:val="网格型7"/>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nhideWhenUsed/>
    <w:qFormat/>
    <w:tblPr>
      <w:tblCellMar>
        <w:top w:w="0" w:type="dxa"/>
        <w:left w:w="0" w:type="dxa"/>
        <w:bottom w:w="0" w:type="dxa"/>
        <w:right w:w="0" w:type="dxa"/>
      </w:tblCellMar>
    </w:tblPr>
  </w:style>
  <w:style w:type="table" w:customStyle="1" w:styleId="82">
    <w:name w:val="网格型8"/>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WPSOffice1">
    <w:name w:val="WPSOffice手动目录 1"/>
    <w:semiHidden/>
    <w:qFormat/>
  </w:style>
  <w:style w:type="paragraph" w:customStyle="1" w:styleId="132">
    <w:name w:val="修订13"/>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42">
    <w:name w:val="修订1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51">
    <w:name w:val="修订15"/>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60">
    <w:name w:val="修订16"/>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8">
    <w:name w:val="正文文本缩进 字符"/>
    <w:basedOn w:val="a0"/>
    <w:link w:val="a7"/>
    <w:semiHidden/>
    <w:qFormat/>
    <w:rPr>
      <w:rFonts w:ascii="宋体" w:hAnsi="宋体"/>
      <w:kern w:val="2"/>
      <w:sz w:val="24"/>
      <w:szCs w:val="24"/>
    </w:rPr>
  </w:style>
  <w:style w:type="table" w:customStyle="1" w:styleId="101">
    <w:name w:val="网格型10"/>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61">
    <w:name w:val="font61"/>
    <w:semiHidden/>
    <w:qFormat/>
    <w:rPr>
      <w:rFonts w:ascii="宋体" w:eastAsia="宋体" w:hAnsi="宋体" w:cs="宋体" w:hint="eastAsia"/>
      <w:color w:val="000000"/>
      <w:sz w:val="20"/>
      <w:szCs w:val="20"/>
      <w:u w:val="none"/>
    </w:rPr>
  </w:style>
  <w:style w:type="character" w:customStyle="1" w:styleId="font51">
    <w:name w:val="font51"/>
    <w:semiHidden/>
    <w:qFormat/>
    <w:rPr>
      <w:rFonts w:ascii="宋体" w:eastAsia="宋体" w:hAnsi="宋体" w:cs="宋体" w:hint="eastAsia"/>
      <w:color w:val="000000"/>
      <w:sz w:val="20"/>
      <w:szCs w:val="20"/>
      <w:u w:val="none"/>
    </w:rPr>
  </w:style>
  <w:style w:type="character" w:customStyle="1" w:styleId="font41">
    <w:name w:val="font41"/>
    <w:semiHidden/>
    <w:qFormat/>
    <w:rPr>
      <w:rFonts w:ascii="宋体" w:eastAsia="宋体" w:hAnsi="宋体" w:cs="宋体" w:hint="eastAsia"/>
      <w:b/>
      <w:bCs/>
      <w:color w:val="000000"/>
      <w:sz w:val="20"/>
      <w:szCs w:val="20"/>
      <w:u w:val="none"/>
    </w:rPr>
  </w:style>
  <w:style w:type="table" w:customStyle="1" w:styleId="1c">
    <w:name w:val="表格1"/>
    <w:uiPriority w:val="99"/>
    <w:qFormat/>
    <w:tblPr>
      <w:jc w:val="center"/>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style>
  <w:style w:type="character" w:customStyle="1" w:styleId="font71">
    <w:name w:val="font71"/>
    <w:semiHidden/>
    <w:qFormat/>
    <w:rPr>
      <w:rFonts w:ascii="宋体" w:eastAsia="宋体" w:hAnsi="宋体" w:cs="宋体" w:hint="eastAsia"/>
      <w:color w:val="000000"/>
      <w:sz w:val="18"/>
      <w:szCs w:val="18"/>
      <w:u w:val="none"/>
    </w:rPr>
  </w:style>
  <w:style w:type="paragraph" w:customStyle="1" w:styleId="Style13">
    <w:name w:val="_Style 13"/>
    <w:semiHidden/>
    <w:qFormat/>
    <w:pPr>
      <w:spacing w:before="120" w:after="120" w:line="288" w:lineRule="auto"/>
    </w:pPr>
    <w:rPr>
      <w:rFonts w:ascii="Arial" w:eastAsia="等线" w:hAnsi="Arial" w:cs="Arial"/>
      <w:sz w:val="22"/>
      <w:szCs w:val="22"/>
    </w:rPr>
  </w:style>
  <w:style w:type="paragraph" w:customStyle="1" w:styleId="TableText">
    <w:name w:val="Table Text"/>
    <w:semiHidden/>
    <w:qFormat/>
    <w:pPr>
      <w:kinsoku w:val="0"/>
      <w:autoSpaceDE w:val="0"/>
      <w:autoSpaceDN w:val="0"/>
      <w:adjustRightInd w:val="0"/>
      <w:snapToGrid w:val="0"/>
      <w:textAlignment w:val="baseline"/>
    </w:pPr>
    <w:rPr>
      <w:rFonts w:ascii="宋体" w:hAnsi="宋体" w:cs="宋体"/>
      <w:snapToGrid w:val="0"/>
      <w:color w:val="000000"/>
      <w:sz w:val="21"/>
      <w:szCs w:val="21"/>
      <w:lang w:eastAsia="en-US"/>
    </w:rPr>
  </w:style>
  <w:style w:type="paragraph" w:customStyle="1" w:styleId="170">
    <w:name w:val="修订17"/>
    <w:hidden/>
    <w:uiPriority w:val="99"/>
    <w:unhideWhenUsed/>
    <w:qFormat/>
    <w:rPr>
      <w:rFonts w:cstheme="minorBidi"/>
      <w:kern w:val="2"/>
      <w:sz w:val="24"/>
      <w:szCs w:val="24"/>
      <w14:ligatures w14:val="standardContextual"/>
    </w:rPr>
  </w:style>
  <w:style w:type="paragraph" w:customStyle="1" w:styleId="180">
    <w:name w:val="修订18"/>
    <w:hidden/>
    <w:uiPriority w:val="99"/>
    <w:unhideWhenUsed/>
    <w:qFormat/>
    <w:rPr>
      <w:rFonts w:cstheme="minorBidi"/>
      <w:kern w:val="2"/>
      <w:sz w:val="24"/>
      <w:szCs w:val="24"/>
      <w14:ligatures w14:val="standardContextual"/>
    </w:rPr>
  </w:style>
  <w:style w:type="paragraph" w:customStyle="1" w:styleId="190">
    <w:name w:val="修订19"/>
    <w:hidden/>
    <w:uiPriority w:val="99"/>
    <w:unhideWhenUsed/>
    <w:qFormat/>
    <w:rPr>
      <w:rFonts w:cstheme="minorBidi"/>
      <w:kern w:val="2"/>
      <w:sz w:val="24"/>
      <w:szCs w:val="24"/>
      <w14:ligatures w14:val="standardContextual"/>
    </w:rPr>
  </w:style>
  <w:style w:type="paragraph" w:customStyle="1" w:styleId="200">
    <w:name w:val="修订20"/>
    <w:hidden/>
    <w:uiPriority w:val="99"/>
    <w:unhideWhenUsed/>
    <w:qFormat/>
    <w:rPr>
      <w:rFonts w:cstheme="minorBidi"/>
      <w:kern w:val="2"/>
      <w:sz w:val="24"/>
      <w:szCs w:val="24"/>
      <w14:ligatures w14:val="standardContextual"/>
    </w:rPr>
  </w:style>
  <w:style w:type="paragraph" w:customStyle="1" w:styleId="212">
    <w:name w:val="修订21"/>
    <w:hidden/>
    <w:uiPriority w:val="99"/>
    <w:unhideWhenUsed/>
    <w:qFormat/>
    <w:rPr>
      <w:rFonts w:cstheme="minorBidi"/>
      <w:kern w:val="2"/>
      <w:sz w:val="24"/>
      <w:szCs w:val="24"/>
      <w14:ligatures w14:val="standardContextual"/>
    </w:rPr>
  </w:style>
  <w:style w:type="paragraph" w:customStyle="1" w:styleId="221">
    <w:name w:val="修订22"/>
    <w:hidden/>
    <w:uiPriority w:val="99"/>
    <w:unhideWhenUsed/>
    <w:qFormat/>
    <w:rPr>
      <w:rFonts w:cstheme="minorBidi"/>
      <w:kern w:val="2"/>
      <w:sz w:val="24"/>
      <w:szCs w:val="24"/>
      <w14:ligatures w14:val="standardContextual"/>
    </w:rPr>
  </w:style>
  <w:style w:type="paragraph" w:customStyle="1" w:styleId="232">
    <w:name w:val="修订23"/>
    <w:hidden/>
    <w:uiPriority w:val="99"/>
    <w:unhideWhenUsed/>
    <w:qFormat/>
    <w:rPr>
      <w:rFonts w:cstheme="minorBidi"/>
      <w:kern w:val="2"/>
      <w:sz w:val="24"/>
      <w:szCs w:val="24"/>
      <w14:ligatures w14:val="standardContextual"/>
    </w:rPr>
  </w:style>
  <w:style w:type="paragraph" w:customStyle="1" w:styleId="242">
    <w:name w:val="修订24"/>
    <w:hidden/>
    <w:uiPriority w:val="99"/>
    <w:unhideWhenUsed/>
    <w:qFormat/>
    <w:rPr>
      <w:rFonts w:cstheme="minorBidi"/>
      <w:kern w:val="2"/>
      <w:sz w:val="24"/>
      <w:szCs w:val="24"/>
      <w14:ligatures w14:val="standardContextual"/>
    </w:rPr>
  </w:style>
  <w:style w:type="paragraph" w:customStyle="1" w:styleId="251">
    <w:name w:val="修订25"/>
    <w:hidden/>
    <w:uiPriority w:val="99"/>
    <w:unhideWhenUsed/>
    <w:qFormat/>
    <w:rPr>
      <w:rFonts w:cstheme="minorBidi"/>
      <w:kern w:val="2"/>
      <w:sz w:val="24"/>
      <w:szCs w:val="24"/>
      <w14:ligatures w14:val="standardContextual"/>
    </w:rPr>
  </w:style>
  <w:style w:type="paragraph" w:customStyle="1" w:styleId="26">
    <w:name w:val="修订26"/>
    <w:hidden/>
    <w:uiPriority w:val="99"/>
    <w:unhideWhenUsed/>
    <w:qFormat/>
    <w:rPr>
      <w:rFonts w:cstheme="minorBidi"/>
      <w:kern w:val="2"/>
      <w:sz w:val="24"/>
      <w:szCs w:val="24"/>
      <w14:ligatures w14:val="standardContextual"/>
    </w:rPr>
  </w:style>
  <w:style w:type="table" w:customStyle="1" w:styleId="161">
    <w:name w:val="网格型16"/>
    <w:basedOn w:val="a1"/>
    <w:next w:val="afc"/>
    <w:uiPriority w:val="39"/>
    <w:qFormat/>
    <w:rsid w:val="00D41D7A"/>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53">
    <w:name w:val="List 5"/>
    <w:basedOn w:val="a"/>
    <w:uiPriority w:val="99"/>
    <w:semiHidden/>
    <w:qFormat/>
    <w:rsid w:val="00E4349B"/>
    <w:pPr>
      <w:ind w:leftChars="800" w:left="100" w:hangingChars="200" w:hanging="200"/>
      <w:jc w:val="both"/>
    </w:pPr>
    <w:rPr>
      <w:rFonts w:cs="Times New Roman"/>
      <w:szCs w:val="22"/>
    </w:rPr>
  </w:style>
  <w:style w:type="table" w:customStyle="1" w:styleId="171">
    <w:name w:val="网格型17"/>
    <w:basedOn w:val="a1"/>
    <w:next w:val="afc"/>
    <w:qFormat/>
    <w:rsid w:val="0056148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d">
    <w:name w:val="Revision"/>
    <w:hidden/>
    <w:uiPriority w:val="99"/>
    <w:unhideWhenUsed/>
    <w:rsid w:val="00EF51B2"/>
    <w:rPr>
      <w:rFonts w:cstheme="minorBidi"/>
      <w:kern w:val="2"/>
      <w:sz w:val="24"/>
      <w:szCs w:val="24"/>
      <w14:ligatures w14:val="standardContextual"/>
    </w:rPr>
  </w:style>
  <w:style w:type="character" w:customStyle="1" w:styleId="003Char">
    <w:name w:val="003三级标题 Char"/>
    <w:link w:val="003"/>
    <w:qFormat/>
    <w:rsid w:val="005121D9"/>
    <w:rPr>
      <w:b/>
      <w:bCs/>
      <w:kern w:val="2"/>
      <w:sz w:val="24"/>
      <w:szCs w:val="28"/>
    </w:rPr>
  </w:style>
  <w:style w:type="paragraph" w:styleId="27">
    <w:name w:val="Body Text First Indent 2"/>
    <w:basedOn w:val="a7"/>
    <w:link w:val="28"/>
    <w:uiPriority w:val="99"/>
    <w:unhideWhenUsed/>
    <w:qFormat/>
    <w:rsid w:val="0061450A"/>
    <w:pPr>
      <w:spacing w:beforeLines="0" w:before="0" w:afterLines="0" w:after="120" w:line="240" w:lineRule="auto"/>
      <w:ind w:leftChars="200" w:left="420" w:right="0" w:firstLine="420"/>
    </w:pPr>
    <w:rPr>
      <w:rFonts w:ascii="等线" w:eastAsia="等线" w:hAnsi="等线"/>
      <w:sz w:val="21"/>
      <w:szCs w:val="21"/>
    </w:rPr>
  </w:style>
  <w:style w:type="character" w:customStyle="1" w:styleId="28">
    <w:name w:val="正文文本首行缩进 2 字符"/>
    <w:basedOn w:val="a8"/>
    <w:link w:val="27"/>
    <w:uiPriority w:val="99"/>
    <w:qFormat/>
    <w:rsid w:val="0061450A"/>
    <w:rPr>
      <w:rFonts w:ascii="等线" w:eastAsia="等线" w:hAnsi="等线"/>
      <w:kern w:val="2"/>
      <w:sz w:val="21"/>
      <w:szCs w:val="21"/>
    </w:rPr>
  </w:style>
  <w:style w:type="character" w:customStyle="1" w:styleId="004Char">
    <w:name w:val="004四级标题 Char"/>
    <w:link w:val="004"/>
    <w:qFormat/>
    <w:rsid w:val="009525D1"/>
    <w:rPr>
      <w:b/>
      <w:bCs/>
      <w:kern w:val="2"/>
      <w:sz w:val="24"/>
      <w:szCs w:val="28"/>
    </w:rPr>
  </w:style>
  <w:style w:type="table" w:customStyle="1" w:styleId="-">
    <w:name w:val="表格-东洲标准"/>
    <w:basedOn w:val="a1"/>
    <w:uiPriority w:val="99"/>
    <w:qFormat/>
    <w:rsid w:val="00247FC9"/>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heme="majorBidi"/>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Theme="majorHAnsi" w:eastAsia="宋体" w:hAnsiTheme="majorHAnsi" w:cstheme="majorBidi"/>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heme="majorBidi"/>
        <w:b w:val="0"/>
        <w:bCs/>
        <w:i w:val="0"/>
        <w:sz w:val="18"/>
      </w:rPr>
    </w:tblStylePr>
    <w:tblStylePr w:type="lastCol">
      <w:rPr>
        <w:rFonts w:asciiTheme="majorHAnsi" w:eastAsia="宋体" w:hAnsiTheme="majorHAnsi" w:cstheme="majorBidi"/>
        <w:b w:val="0"/>
        <w:bCs/>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rPr>
        <w:rFonts w:eastAsia="宋体"/>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character" w:styleId="affe">
    <w:name w:val="Intense Emphasis"/>
    <w:basedOn w:val="a0"/>
    <w:uiPriority w:val="21"/>
    <w:qFormat/>
    <w:rsid w:val="00247FC9"/>
    <w:rPr>
      <w:i/>
      <w:iCs/>
      <w:color w:val="0F4761" w:themeColor="accent1" w:themeShade="BF"/>
    </w:rPr>
  </w:style>
  <w:style w:type="character" w:styleId="afff">
    <w:name w:val="Intense Reference"/>
    <w:basedOn w:val="a0"/>
    <w:uiPriority w:val="32"/>
    <w:qFormat/>
    <w:rsid w:val="00247FC9"/>
    <w:rPr>
      <w:b/>
      <w:bCs/>
      <w:smallCaps/>
      <w:color w:val="0F4761" w:themeColor="accent1" w:themeShade="BF"/>
      <w:spacing w:val="5"/>
    </w:rPr>
  </w:style>
  <w:style w:type="character" w:customStyle="1" w:styleId="qk-md-text">
    <w:name w:val="qk-md-text"/>
    <w:basedOn w:val="a0"/>
    <w:qFormat/>
    <w:rsid w:val="00247FC9"/>
  </w:style>
  <w:style w:type="paragraph" w:customStyle="1" w:styleId="VI">
    <w:name w:val="VI 正文格式"/>
    <w:basedOn w:val="a"/>
    <w:link w:val="VIChar"/>
    <w:qFormat/>
    <w:rsid w:val="00247FC9"/>
    <w:pPr>
      <w:adjustRightInd w:val="0"/>
      <w:spacing w:beforeLines="0" w:before="0" w:afterLines="0" w:after="0"/>
      <w:jc w:val="both"/>
      <w:textAlignment w:val="baseline"/>
    </w:pPr>
    <w:rPr>
      <w:rFonts w:cs="Times New Roman"/>
      <w:szCs w:val="20"/>
    </w:rPr>
  </w:style>
  <w:style w:type="character" w:customStyle="1" w:styleId="VIChar">
    <w:name w:val="VI 正文格式 Char"/>
    <w:link w:val="VI"/>
    <w:qFormat/>
    <w:rsid w:val="00247FC9"/>
    <w:rPr>
      <w:kern w:val="2"/>
      <w:sz w:val="24"/>
      <w14:ligatures w14:val="standardContextual"/>
    </w:rPr>
  </w:style>
  <w:style w:type="table" w:customStyle="1" w:styleId="1710">
    <w:name w:val="网格型171"/>
    <w:basedOn w:val="a1"/>
    <w:next w:val="afc"/>
    <w:uiPriority w:val="39"/>
    <w:qFormat/>
    <w:rsid w:val="00A661C3"/>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1"/>
    <w:next w:val="afc"/>
    <w:qFormat/>
    <w:rsid w:val="00A661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1">
    <w:name w:val="网格型18"/>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
    <w:basedOn w:val="a1"/>
    <w:next w:val="afc"/>
    <w:uiPriority w:val="39"/>
    <w:qFormat/>
    <w:rsid w:val="00A661C3"/>
    <w:rPr>
      <w:rFonts w:ascii="Cambria" w:hAnsi="Cambr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1"/>
    <w:next w:val="afc"/>
    <w:uiPriority w:val="39"/>
    <w:qFormat/>
    <w:rsid w:val="00C16B5D"/>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1"/>
    <w:next w:val="afc"/>
    <w:uiPriority w:val="39"/>
    <w:qFormat/>
    <w:rsid w:val="00884014"/>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网格型29"/>
    <w:basedOn w:val="a1"/>
    <w:next w:val="afc"/>
    <w:uiPriority w:val="39"/>
    <w:qFormat/>
    <w:rsid w:val="008778CC"/>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1"/>
    <w:next w:val="afc"/>
    <w:uiPriority w:val="39"/>
    <w:qFormat/>
    <w:rsid w:val="004B2E60"/>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1"/>
    <w:next w:val="afc"/>
    <w:uiPriority w:val="39"/>
    <w:qFormat/>
    <w:rsid w:val="004B2E60"/>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1"/>
    <w:next w:val="afc"/>
    <w:uiPriority w:val="39"/>
    <w:qFormat/>
    <w:rsid w:val="00720FA4"/>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1"/>
    <w:next w:val="afc"/>
    <w:uiPriority w:val="39"/>
    <w:qFormat/>
    <w:rsid w:val="00407341"/>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1"/>
    <w:next w:val="afc"/>
    <w:uiPriority w:val="39"/>
    <w:qFormat/>
    <w:rsid w:val="00407341"/>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1"/>
    <w:next w:val="afc"/>
    <w:uiPriority w:val="39"/>
    <w:qFormat/>
    <w:rsid w:val="007921C1"/>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网格型41"/>
    <w:basedOn w:val="a1"/>
    <w:next w:val="afc"/>
    <w:uiPriority w:val="39"/>
    <w:qFormat/>
    <w:rsid w:val="007921C1"/>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71">
    <w:name w:val="修订27"/>
    <w:hidden/>
    <w:uiPriority w:val="99"/>
    <w:unhideWhenUsed/>
    <w:qFormat/>
    <w:rsid w:val="007A44DA"/>
    <w:rPr>
      <w:rFonts w:cstheme="minorBidi"/>
      <w:kern w:val="2"/>
      <w:sz w:val="24"/>
      <w:szCs w:val="24"/>
      <w14:ligatures w14:val="standardContextual"/>
    </w:rPr>
  </w:style>
  <w:style w:type="character" w:customStyle="1" w:styleId="2a">
    <w:name w:val="明显强调2"/>
    <w:basedOn w:val="a0"/>
    <w:uiPriority w:val="21"/>
    <w:qFormat/>
    <w:rsid w:val="007A44DA"/>
    <w:rPr>
      <w:i/>
      <w:iCs/>
      <w:color w:val="0F4761" w:themeColor="accent1" w:themeShade="BF"/>
    </w:rPr>
  </w:style>
  <w:style w:type="character" w:customStyle="1" w:styleId="2b">
    <w:name w:val="明显参考2"/>
    <w:basedOn w:val="a0"/>
    <w:uiPriority w:val="32"/>
    <w:qFormat/>
    <w:rsid w:val="007A44DA"/>
    <w:rPr>
      <w:b/>
      <w:bCs/>
      <w:smallCaps/>
      <w:color w:val="0F4761" w:themeColor="accent1" w:themeShade="BF"/>
      <w:spacing w:val="5"/>
    </w:rPr>
  </w:style>
  <w:style w:type="numbering" w:customStyle="1" w:styleId="1d">
    <w:name w:val="无列表1"/>
    <w:next w:val="a2"/>
    <w:uiPriority w:val="99"/>
    <w:semiHidden/>
    <w:unhideWhenUsed/>
    <w:rsid w:val="004F0D74"/>
  </w:style>
  <w:style w:type="character" w:styleId="afff0">
    <w:name w:val="FollowedHyperlink"/>
    <w:basedOn w:val="a0"/>
    <w:uiPriority w:val="99"/>
    <w:semiHidden/>
    <w:qFormat/>
    <w:rsid w:val="004F0D74"/>
    <w:rPr>
      <w:color w:val="96607D" w:themeColor="followedHyperlink"/>
      <w:u w:val="single"/>
    </w:rPr>
  </w:style>
  <w:style w:type="paragraph" w:customStyle="1" w:styleId="2710">
    <w:name w:val="修订271"/>
    <w:hidden/>
    <w:uiPriority w:val="99"/>
    <w:unhideWhenUsed/>
    <w:qFormat/>
    <w:rsid w:val="004F0D74"/>
    <w:rPr>
      <w:rFonts w:cstheme="minorBidi"/>
      <w:kern w:val="2"/>
      <w:sz w:val="24"/>
      <w:szCs w:val="24"/>
      <w14:ligatures w14:val="standardContextual"/>
    </w:rPr>
  </w:style>
  <w:style w:type="character" w:customStyle="1" w:styleId="213">
    <w:name w:val="明显强调21"/>
    <w:basedOn w:val="a0"/>
    <w:uiPriority w:val="21"/>
    <w:qFormat/>
    <w:rsid w:val="004F0D74"/>
    <w:rPr>
      <w:i/>
      <w:iCs/>
      <w:color w:val="0F4761" w:themeColor="accent1" w:themeShade="BF"/>
    </w:rPr>
  </w:style>
  <w:style w:type="character" w:customStyle="1" w:styleId="214">
    <w:name w:val="明显参考21"/>
    <w:basedOn w:val="a0"/>
    <w:uiPriority w:val="32"/>
    <w:qFormat/>
    <w:rsid w:val="004F0D74"/>
    <w:rPr>
      <w:b/>
      <w:bCs/>
      <w:smallCaps/>
      <w:color w:val="0F4761" w:themeColor="accent1" w:themeShade="BF"/>
      <w:spacing w:val="5"/>
    </w:rPr>
  </w:style>
  <w:style w:type="paragraph" w:customStyle="1" w:styleId="281">
    <w:name w:val="修订28"/>
    <w:hidden/>
    <w:uiPriority w:val="99"/>
    <w:unhideWhenUsed/>
    <w:qFormat/>
    <w:rsid w:val="004F0D74"/>
    <w:rPr>
      <w:rFonts w:cstheme="minorBidi"/>
      <w:kern w:val="2"/>
      <w:sz w:val="24"/>
      <w:szCs w:val="24"/>
      <w14:ligatures w14:val="standardContextual"/>
    </w:rPr>
  </w:style>
  <w:style w:type="paragraph" w:customStyle="1" w:styleId="290">
    <w:name w:val="修订29"/>
    <w:hidden/>
    <w:uiPriority w:val="99"/>
    <w:unhideWhenUsed/>
    <w:qFormat/>
    <w:rsid w:val="004F0D74"/>
    <w:rPr>
      <w:rFonts w:cstheme="minorBidi"/>
      <w:kern w:val="2"/>
      <w:sz w:val="24"/>
      <w:szCs w:val="24"/>
      <w14:ligatures w14:val="standardContextual"/>
    </w:rPr>
  </w:style>
  <w:style w:type="numbering" w:customStyle="1" w:styleId="2c">
    <w:name w:val="无列表2"/>
    <w:next w:val="a2"/>
    <w:uiPriority w:val="99"/>
    <w:semiHidden/>
    <w:unhideWhenUsed/>
    <w:rsid w:val="00905AB8"/>
  </w:style>
  <w:style w:type="numbering" w:customStyle="1" w:styleId="39">
    <w:name w:val="无列表3"/>
    <w:next w:val="a2"/>
    <w:uiPriority w:val="99"/>
    <w:semiHidden/>
    <w:unhideWhenUsed/>
    <w:rsid w:val="0009182B"/>
  </w:style>
  <w:style w:type="numbering" w:customStyle="1" w:styleId="43">
    <w:name w:val="无列表4"/>
    <w:next w:val="a2"/>
    <w:uiPriority w:val="99"/>
    <w:semiHidden/>
    <w:unhideWhenUsed/>
    <w:rsid w:val="003F2129"/>
  </w:style>
  <w:style w:type="paragraph" w:customStyle="1" w:styleId="301">
    <w:name w:val="修订30"/>
    <w:hidden/>
    <w:uiPriority w:val="99"/>
    <w:unhideWhenUsed/>
    <w:qFormat/>
    <w:rsid w:val="003F2129"/>
    <w:rPr>
      <w:rFonts w:cstheme="minorBidi"/>
      <w:kern w:val="2"/>
      <w:sz w:val="24"/>
      <w:szCs w:val="24"/>
      <w14:ligatures w14:val="standardContextual"/>
    </w:rPr>
  </w:style>
  <w:style w:type="paragraph" w:customStyle="1" w:styleId="311">
    <w:name w:val="修订31"/>
    <w:hidden/>
    <w:uiPriority w:val="99"/>
    <w:unhideWhenUsed/>
    <w:qFormat/>
    <w:rsid w:val="003F2129"/>
    <w:rPr>
      <w:rFonts w:cstheme="minorBidi"/>
      <w:kern w:val="2"/>
      <w:sz w:val="24"/>
      <w:szCs w:val="24"/>
      <w14:ligatures w14:val="standardContextual"/>
    </w:rPr>
  </w:style>
  <w:style w:type="numbering" w:customStyle="1" w:styleId="54">
    <w:name w:val="无列表5"/>
    <w:next w:val="a2"/>
    <w:uiPriority w:val="99"/>
    <w:semiHidden/>
    <w:unhideWhenUsed/>
    <w:rsid w:val="003F2129"/>
  </w:style>
  <w:style w:type="numbering" w:customStyle="1" w:styleId="63">
    <w:name w:val="无列表6"/>
    <w:next w:val="a2"/>
    <w:uiPriority w:val="99"/>
    <w:semiHidden/>
    <w:unhideWhenUsed/>
    <w:rsid w:val="003F2129"/>
  </w:style>
  <w:style w:type="numbering" w:customStyle="1" w:styleId="73">
    <w:name w:val="无列表7"/>
    <w:next w:val="a2"/>
    <w:uiPriority w:val="99"/>
    <w:semiHidden/>
    <w:unhideWhenUsed/>
    <w:rsid w:val="00EB3B4C"/>
  </w:style>
  <w:style w:type="numbering" w:customStyle="1" w:styleId="115">
    <w:name w:val="无列表11"/>
    <w:next w:val="a2"/>
    <w:uiPriority w:val="99"/>
    <w:semiHidden/>
    <w:unhideWhenUsed/>
    <w:rsid w:val="00EB3B4C"/>
  </w:style>
  <w:style w:type="character" w:customStyle="1" w:styleId="1e">
    <w:name w:val="超链接1"/>
    <w:basedOn w:val="a0"/>
    <w:uiPriority w:val="99"/>
    <w:qFormat/>
    <w:rsid w:val="00EB3B4C"/>
    <w:rPr>
      <w:color w:val="467886"/>
      <w:u w:val="single"/>
    </w:rPr>
  </w:style>
  <w:style w:type="table" w:customStyle="1" w:styleId="-1">
    <w:name w:val="表格-东洲标准1"/>
    <w:basedOn w:val="a1"/>
    <w:uiPriority w:val="99"/>
    <w:qFormat/>
    <w:rsid w:val="00EB3B4C"/>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imes New Roman"/>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等线 Light" w:eastAsia="宋体" w:hAnsi="等线 Light" w:cs="Times New Roman"/>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imes New Roman"/>
        <w:b w:val="0"/>
        <w:bCs/>
        <w:i w:val="0"/>
        <w:sz w:val="18"/>
      </w:rPr>
    </w:tblStylePr>
    <w:tblStylePr w:type="lastCol">
      <w:rPr>
        <w:rFonts w:ascii="等线 Light" w:eastAsia="宋体" w:hAnsi="等线 Light" w:cs="Times New Roman"/>
        <w:b w:val="0"/>
        <w:bCs/>
        <w:sz w:val="18"/>
      </w:rPr>
      <w:tblPr/>
      <w:tcPr>
        <w:tcBorders>
          <w:top w:val="single" w:sz="8" w:space="0" w:color="156082"/>
          <w:left w:val="single" w:sz="8" w:space="0" w:color="156082"/>
          <w:bottom w:val="single" w:sz="8" w:space="0" w:color="156082"/>
          <w:right w:val="single" w:sz="8" w:space="0" w:color="156082"/>
        </w:tcBorders>
      </w:tcPr>
    </w:tblStylePr>
    <w:tblStylePr w:type="band1Vert">
      <w:rPr>
        <w:rFonts w:eastAsia="宋体"/>
        <w:sz w:val="18"/>
      </w:rPr>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numbering" w:customStyle="1" w:styleId="1110">
    <w:name w:val="无列表111"/>
    <w:next w:val="a2"/>
    <w:uiPriority w:val="99"/>
    <w:semiHidden/>
    <w:unhideWhenUsed/>
    <w:rsid w:val="00EB3B4C"/>
  </w:style>
  <w:style w:type="character" w:customStyle="1" w:styleId="1f">
    <w:name w:val="访问过的超链接1"/>
    <w:basedOn w:val="a0"/>
    <w:uiPriority w:val="99"/>
    <w:semiHidden/>
    <w:qFormat/>
    <w:rsid w:val="00EB3B4C"/>
    <w:rPr>
      <w:color w:val="96607D"/>
      <w:u w:val="single"/>
    </w:rPr>
  </w:style>
  <w:style w:type="numbering" w:customStyle="1" w:styleId="215">
    <w:name w:val="无列表21"/>
    <w:next w:val="a2"/>
    <w:uiPriority w:val="99"/>
    <w:semiHidden/>
    <w:unhideWhenUsed/>
    <w:rsid w:val="00EB3B4C"/>
  </w:style>
  <w:style w:type="numbering" w:customStyle="1" w:styleId="312">
    <w:name w:val="无列表31"/>
    <w:next w:val="a2"/>
    <w:uiPriority w:val="99"/>
    <w:semiHidden/>
    <w:unhideWhenUsed/>
    <w:rsid w:val="00EB3B4C"/>
  </w:style>
  <w:style w:type="numbering" w:customStyle="1" w:styleId="411">
    <w:name w:val="无列表41"/>
    <w:next w:val="a2"/>
    <w:uiPriority w:val="99"/>
    <w:semiHidden/>
    <w:unhideWhenUsed/>
    <w:rsid w:val="00EB3B4C"/>
  </w:style>
  <w:style w:type="numbering" w:customStyle="1" w:styleId="511">
    <w:name w:val="无列表51"/>
    <w:next w:val="a2"/>
    <w:uiPriority w:val="99"/>
    <w:semiHidden/>
    <w:unhideWhenUsed/>
    <w:rsid w:val="00EB3B4C"/>
  </w:style>
  <w:style w:type="numbering" w:customStyle="1" w:styleId="610">
    <w:name w:val="无列表61"/>
    <w:next w:val="a2"/>
    <w:uiPriority w:val="99"/>
    <w:semiHidden/>
    <w:unhideWhenUsed/>
    <w:rsid w:val="00EB3B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428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qcc.com/firm/e862c6271a717e711c3be5631e217d34.html" TargetMode="External"/><Relationship Id="rId21" Type="http://schemas.openxmlformats.org/officeDocument/2006/relationships/hyperlink" Target="https://www.qcc.com/firm/728495f50a79ebbd456d63d0f9f85732.html" TargetMode="External"/><Relationship Id="rId42" Type="http://schemas.openxmlformats.org/officeDocument/2006/relationships/hyperlink" Target="https://www.qcc.com/firm/ad8d90addce346fa91425891e0419807.html" TargetMode="External"/><Relationship Id="rId47" Type="http://schemas.openxmlformats.org/officeDocument/2006/relationships/hyperlink" Target="https://www.qcc.com/firm/ad8d90addce346fa91425891e0419807.html" TargetMode="External"/><Relationship Id="rId63" Type="http://schemas.openxmlformats.org/officeDocument/2006/relationships/hyperlink" Target="https://www.qcc.com/firm/dbfc9c19cadb55b0e686cb1c16c11c22.html" TargetMode="External"/><Relationship Id="rId68" Type="http://schemas.openxmlformats.org/officeDocument/2006/relationships/hyperlink" Target="https://www.qcc.com/firm/b47310b3b56828db0e391f7984ce2899.html" TargetMode="External"/><Relationship Id="rId84" Type="http://schemas.openxmlformats.org/officeDocument/2006/relationships/hyperlink" Target="https://www.qcc.com/firm/594fe13b13ab7714ffd3a895f6933766.html" TargetMode="External"/><Relationship Id="rId89" Type="http://schemas.openxmlformats.org/officeDocument/2006/relationships/hyperlink" Target="https://www.qcc.com/firm/48a117a5728115b2e6024ffc04c610d6.html" TargetMode="External"/><Relationship Id="rId16" Type="http://schemas.openxmlformats.org/officeDocument/2006/relationships/hyperlink" Target="https://www.qcc.com/firm/38e1951366982170618e2b09c675199c.html" TargetMode="External"/><Relationship Id="rId11" Type="http://schemas.openxmlformats.org/officeDocument/2006/relationships/footer" Target="footer1.xml"/><Relationship Id="rId32" Type="http://schemas.openxmlformats.org/officeDocument/2006/relationships/hyperlink" Target="https://www.qcc.com/firm/e862c6271a717e711c3be5631e217d34.html" TargetMode="External"/><Relationship Id="rId37" Type="http://schemas.openxmlformats.org/officeDocument/2006/relationships/hyperlink" Target="https://www.qcc.com/firm/4dd7a86c8e8c56d5e4f15c78ddde0823.html" TargetMode="External"/><Relationship Id="rId53" Type="http://schemas.openxmlformats.org/officeDocument/2006/relationships/hyperlink" Target="https://www.qcc.com/firm/c3e245140a5a42d14f4252d429bd5d3f.html" TargetMode="External"/><Relationship Id="rId58" Type="http://schemas.openxmlformats.org/officeDocument/2006/relationships/hyperlink" Target="https://www.qcc.com/firm/d1a1b2d32aaa3a11fa683ac024204e28.html" TargetMode="External"/><Relationship Id="rId74" Type="http://schemas.openxmlformats.org/officeDocument/2006/relationships/hyperlink" Target="https://www.qcc.com/firm/d40bea2b3c83c63b1964f6f41fa50804.html" TargetMode="External"/><Relationship Id="rId79" Type="http://schemas.openxmlformats.org/officeDocument/2006/relationships/hyperlink" Target="https://www.qcc.com/firm/e862c6271a717e711c3be5631e217d34.html" TargetMode="External"/><Relationship Id="rId5" Type="http://schemas.openxmlformats.org/officeDocument/2006/relationships/settings" Target="settings.xml"/><Relationship Id="rId90" Type="http://schemas.openxmlformats.org/officeDocument/2006/relationships/hyperlink" Target="https://www.qcc.com/firm/9886eb91cc71d6efa7ddcbf2ff252dfd.html" TargetMode="External"/><Relationship Id="rId22" Type="http://schemas.openxmlformats.org/officeDocument/2006/relationships/hyperlink" Target="https://www.qcc.com/firm/e862c6271a717e711c3be5631e217d34.html" TargetMode="External"/><Relationship Id="rId27" Type="http://schemas.openxmlformats.org/officeDocument/2006/relationships/hyperlink" Target="https://www.qcc.com/firm/728495f50a79ebbd456d63d0f9f85732.html" TargetMode="External"/><Relationship Id="rId43" Type="http://schemas.openxmlformats.org/officeDocument/2006/relationships/hyperlink" Target="https://www.qcc.com/firm/12649b8a74b61558648154146b9f1cf2.html" TargetMode="External"/><Relationship Id="rId48" Type="http://schemas.openxmlformats.org/officeDocument/2006/relationships/hyperlink" Target="https://www.qcc.com/firm/12649b8a74b61558648154146b9f1cf2.html" TargetMode="External"/><Relationship Id="rId64" Type="http://schemas.openxmlformats.org/officeDocument/2006/relationships/hyperlink" Target="https://www.qcc.com/firm/cb02a5311a8e5dc419c62702a7912df4.html" TargetMode="External"/><Relationship Id="rId69" Type="http://schemas.openxmlformats.org/officeDocument/2006/relationships/hyperlink" Target="https://www.qcc.com/firm/978cd4165e1fa82177aaf1be64d9d392.html" TargetMode="External"/><Relationship Id="rId8" Type="http://schemas.openxmlformats.org/officeDocument/2006/relationships/endnotes" Target="endnotes.xml"/><Relationship Id="rId51" Type="http://schemas.openxmlformats.org/officeDocument/2006/relationships/hyperlink" Target="https://www.qcc.com/firm/728495f50a79ebbd456d63d0f9f85732.html" TargetMode="External"/><Relationship Id="rId72" Type="http://schemas.openxmlformats.org/officeDocument/2006/relationships/hyperlink" Target="https://www.qcc.com/firm/48a117a5728115b2e6024ffc04c610d6.html" TargetMode="External"/><Relationship Id="rId80" Type="http://schemas.openxmlformats.org/officeDocument/2006/relationships/hyperlink" Target="https://www.qcc.com/firm/728495f50a79ebbd456d63d0f9f85732.html" TargetMode="External"/><Relationship Id="rId85" Type="http://schemas.openxmlformats.org/officeDocument/2006/relationships/hyperlink" Target="https://www.qcc.com/firm/48a117a5728115b2e6024ffc04c610d6.html" TargetMode="External"/><Relationship Id="rId93"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s://www.qcc.com/firm/5b5d24f825e643fcc18b6359186c349c.html" TargetMode="External"/><Relationship Id="rId25" Type="http://schemas.openxmlformats.org/officeDocument/2006/relationships/hyperlink" Target="https://www.qcc.com/firm/728495f50a79ebbd456d63d0f9f85732.html" TargetMode="External"/><Relationship Id="rId33" Type="http://schemas.openxmlformats.org/officeDocument/2006/relationships/hyperlink" Target="https://www.qcc.com/firm/728495f50a79ebbd456d63d0f9f85732.html" TargetMode="External"/><Relationship Id="rId38" Type="http://schemas.openxmlformats.org/officeDocument/2006/relationships/hyperlink" Target="https://www.qcc.com/firm/4dd7a86c8e8c56d5e4f15c78ddde0823.html" TargetMode="External"/><Relationship Id="rId46" Type="http://schemas.openxmlformats.org/officeDocument/2006/relationships/hyperlink" Target="https://www.qcc.com/firm/728495f50a79ebbd456d63d0f9f85732.html" TargetMode="External"/><Relationship Id="rId59" Type="http://schemas.openxmlformats.org/officeDocument/2006/relationships/hyperlink" Target="https://www.qcc.com/firm/a35839187c1950d63ffe2606972c4533.html" TargetMode="External"/><Relationship Id="rId67" Type="http://schemas.openxmlformats.org/officeDocument/2006/relationships/hyperlink" Target="https://www.qcc.com/firm/a35839187c1950d63ffe2606972c4533.html" TargetMode="External"/><Relationship Id="rId20" Type="http://schemas.openxmlformats.org/officeDocument/2006/relationships/hyperlink" Target="https://www.qcc.com/firm/e862c6271a717e711c3be5631e217d34.html" TargetMode="External"/><Relationship Id="rId41" Type="http://schemas.openxmlformats.org/officeDocument/2006/relationships/hyperlink" Target="https://www.qcc.com/firm/4dd7a86c8e8c56d5e4f15c78ddde0823.html" TargetMode="External"/><Relationship Id="rId54" Type="http://schemas.openxmlformats.org/officeDocument/2006/relationships/hyperlink" Target="https://www.qcc.com/firm/63e33a9693d155d856cf028e00fa64bd.html" TargetMode="External"/><Relationship Id="rId62" Type="http://schemas.openxmlformats.org/officeDocument/2006/relationships/hyperlink" Target="https://www.qcc.com/firm/63e33a9693d155d856cf028e00fa64bd.html" TargetMode="External"/><Relationship Id="rId70" Type="http://schemas.openxmlformats.org/officeDocument/2006/relationships/hyperlink" Target="https://www.qcc.com/firm/d40bea2b3c83c63b1964f6f41fa50804.html" TargetMode="External"/><Relationship Id="rId75" Type="http://schemas.openxmlformats.org/officeDocument/2006/relationships/hyperlink" Target="https://www.qcc.com/firm/594fe13b13ab7714ffd3a895f6933766.html" TargetMode="External"/><Relationship Id="rId83" Type="http://schemas.openxmlformats.org/officeDocument/2006/relationships/hyperlink" Target="https://www.qcc.com/firm/d40bea2b3c83c63b1964f6f41fa50804.html" TargetMode="External"/><Relationship Id="rId88" Type="http://schemas.openxmlformats.org/officeDocument/2006/relationships/hyperlink" Target="https://www.qcc.com/firm/594fe13b13ab7714ffd3a895f6933766.html" TargetMode="External"/><Relationship Id="rId91" Type="http://schemas.openxmlformats.org/officeDocument/2006/relationships/image" Target="media/image1.jpeg"/><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www.qcc.com/firm/728495f50a79ebbd456d63d0f9f85732.html" TargetMode="External"/><Relationship Id="rId28" Type="http://schemas.openxmlformats.org/officeDocument/2006/relationships/hyperlink" Target="https://www.qcc.com/firm/e862c6271a717e711c3be5631e217d34.html" TargetMode="External"/><Relationship Id="rId36" Type="http://schemas.openxmlformats.org/officeDocument/2006/relationships/hyperlink" Target="https://www.qcc.com/firm/4dd7a86c8e8c56d5e4f15c78ddde0823.html" TargetMode="External"/><Relationship Id="rId49" Type="http://schemas.openxmlformats.org/officeDocument/2006/relationships/hyperlink" Target="https://www.qcc.com/firm/8f6bd11856b29d191316df5d64680775.html" TargetMode="External"/><Relationship Id="rId57" Type="http://schemas.openxmlformats.org/officeDocument/2006/relationships/hyperlink" Target="https://www.qcc.com/firm/80662be87b38af1237e031212571789a.html" TargetMode="External"/><Relationship Id="rId10" Type="http://schemas.openxmlformats.org/officeDocument/2006/relationships/header" Target="header2.xml"/><Relationship Id="rId31" Type="http://schemas.openxmlformats.org/officeDocument/2006/relationships/hyperlink" Target="https://www.qcc.com/firm/728495f50a79ebbd456d63d0f9f85732.html" TargetMode="External"/><Relationship Id="rId44" Type="http://schemas.openxmlformats.org/officeDocument/2006/relationships/hyperlink" Target="https://www.qcc.com/firm/8f6bd11856b29d191316df5d64680775.html" TargetMode="External"/><Relationship Id="rId52" Type="http://schemas.openxmlformats.org/officeDocument/2006/relationships/hyperlink" Target="https://www.qcc.com/firm/de894f5cd32efc0a0db066ae73619e88.html" TargetMode="External"/><Relationship Id="rId60" Type="http://schemas.openxmlformats.org/officeDocument/2006/relationships/hyperlink" Target="https://www.qcc.com/firm/b47310b3b56828db0e391f7984ce2899.html" TargetMode="External"/><Relationship Id="rId65" Type="http://schemas.openxmlformats.org/officeDocument/2006/relationships/hyperlink" Target="https://www.qcc.com/firm/80662be87b38af1237e031212571789a.html" TargetMode="External"/><Relationship Id="rId73" Type="http://schemas.openxmlformats.org/officeDocument/2006/relationships/hyperlink" Target="https://www.qcc.com/firm/978cd4165e1fa82177aaf1be64d9d392.html" TargetMode="External"/><Relationship Id="rId78" Type="http://schemas.openxmlformats.org/officeDocument/2006/relationships/hyperlink" Target="https://www.qcc.com/firm/728495f50a79ebbd456d63d0f9f85732.html" TargetMode="External"/><Relationship Id="rId81" Type="http://schemas.openxmlformats.org/officeDocument/2006/relationships/hyperlink" Target="https://www.qcc.com/firm/g634638b3761f294475b1e6788cab8a3.html" TargetMode="External"/><Relationship Id="rId86" Type="http://schemas.openxmlformats.org/officeDocument/2006/relationships/hyperlink" Target="https://www.qcc.com/firm/978cd4165e1fa82177aaf1be64d9d392.html" TargetMode="Externa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www.qcc.com/firm/5b5d24f825e643fcc18b6359186c349c.html" TargetMode="External"/><Relationship Id="rId39" Type="http://schemas.openxmlformats.org/officeDocument/2006/relationships/hyperlink" Target="https://www.qcc.com/firm/4dd7a86c8e8c56d5e4f15c78ddde0823.html" TargetMode="External"/><Relationship Id="rId34" Type="http://schemas.openxmlformats.org/officeDocument/2006/relationships/hyperlink" Target="https://www.qcc.com/firm/5b5d24f825e643fcc18b6359186c349c.html" TargetMode="External"/><Relationship Id="rId50" Type="http://schemas.openxmlformats.org/officeDocument/2006/relationships/hyperlink" Target="https://www.qcc.com/firm/407a53028ce3eaa0da5482b94784f91f.html" TargetMode="External"/><Relationship Id="rId55" Type="http://schemas.openxmlformats.org/officeDocument/2006/relationships/hyperlink" Target="https://www.qcc.com/firm/dbfc9c19cadb55b0e686cb1c16c11c22.html" TargetMode="External"/><Relationship Id="rId76" Type="http://schemas.openxmlformats.org/officeDocument/2006/relationships/hyperlink" Target="https://www.qcc.com/firm/48a117a5728115b2e6024ffc04c610d6.html" TargetMode="External"/><Relationship Id="rId7" Type="http://schemas.openxmlformats.org/officeDocument/2006/relationships/footnotes" Target="footnotes.xml"/><Relationship Id="rId71" Type="http://schemas.openxmlformats.org/officeDocument/2006/relationships/hyperlink" Target="https://www.qcc.com/firm/594fe13b13ab7714ffd3a895f6933766.html" TargetMode="External"/><Relationship Id="rId92" Type="http://schemas.openxmlformats.org/officeDocument/2006/relationships/fontTable" Target="fontTable.xml"/><Relationship Id="rId2" Type="http://schemas.openxmlformats.org/officeDocument/2006/relationships/customXml" Target="../customXml/item1.xml"/><Relationship Id="rId29" Type="http://schemas.openxmlformats.org/officeDocument/2006/relationships/hyperlink" Target="https://www.qcc.com/firm/728495f50a79ebbd456d63d0f9f85732.html" TargetMode="External"/><Relationship Id="rId24" Type="http://schemas.openxmlformats.org/officeDocument/2006/relationships/hyperlink" Target="https://www.qcc.com/firm/e862c6271a717e711c3be5631e217d34.html" TargetMode="External"/><Relationship Id="rId40" Type="http://schemas.openxmlformats.org/officeDocument/2006/relationships/hyperlink" Target="https://www.qcc.com/firm/4dd7a86c8e8c56d5e4f15c78ddde0823.html" TargetMode="External"/><Relationship Id="rId45" Type="http://schemas.openxmlformats.org/officeDocument/2006/relationships/hyperlink" Target="https://www.qcc.com/firm/407a53028ce3eaa0da5482b94784f91f.html" TargetMode="External"/><Relationship Id="rId66" Type="http://schemas.openxmlformats.org/officeDocument/2006/relationships/hyperlink" Target="https://www.qcc.com/firm/d1a1b2d32aaa3a11fa683ac024204e28.html" TargetMode="External"/><Relationship Id="rId87" Type="http://schemas.openxmlformats.org/officeDocument/2006/relationships/hyperlink" Target="https://www.qcc.com/firm/d40bea2b3c83c63b1964f6f41fa50804.html" TargetMode="External"/><Relationship Id="rId61" Type="http://schemas.openxmlformats.org/officeDocument/2006/relationships/hyperlink" Target="https://www.qcc.com/firm/c3e245140a5a42d14f4252d429bd5d3f.html" TargetMode="External"/><Relationship Id="rId82" Type="http://schemas.openxmlformats.org/officeDocument/2006/relationships/hyperlink" Target="https://www.qcc.com/firm/978cd4165e1fa82177aaf1be64d9d392.html" TargetMode="External"/><Relationship Id="rId19" Type="http://schemas.openxmlformats.org/officeDocument/2006/relationships/hyperlink" Target="https://www.qcc.com/firm/5b5d24f825e643fcc18b6359186c349c.html" TargetMode="External"/><Relationship Id="rId14" Type="http://schemas.openxmlformats.org/officeDocument/2006/relationships/footer" Target="footer3.xml"/><Relationship Id="rId30" Type="http://schemas.openxmlformats.org/officeDocument/2006/relationships/hyperlink" Target="https://www.qcc.com/firm/e862c6271a717e711c3be5631e217d34.html" TargetMode="External"/><Relationship Id="rId35" Type="http://schemas.openxmlformats.org/officeDocument/2006/relationships/hyperlink" Target="https://www.qcc.com/firm/4dd7a86c8e8c56d5e4f15c78ddde0823.html" TargetMode="External"/><Relationship Id="rId56" Type="http://schemas.openxmlformats.org/officeDocument/2006/relationships/hyperlink" Target="https://www.qcc.com/firm/cb02a5311a8e5dc419c62702a7912df4.html" TargetMode="External"/><Relationship Id="rId77" Type="http://schemas.openxmlformats.org/officeDocument/2006/relationships/hyperlink" Target="https://www.qcc.com/firm/e862c6271a717e711c3be5631e217d34.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74F30-800F-4AA2-832E-9B3D315DB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8503</TotalTime>
  <Pages>416</Pages>
  <Words>53414</Words>
  <Characters>304464</Characters>
  <Application>Microsoft Office Word</Application>
  <DocSecurity>0</DocSecurity>
  <Lines>2537</Lines>
  <Paragraphs>714</Paragraphs>
  <ScaleCrop>false</ScaleCrop>
  <Company>Microsoft</Company>
  <LinksUpToDate>false</LinksUpToDate>
  <CharactersWithSpaces>357164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成浩 张</cp:lastModifiedBy>
  <cp:revision>1463</cp:revision>
  <cp:lastPrinted>2025-09-05T08:40:00Z</cp:lastPrinted>
  <dcterms:created xsi:type="dcterms:W3CDTF">2025-07-11T02:38:00Z</dcterms:created>
  <dcterms:modified xsi:type="dcterms:W3CDTF">2026-01-27T09:35:00Z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eyJoZGlkIjoiNzkwYzY3NDY2ZjA2MTE3MDQzNjE1ZTRjZTJhYzUzMDgiLCJ1c2VySWQiOiI2NTI3MjMxOTUifQ==</vt:lpwstr>
  </property>
  <property fmtid="{D5CDD505-2E9C-101B-9397-08002B2CF9AE}" pid="3" name="KSOProductBuildVer">
    <vt:lpwstr>2052-12.1.0.22529</vt:lpwstr>
  </property>
  <property fmtid="{D5CDD505-2E9C-101B-9397-08002B2CF9AE}" pid="4" name="ICV">
    <vt:lpwstr>9349E4BB94EC4D28927631E1C8F6AC12_12</vt:lpwstr>
  </property>
</Properties>
</file>